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26CD" w14:textId="77777777" w:rsidR="00010010" w:rsidRDefault="00010010" w:rsidP="00646F3A">
      <w:pPr>
        <w:jc w:val="right"/>
        <w:rPr>
          <w:rFonts w:ascii="Sylfaen" w:hAnsi="Sylfaen"/>
          <w:lang w:val="ka-GE"/>
        </w:rPr>
      </w:pPr>
      <w:r>
        <w:rPr>
          <w:rFonts w:ascii="Sylfaen" w:hAnsi="Sylfaen"/>
          <w:lang w:val="ka-GE"/>
        </w:rPr>
        <w:t>პროექტი</w:t>
      </w:r>
    </w:p>
    <w:p w14:paraId="0829B9F8" w14:textId="77777777" w:rsidR="00010010" w:rsidRDefault="00010010" w:rsidP="00646F3A">
      <w:pPr>
        <w:jc w:val="center"/>
        <w:rPr>
          <w:rFonts w:ascii="Sylfaen" w:hAnsi="Sylfaen"/>
          <w:lang w:val="ka-GE"/>
        </w:rPr>
      </w:pPr>
    </w:p>
    <w:p w14:paraId="0D8906FC" w14:textId="16CC633E" w:rsidR="00170C12" w:rsidRPr="00F5432B" w:rsidRDefault="0013294E" w:rsidP="00646F3A">
      <w:pPr>
        <w:jc w:val="center"/>
        <w:rPr>
          <w:rFonts w:ascii="Sylfaen" w:hAnsi="Sylfaen"/>
          <w:lang w:val="ka-GE"/>
        </w:rPr>
      </w:pPr>
      <w:r>
        <w:rPr>
          <w:rFonts w:ascii="Sylfaen" w:hAnsi="Sylfaen"/>
          <w:lang w:val="ka-GE"/>
        </w:rPr>
        <w:t>„</w:t>
      </w:r>
      <w:r w:rsidR="6A614480" w:rsidRPr="00F5432B">
        <w:rPr>
          <w:rFonts w:ascii="Sylfaen" w:hAnsi="Sylfaen"/>
          <w:lang w:val="ka-GE"/>
        </w:rPr>
        <w:t xml:space="preserve">მობილური და ფიქსირებული ქსელებისთვის კაპიტალის საშუალო შეწონილი ღირებულების </w:t>
      </w:r>
      <w:r w:rsidR="6A614480" w:rsidRPr="00F5432B">
        <w:rPr>
          <w:rFonts w:ascii="Sylfaen" w:hAnsi="Sylfaen"/>
        </w:rPr>
        <w:t xml:space="preserve">(WACC) </w:t>
      </w:r>
      <w:r w:rsidR="6A614480" w:rsidRPr="00F5432B">
        <w:rPr>
          <w:rFonts w:ascii="Sylfaen" w:hAnsi="Sylfaen"/>
          <w:lang w:val="ka-GE"/>
        </w:rPr>
        <w:t>დადგენის თაობაზე</w:t>
      </w:r>
      <w:r>
        <w:rPr>
          <w:rFonts w:ascii="Sylfaen" w:hAnsi="Sylfaen"/>
          <w:lang w:val="ka-GE"/>
        </w:rPr>
        <w:t>“</w:t>
      </w:r>
      <w:r w:rsidR="6A614480" w:rsidRPr="00F5432B">
        <w:rPr>
          <w:rFonts w:ascii="Sylfaen" w:hAnsi="Sylfaen"/>
          <w:lang w:val="ka-GE"/>
        </w:rPr>
        <w:t xml:space="preserve"> საქართველოს კომუნიკაციების ეროვნული კომისიის 201</w:t>
      </w:r>
      <w:r w:rsidR="00AE44C1" w:rsidRPr="00F5432B">
        <w:rPr>
          <w:rFonts w:ascii="Sylfaen" w:hAnsi="Sylfaen"/>
          <w:lang w:val="ka-GE"/>
        </w:rPr>
        <w:t>7</w:t>
      </w:r>
      <w:r w:rsidR="6A614480" w:rsidRPr="00F5432B">
        <w:rPr>
          <w:rFonts w:ascii="Sylfaen" w:hAnsi="Sylfaen"/>
          <w:lang w:val="ka-GE"/>
        </w:rPr>
        <w:t xml:space="preserve"> წლის </w:t>
      </w:r>
      <w:r w:rsidR="00AE44C1" w:rsidRPr="00F5432B">
        <w:rPr>
          <w:rFonts w:ascii="Sylfaen" w:hAnsi="Sylfaen"/>
          <w:lang w:val="ka-GE"/>
        </w:rPr>
        <w:t>5</w:t>
      </w:r>
      <w:r w:rsidR="6A614480" w:rsidRPr="00F5432B">
        <w:rPr>
          <w:rFonts w:ascii="Sylfaen" w:hAnsi="Sylfaen"/>
          <w:lang w:val="ka-GE"/>
        </w:rPr>
        <w:t xml:space="preserve"> </w:t>
      </w:r>
      <w:r w:rsidR="00AE44C1" w:rsidRPr="00F5432B">
        <w:rPr>
          <w:rFonts w:ascii="Sylfaen" w:hAnsi="Sylfaen"/>
          <w:lang w:val="ka-GE"/>
        </w:rPr>
        <w:t xml:space="preserve">სექტემბრის </w:t>
      </w:r>
      <w:r w:rsidR="6A614480" w:rsidRPr="00F5432B">
        <w:rPr>
          <w:rFonts w:ascii="Sylfaen" w:hAnsi="Sylfaen"/>
        </w:rPr>
        <w:t>N</w:t>
      </w:r>
      <w:r w:rsidR="00AE44C1" w:rsidRPr="00F5432B">
        <w:rPr>
          <w:rFonts w:ascii="Sylfaen" w:hAnsi="Sylfaen"/>
          <w:lang w:val="ka-GE"/>
        </w:rPr>
        <w:t>592</w:t>
      </w:r>
      <w:r w:rsidR="6A614480" w:rsidRPr="00F5432B">
        <w:rPr>
          <w:rFonts w:ascii="Sylfaen" w:hAnsi="Sylfaen"/>
          <w:lang w:val="ka-GE"/>
        </w:rPr>
        <w:t xml:space="preserve">/9 გადაწყვეტილებაში ცვლილების შეტანის </w:t>
      </w:r>
      <w:r w:rsidR="001179D3">
        <w:rPr>
          <w:rFonts w:ascii="Sylfaen" w:hAnsi="Sylfaen"/>
          <w:lang w:val="ka-GE"/>
        </w:rPr>
        <w:t>შესახებ</w:t>
      </w:r>
    </w:p>
    <w:p w14:paraId="4E740898" w14:textId="7CED2557" w:rsidR="003F1BD4" w:rsidRPr="00F5432B" w:rsidRDefault="003F1BD4" w:rsidP="00646F3A">
      <w:pPr>
        <w:rPr>
          <w:rFonts w:ascii="Sylfaen" w:hAnsi="Sylfaen"/>
          <w:lang w:val="ka-GE"/>
        </w:rPr>
      </w:pPr>
    </w:p>
    <w:p w14:paraId="30BE7D5B" w14:textId="3FD22676" w:rsidR="003F1BD4" w:rsidRPr="00F5432B" w:rsidRDefault="003F1BD4" w:rsidP="00646F3A">
      <w:pPr>
        <w:jc w:val="both"/>
        <w:rPr>
          <w:rFonts w:ascii="Sylfaen" w:hAnsi="Sylfaen"/>
          <w:lang w:val="ka-GE"/>
        </w:rPr>
      </w:pPr>
      <w:r w:rsidRPr="00F5432B">
        <w:rPr>
          <w:rFonts w:ascii="Sylfaen" w:hAnsi="Sylfaen"/>
          <w:lang w:val="ka-GE"/>
        </w:rPr>
        <w:t xml:space="preserve">საქართველოს კომუნიკაციების ეროვნული კომისია (შემდგომში „კომისია“) აღნიშნავს, რომ კომისიის 2006 წლის 20 აპრილის </w:t>
      </w:r>
      <w:r w:rsidRPr="00F5432B">
        <w:rPr>
          <w:rFonts w:ascii="Sylfaen" w:hAnsi="Sylfaen"/>
        </w:rPr>
        <w:t xml:space="preserve">N5 </w:t>
      </w:r>
      <w:r w:rsidRPr="00F5432B">
        <w:rPr>
          <w:rFonts w:ascii="Sylfaen" w:hAnsi="Sylfaen"/>
          <w:lang w:val="ka-GE"/>
        </w:rPr>
        <w:t>დადგენილებით დამტკიცებული „ავტორიზებული პირების მიერ ხარჯთაღრიცხვისა და დანახარჯების განცალკევებულად განაწილების მეთოდოლოგიური წესების“ 25-ე მუხლის მე-3 პუნქტის თანახმად, „</w:t>
      </w:r>
      <w:r w:rsidR="00101AEB" w:rsidRPr="00F5432B">
        <w:rPr>
          <w:rFonts w:ascii="Sylfaen" w:hAnsi="Sylfaen"/>
          <w:lang w:val="ka-GE"/>
        </w:rPr>
        <w:t xml:space="preserve">კაპიტალის საშუალო შეწონილი ღირებულება </w:t>
      </w:r>
      <w:r w:rsidRPr="00F5432B">
        <w:rPr>
          <w:rFonts w:ascii="Sylfaen" w:hAnsi="Sylfaen"/>
        </w:rPr>
        <w:t>WACC</w:t>
      </w:r>
      <w:r w:rsidRPr="00F5432B">
        <w:rPr>
          <w:rFonts w:ascii="Sylfaen" w:hAnsi="Sylfaen"/>
          <w:lang w:val="ka-GE"/>
        </w:rPr>
        <w:t xml:space="preserve">-ი სხვადასხვა სატელეკომუნიკაციო მომსახურებისთვის დგინდება კომისიის გადაწყვეტილებით“. ამავე დადგენილების 25-ე მუხლის მე-4 პუნქტის შესაბამისად, </w:t>
      </w:r>
      <w:r w:rsidR="00010010" w:rsidRPr="00F5432B">
        <w:rPr>
          <w:rFonts w:ascii="Sylfaen" w:hAnsi="Sylfaen"/>
          <w:lang w:val="ka-GE"/>
        </w:rPr>
        <w:t>კაპიტალის საშუალო შეწონილი ღირებულებ</w:t>
      </w:r>
      <w:r w:rsidR="00010010">
        <w:rPr>
          <w:rFonts w:ascii="Sylfaen" w:hAnsi="Sylfaen"/>
          <w:lang w:val="ka-GE"/>
        </w:rPr>
        <w:t>ის (შემდგომში „</w:t>
      </w:r>
      <w:r w:rsidRPr="00F5432B">
        <w:rPr>
          <w:rFonts w:ascii="Sylfaen" w:hAnsi="Sylfaen"/>
        </w:rPr>
        <w:t>WACC</w:t>
      </w:r>
      <w:r w:rsidR="00010010">
        <w:rPr>
          <w:rFonts w:ascii="Sylfaen" w:hAnsi="Sylfaen"/>
          <w:lang w:val="ka-GE"/>
        </w:rPr>
        <w:t>”)</w:t>
      </w:r>
      <w:r w:rsidRPr="00F5432B">
        <w:rPr>
          <w:rFonts w:ascii="Sylfaen" w:hAnsi="Sylfaen"/>
          <w:lang w:val="ka-GE"/>
        </w:rPr>
        <w:t xml:space="preserve"> გაანგარიშების მიზნებისთვის, კომისია უფლებამოსილია ისარგებლოს საკონსულტაციო ან აუდიტორული კომპანიის მომსახურებით.</w:t>
      </w:r>
    </w:p>
    <w:p w14:paraId="5C6FF477" w14:textId="3C9691F4" w:rsidR="00AE44C1" w:rsidRPr="00F5432B" w:rsidRDefault="00AE44C1" w:rsidP="00646F3A">
      <w:pPr>
        <w:jc w:val="both"/>
        <w:rPr>
          <w:rFonts w:ascii="Sylfaen" w:hAnsi="Sylfaen"/>
          <w:lang w:val="ka-GE"/>
        </w:rPr>
      </w:pPr>
      <w:r w:rsidRPr="00F5432B">
        <w:rPr>
          <w:rFonts w:ascii="Sylfaen" w:hAnsi="Sylfaen"/>
          <w:lang w:val="ka-GE"/>
        </w:rPr>
        <w:t xml:space="preserve"> „მობილური და ფიქსირებული ქსელებისთვის კაპიტალის საშუალო შეწონილი ღირებულების (WACC) დადგენის თაობაზე“ </w:t>
      </w:r>
      <w:r w:rsidR="0013294E" w:rsidRPr="00F5432B">
        <w:rPr>
          <w:rFonts w:ascii="Sylfaen" w:hAnsi="Sylfaen"/>
          <w:lang w:val="ka-GE"/>
        </w:rPr>
        <w:t xml:space="preserve">კომისიის 2017 წლის 5 სექტემბრის N592/9 გადაწყვეტილებით </w:t>
      </w:r>
      <w:r w:rsidRPr="00F5432B">
        <w:rPr>
          <w:rFonts w:ascii="Sylfaen" w:hAnsi="Sylfaen"/>
          <w:lang w:val="ka-GE"/>
        </w:rPr>
        <w:t>მობილური ქსელისთვის დაბეგვრამდე კაპიტალის საშუალო შეწონილი ღირებულება დადგინდა 13.72 პროცენტის ოდენობით, ხოლო ფიქსირებული ქსელისთვის - 13.69 პროცენტის ოდენობით. ხოლო კომისიის 2018 წლის 22 ნოემბრის N655/19 გად</w:t>
      </w:r>
      <w:r w:rsidR="00914703">
        <w:rPr>
          <w:rFonts w:ascii="Sylfaen" w:hAnsi="Sylfaen"/>
          <w:lang w:val="ka-GE"/>
        </w:rPr>
        <w:t>ა</w:t>
      </w:r>
      <w:r w:rsidRPr="00F5432B">
        <w:rPr>
          <w:rFonts w:ascii="Sylfaen" w:hAnsi="Sylfaen"/>
          <w:lang w:val="ka-GE"/>
        </w:rPr>
        <w:t>წყვეტილებით შევიდა ცვლილება N592/9  გადაწყვეტილებაში და მობილური და ფიქსირებული ქსელებისთვის</w:t>
      </w:r>
      <w:r w:rsidR="00FF0D59">
        <w:rPr>
          <w:rFonts w:ascii="Sylfaen" w:hAnsi="Sylfaen"/>
          <w:lang w:val="ka-GE"/>
        </w:rPr>
        <w:t xml:space="preserve"> განისაზღვრა საერთო</w:t>
      </w:r>
      <w:r w:rsidRPr="00F5432B">
        <w:rPr>
          <w:rFonts w:ascii="Sylfaen" w:hAnsi="Sylfaen"/>
          <w:lang w:val="ka-GE"/>
        </w:rPr>
        <w:t xml:space="preserve"> კაპიტალის საშუალო შეწონილი ღირებულებ</w:t>
      </w:r>
      <w:r w:rsidR="00FF0D59">
        <w:rPr>
          <w:rFonts w:ascii="Sylfaen" w:hAnsi="Sylfaen"/>
          <w:lang w:val="ka-GE"/>
        </w:rPr>
        <w:t>ა</w:t>
      </w:r>
      <w:r w:rsidRPr="00F5432B">
        <w:rPr>
          <w:rFonts w:ascii="Sylfaen" w:hAnsi="Sylfaen"/>
          <w:lang w:val="ka-GE"/>
        </w:rPr>
        <w:t xml:space="preserve"> (WACC) 14.95 პროცენტის ოდენობით. </w:t>
      </w:r>
    </w:p>
    <w:p w14:paraId="53D2D976" w14:textId="58D04AD5" w:rsidR="00592880" w:rsidRPr="00E7114B" w:rsidRDefault="00914703" w:rsidP="00646F3A">
      <w:pPr>
        <w:jc w:val="both"/>
        <w:rPr>
          <w:rFonts w:ascii="Sylfaen" w:hAnsi="Sylfaen"/>
          <w:lang w:val="ka-GE"/>
        </w:rPr>
      </w:pPr>
      <w:r w:rsidRPr="00E7114B">
        <w:rPr>
          <w:rFonts w:ascii="Sylfaen" w:hAnsi="Sylfaen"/>
          <w:lang w:val="ka-GE"/>
        </w:rPr>
        <w:t xml:space="preserve">საქართველოში </w:t>
      </w:r>
      <w:r w:rsidR="00592880" w:rsidRPr="00E7114B">
        <w:rPr>
          <w:rFonts w:ascii="Sylfaen" w:hAnsi="Sylfaen"/>
          <w:lang w:val="ka-GE"/>
        </w:rPr>
        <w:t xml:space="preserve">მობილური, ფიქსირებული და </w:t>
      </w:r>
      <w:r w:rsidR="0049389A" w:rsidRPr="00E7114B">
        <w:rPr>
          <w:rFonts w:ascii="Sylfaen" w:hAnsi="Sylfaen"/>
          <w:lang w:val="ka-GE"/>
        </w:rPr>
        <w:t xml:space="preserve">ახალი თაობის ქსელებზე დაშვების </w:t>
      </w:r>
      <w:r w:rsidR="004C1E2D" w:rsidRPr="00E7114B">
        <w:rPr>
          <w:rFonts w:ascii="Sylfaen" w:hAnsi="Sylfaen"/>
          <w:lang w:val="ka-GE"/>
        </w:rPr>
        <w:t>(</w:t>
      </w:r>
      <w:r w:rsidR="00FF0D59" w:rsidRPr="00E7114B">
        <w:rPr>
          <w:rFonts w:ascii="Sylfaen" w:hAnsi="Sylfaen"/>
          <w:lang w:val="ka-GE"/>
        </w:rPr>
        <w:t>შემდგომში „</w:t>
      </w:r>
      <w:r w:rsidR="00592880" w:rsidRPr="00E7114B">
        <w:rPr>
          <w:rFonts w:ascii="Sylfaen" w:hAnsi="Sylfaen"/>
          <w:lang w:val="ka-GE"/>
        </w:rPr>
        <w:t>NGA</w:t>
      </w:r>
      <w:r w:rsidR="00FF0D59" w:rsidRPr="00E7114B">
        <w:rPr>
          <w:rFonts w:ascii="Sylfaen" w:hAnsi="Sylfaen"/>
          <w:lang w:val="ka-GE"/>
        </w:rPr>
        <w:t>“</w:t>
      </w:r>
      <w:r w:rsidR="00050317" w:rsidRPr="00E7114B">
        <w:rPr>
          <w:rStyle w:val="FootnoteReference"/>
          <w:rFonts w:ascii="Sylfaen" w:hAnsi="Sylfaen"/>
          <w:lang w:val="ka-GE"/>
        </w:rPr>
        <w:footnoteReference w:id="1"/>
      </w:r>
      <w:r w:rsidR="004C1E2D" w:rsidRPr="00E7114B">
        <w:rPr>
          <w:rFonts w:ascii="Sylfaen" w:hAnsi="Sylfaen"/>
          <w:lang w:val="ka-GE"/>
        </w:rPr>
        <w:t>)</w:t>
      </w:r>
      <w:r w:rsidR="008E7F6B" w:rsidRPr="00E7114B">
        <w:rPr>
          <w:rFonts w:ascii="Sylfaen" w:hAnsi="Sylfaen"/>
          <w:lang w:val="ka-GE"/>
        </w:rPr>
        <w:t xml:space="preserve"> </w:t>
      </w:r>
      <w:r w:rsidR="0094362F" w:rsidRPr="00E7114B">
        <w:rPr>
          <w:rFonts w:ascii="Sylfaen" w:hAnsi="Sylfaen"/>
          <w:lang w:val="ka-GE"/>
        </w:rPr>
        <w:t>ბაზრებისთვის</w:t>
      </w:r>
      <w:r w:rsidR="00E2590A" w:rsidRPr="00E7114B">
        <w:rPr>
          <w:rFonts w:ascii="Sylfaen" w:hAnsi="Sylfaen"/>
          <w:lang w:val="ka-GE"/>
        </w:rPr>
        <w:t xml:space="preserve"> ევროკავშირის ქვეყნების საუკეთესო პრაქტიკის შესაბამისად </w:t>
      </w:r>
      <w:r w:rsidR="00E2590A" w:rsidRPr="004144CF">
        <w:rPr>
          <w:rFonts w:ascii="Sylfaen" w:hAnsi="Sylfaen"/>
          <w:lang w:val="ka-GE"/>
        </w:rPr>
        <w:t xml:space="preserve">WACC </w:t>
      </w:r>
      <w:r w:rsidR="00E2590A" w:rsidRPr="00E7114B">
        <w:rPr>
          <w:rFonts w:ascii="Sylfaen" w:hAnsi="Sylfaen"/>
          <w:lang w:val="ka-GE"/>
        </w:rPr>
        <w:t>არსებული მეთოდოლოგიის გადახედ</w:t>
      </w:r>
      <w:r w:rsidR="00A6475B" w:rsidRPr="00E7114B">
        <w:rPr>
          <w:rFonts w:ascii="Sylfaen" w:hAnsi="Sylfaen"/>
          <w:lang w:val="ka-GE"/>
        </w:rPr>
        <w:t>ვისა</w:t>
      </w:r>
      <w:r w:rsidR="00E2590A" w:rsidRPr="00E7114B">
        <w:rPr>
          <w:rFonts w:ascii="Sylfaen" w:hAnsi="Sylfaen"/>
          <w:lang w:val="ka-GE"/>
        </w:rPr>
        <w:t xml:space="preserve"> და განახლების</w:t>
      </w:r>
      <w:r w:rsidR="00A6475B" w:rsidRPr="00E7114B">
        <w:rPr>
          <w:rFonts w:ascii="Sylfaen" w:hAnsi="Sylfaen"/>
          <w:lang w:val="ka-GE"/>
        </w:rPr>
        <w:t xml:space="preserve"> მიზნით</w:t>
      </w:r>
      <w:r w:rsidR="00E2590A" w:rsidRPr="00E7114B">
        <w:rPr>
          <w:rFonts w:ascii="Sylfaen" w:hAnsi="Sylfaen"/>
          <w:lang w:val="ka-GE"/>
        </w:rPr>
        <w:t xml:space="preserve"> 2020 წლის 20 ივლისს გამოცხადდა ელექტ</w:t>
      </w:r>
      <w:r w:rsidR="00A6475B" w:rsidRPr="00E7114B">
        <w:rPr>
          <w:rFonts w:ascii="Sylfaen" w:hAnsi="Sylfaen"/>
          <w:lang w:val="ka-GE"/>
        </w:rPr>
        <w:t>რო</w:t>
      </w:r>
      <w:r w:rsidR="00E2590A" w:rsidRPr="00E7114B">
        <w:rPr>
          <w:rFonts w:ascii="Sylfaen" w:hAnsi="Sylfaen"/>
          <w:lang w:val="ka-GE"/>
        </w:rPr>
        <w:t>ნული ტენდერი NAT200010357</w:t>
      </w:r>
      <w:r w:rsidR="00A6475B" w:rsidRPr="00E7114B">
        <w:rPr>
          <w:rFonts w:ascii="Sylfaen" w:hAnsi="Sylfaen"/>
          <w:lang w:val="ka-GE"/>
        </w:rPr>
        <w:t>. ტენდერში გამარჯვებულმა საკონსულტაციო კომპანიამ „</w:t>
      </w:r>
      <w:proofErr w:type="spellStart"/>
      <w:r w:rsidR="00A6475B" w:rsidRPr="00E7114B">
        <w:rPr>
          <w:rFonts w:ascii="Sylfaen" w:hAnsi="Sylfaen"/>
          <w:lang w:val="ka-GE"/>
        </w:rPr>
        <w:t>Pricewaterhouse</w:t>
      </w:r>
      <w:proofErr w:type="spellEnd"/>
      <w:r w:rsidR="00A6475B" w:rsidRPr="00E7114B">
        <w:rPr>
          <w:rFonts w:ascii="Sylfaen" w:hAnsi="Sylfaen"/>
          <w:lang w:val="ka-GE"/>
        </w:rPr>
        <w:t xml:space="preserve"> </w:t>
      </w:r>
      <w:proofErr w:type="spellStart"/>
      <w:r w:rsidR="00A6475B" w:rsidRPr="00E7114B">
        <w:rPr>
          <w:rFonts w:ascii="Sylfaen" w:hAnsi="Sylfaen"/>
          <w:lang w:val="ka-GE"/>
        </w:rPr>
        <w:t>Coopers</w:t>
      </w:r>
      <w:proofErr w:type="spellEnd"/>
      <w:r w:rsidR="00A6475B" w:rsidRPr="00E7114B">
        <w:rPr>
          <w:rFonts w:ascii="Sylfaen" w:hAnsi="Sylfaen"/>
          <w:lang w:val="ka-GE"/>
        </w:rPr>
        <w:t xml:space="preserve"> </w:t>
      </w:r>
      <w:proofErr w:type="spellStart"/>
      <w:r w:rsidR="00A6475B" w:rsidRPr="00E7114B">
        <w:rPr>
          <w:rFonts w:ascii="Sylfaen" w:hAnsi="Sylfaen"/>
          <w:lang w:val="ka-GE"/>
        </w:rPr>
        <w:t>Advisory</w:t>
      </w:r>
      <w:proofErr w:type="spellEnd"/>
      <w:r w:rsidR="00A6475B" w:rsidRPr="00E7114B">
        <w:rPr>
          <w:rFonts w:ascii="Sylfaen" w:hAnsi="Sylfaen"/>
          <w:lang w:val="ka-GE"/>
        </w:rPr>
        <w:t xml:space="preserve">, </w:t>
      </w:r>
      <w:r w:rsidR="00E7114B" w:rsidRPr="004144CF">
        <w:rPr>
          <w:rFonts w:ascii="Sylfaen" w:hAnsi="Sylfaen"/>
          <w:lang w:val="ka-GE"/>
        </w:rPr>
        <w:t>S</w:t>
      </w:r>
      <w:r w:rsidR="00A6475B" w:rsidRPr="00E7114B">
        <w:rPr>
          <w:rFonts w:ascii="Sylfaen" w:hAnsi="Sylfaen"/>
          <w:lang w:val="ka-GE"/>
        </w:rPr>
        <w:t>. R. O (PWC)” (შემდგომში “PWC”)</w:t>
      </w:r>
      <w:r w:rsidR="0094362F" w:rsidRPr="00E7114B">
        <w:rPr>
          <w:rFonts w:ascii="Sylfaen" w:hAnsi="Sylfaen"/>
          <w:lang w:val="ka-GE"/>
        </w:rPr>
        <w:t xml:space="preserve"> </w:t>
      </w:r>
      <w:proofErr w:type="spellStart"/>
      <w:r w:rsidR="00A6475B" w:rsidRPr="004144CF">
        <w:rPr>
          <w:rFonts w:ascii="Sylfaen" w:hAnsi="Sylfaen"/>
          <w:lang w:val="ka-GE"/>
        </w:rPr>
        <w:t>სატენდერო</w:t>
      </w:r>
      <w:proofErr w:type="spellEnd"/>
      <w:r w:rsidR="00A6475B" w:rsidRPr="004144CF">
        <w:rPr>
          <w:rFonts w:ascii="Sylfaen" w:hAnsi="Sylfaen"/>
          <w:lang w:val="ka-GE"/>
        </w:rPr>
        <w:t xml:space="preserve"> პირობების შესაბამისად კომისიასთან </w:t>
      </w:r>
      <w:r w:rsidR="00A6475B" w:rsidRPr="00E7114B">
        <w:rPr>
          <w:rFonts w:ascii="Sylfaen" w:hAnsi="Sylfaen"/>
          <w:lang w:val="ka-GE"/>
        </w:rPr>
        <w:t>2020 წლის 3 სექტემბერს</w:t>
      </w:r>
      <w:r w:rsidR="00494E36" w:rsidRPr="00E7114B">
        <w:rPr>
          <w:rFonts w:ascii="Sylfaen" w:hAnsi="Sylfaen"/>
          <w:lang w:val="ka-GE"/>
        </w:rPr>
        <w:t xml:space="preserve"> გაფორმებული</w:t>
      </w:r>
      <w:r w:rsidR="00A6475B" w:rsidRPr="00E7114B">
        <w:rPr>
          <w:rFonts w:ascii="Sylfaen" w:hAnsi="Sylfaen"/>
          <w:lang w:val="ka-GE"/>
        </w:rPr>
        <w:t xml:space="preserve"> N0309/01-20 სახელმწიფო შესყიდვის ხელშეკრულების </w:t>
      </w:r>
      <w:r w:rsidR="00A6475B" w:rsidRPr="00E31545">
        <w:rPr>
          <w:rFonts w:ascii="Sylfaen" w:hAnsi="Sylfaen"/>
          <w:b/>
          <w:bCs/>
          <w:lang w:val="ka-GE"/>
        </w:rPr>
        <w:t xml:space="preserve">თანახმად უზრუნველყო </w:t>
      </w:r>
      <w:r w:rsidR="00A53A59" w:rsidRPr="00E31545">
        <w:rPr>
          <w:rFonts w:ascii="Sylfaen" w:eastAsia="Times New Roman" w:hAnsi="Sylfaen" w:cs="Sylfaen"/>
          <w:b/>
          <w:bCs/>
          <w:lang w:val="ka-GE"/>
        </w:rPr>
        <w:t>განცალკევებული აღრიცხვის</w:t>
      </w:r>
      <w:r w:rsidR="001D062E" w:rsidRPr="00E31545">
        <w:rPr>
          <w:rFonts w:ascii="Sylfaen" w:hAnsi="Sylfaen"/>
          <w:b/>
          <w:bCs/>
          <w:lang w:val="ka-GE"/>
        </w:rPr>
        <w:t xml:space="preserve"> </w:t>
      </w:r>
      <w:r w:rsidR="00A53A59" w:rsidRPr="00E31545">
        <w:rPr>
          <w:rFonts w:ascii="Sylfaen" w:hAnsi="Sylfaen"/>
          <w:b/>
          <w:bCs/>
          <w:lang w:val="ka-GE"/>
        </w:rPr>
        <w:t>სახელმძღვანელოს შესწავლისა და განახლებისა და WACC-ის გადაანგარიშების საკონსულტაციო მომსახურება, მათ შორის, წარმოდგენილ</w:t>
      </w:r>
      <w:r w:rsidR="00A53A59" w:rsidRPr="00E7114B">
        <w:rPr>
          <w:rFonts w:ascii="Sylfaen" w:hAnsi="Sylfaen"/>
          <w:lang w:val="ka-GE"/>
        </w:rPr>
        <w:t xml:space="preserve"> იქნა </w:t>
      </w:r>
      <w:r w:rsidR="00A53A59" w:rsidRPr="004144CF">
        <w:rPr>
          <w:rFonts w:ascii="Sylfaen" w:hAnsi="Sylfaen"/>
          <w:lang w:val="ka-GE"/>
        </w:rPr>
        <w:t>WACC მეთოდოლოგია და წინასწარი შედეგები</w:t>
      </w:r>
      <w:r w:rsidR="00A53A59" w:rsidRPr="00E7114B">
        <w:rPr>
          <w:rFonts w:ascii="Sylfaen" w:hAnsi="Sylfaen"/>
          <w:lang w:val="ka-GE"/>
        </w:rPr>
        <w:t>.</w:t>
      </w:r>
    </w:p>
    <w:p w14:paraId="089E0EF8" w14:textId="55532DC9" w:rsidR="00592880" w:rsidRPr="0010506D" w:rsidRDefault="6A614480" w:rsidP="00646F3A">
      <w:pPr>
        <w:jc w:val="both"/>
        <w:rPr>
          <w:rFonts w:ascii="Sylfaen" w:hAnsi="Sylfaen"/>
          <w:lang w:val="ka-GE"/>
        </w:rPr>
      </w:pPr>
      <w:r w:rsidRPr="00E7114B">
        <w:rPr>
          <w:rFonts w:ascii="Sylfaen" w:hAnsi="Sylfaen"/>
          <w:lang w:val="ka-GE"/>
        </w:rPr>
        <w:t>„</w:t>
      </w:r>
      <w:proofErr w:type="spellStart"/>
      <w:r w:rsidRPr="00E7114B">
        <w:rPr>
          <w:rFonts w:ascii="Sylfaen" w:hAnsi="Sylfaen"/>
          <w:lang w:val="ka-GE"/>
        </w:rPr>
        <w:t>Pricewaterhouse</w:t>
      </w:r>
      <w:proofErr w:type="spellEnd"/>
      <w:r w:rsidRPr="00E7114B">
        <w:rPr>
          <w:rFonts w:ascii="Sylfaen" w:hAnsi="Sylfaen"/>
          <w:lang w:val="ka-GE"/>
        </w:rPr>
        <w:t xml:space="preserve"> </w:t>
      </w:r>
      <w:proofErr w:type="spellStart"/>
      <w:r w:rsidRPr="00E7114B">
        <w:rPr>
          <w:rFonts w:ascii="Sylfaen" w:hAnsi="Sylfaen"/>
          <w:lang w:val="ka-GE"/>
        </w:rPr>
        <w:t>Coopers</w:t>
      </w:r>
      <w:proofErr w:type="spellEnd"/>
      <w:r w:rsidRPr="00E7114B">
        <w:rPr>
          <w:rFonts w:ascii="Sylfaen" w:hAnsi="Sylfaen"/>
          <w:lang w:val="ka-GE"/>
        </w:rPr>
        <w:t xml:space="preserve"> </w:t>
      </w:r>
      <w:proofErr w:type="spellStart"/>
      <w:r w:rsidRPr="00E7114B">
        <w:rPr>
          <w:rFonts w:ascii="Sylfaen" w:hAnsi="Sylfaen"/>
          <w:lang w:val="ka-GE"/>
        </w:rPr>
        <w:t>Advisory</w:t>
      </w:r>
      <w:proofErr w:type="spellEnd"/>
      <w:r w:rsidRPr="00E7114B">
        <w:rPr>
          <w:rFonts w:ascii="Sylfaen" w:hAnsi="Sylfaen"/>
          <w:lang w:val="ka-GE"/>
        </w:rPr>
        <w:t>, s. r. o (PWC)” მიერ წარმოდგენილ კაპიტალის საშუალო შეწონილი ღირებულების გაანგარიშების</w:t>
      </w:r>
      <w:r w:rsidR="00166F3B" w:rsidRPr="00E7114B">
        <w:rPr>
          <w:rFonts w:ascii="Sylfaen" w:hAnsi="Sylfaen"/>
          <w:lang w:val="ka-GE"/>
        </w:rPr>
        <w:t xml:space="preserve"> </w:t>
      </w:r>
      <w:r w:rsidR="00966E29" w:rsidRPr="00E7114B">
        <w:rPr>
          <w:rFonts w:ascii="Sylfaen" w:hAnsi="Sylfaen"/>
          <w:lang w:val="ka-GE"/>
        </w:rPr>
        <w:t xml:space="preserve">-  </w:t>
      </w:r>
      <w:r w:rsidR="00166F3B" w:rsidRPr="004144CF">
        <w:rPr>
          <w:rFonts w:ascii="Sylfaen" w:hAnsi="Sylfaen"/>
          <w:lang w:val="ka-GE"/>
        </w:rPr>
        <w:t>WACC</w:t>
      </w:r>
      <w:r w:rsidRPr="00E7114B">
        <w:rPr>
          <w:rFonts w:ascii="Sylfaen" w:hAnsi="Sylfaen"/>
          <w:lang w:val="ka-GE"/>
        </w:rPr>
        <w:t xml:space="preserve"> მეთოდოლოგიისა და შედეგების დოკუმენტში </w:t>
      </w:r>
      <w:r w:rsidR="00966E29" w:rsidRPr="00E7114B">
        <w:rPr>
          <w:rFonts w:ascii="Sylfaen" w:hAnsi="Sylfaen"/>
          <w:lang w:val="ka-GE"/>
        </w:rPr>
        <w:t xml:space="preserve">(შემდგომში </w:t>
      </w:r>
      <w:r w:rsidR="00966E29" w:rsidRPr="00E7114B">
        <w:rPr>
          <w:rFonts w:ascii="Sylfaen" w:hAnsi="Sylfaen"/>
          <w:lang w:val="ka-GE"/>
        </w:rPr>
        <w:lastRenderedPageBreak/>
        <w:t>„</w:t>
      </w:r>
      <w:r w:rsidR="00966E29" w:rsidRPr="004144CF">
        <w:rPr>
          <w:rFonts w:ascii="Sylfaen" w:hAnsi="Sylfaen"/>
          <w:lang w:val="ka-GE"/>
        </w:rPr>
        <w:t xml:space="preserve">PWC </w:t>
      </w:r>
      <w:r w:rsidR="00966E29" w:rsidRPr="00E7114B">
        <w:rPr>
          <w:rFonts w:ascii="Sylfaen" w:hAnsi="Sylfaen"/>
          <w:lang w:val="ka-GE"/>
        </w:rPr>
        <w:t xml:space="preserve">სარეკომენდაციო დოკუმენტი“) </w:t>
      </w:r>
      <w:r w:rsidRPr="00E7114B">
        <w:rPr>
          <w:rFonts w:ascii="Sylfaen" w:hAnsi="Sylfaen"/>
          <w:lang w:val="ka-GE"/>
        </w:rPr>
        <w:t xml:space="preserve">აღნიშნულია, რომ კაპიტალის საშუალო შეწონილი ღირებულების გაანგარიშების </w:t>
      </w:r>
      <w:r w:rsidR="008E7F6B" w:rsidRPr="00E7114B">
        <w:rPr>
          <w:rFonts w:ascii="Sylfaen" w:hAnsi="Sylfaen"/>
          <w:lang w:val="ka-GE"/>
        </w:rPr>
        <w:t xml:space="preserve">შემოთავაზებული </w:t>
      </w:r>
      <w:r w:rsidRPr="00E7114B">
        <w:rPr>
          <w:rFonts w:ascii="Sylfaen" w:hAnsi="Sylfaen"/>
          <w:lang w:val="ka-GE"/>
        </w:rPr>
        <w:t xml:space="preserve">მეთოდოლოგია ეფუძნება </w:t>
      </w:r>
      <w:r w:rsidR="00D75897" w:rsidRPr="00E7114B">
        <w:rPr>
          <w:rFonts w:ascii="Sylfaen" w:hAnsi="Sylfaen"/>
          <w:lang w:val="ka-GE"/>
        </w:rPr>
        <w:t xml:space="preserve">ევროკავშირის სხვადასხვა მარეგულირებლის, </w:t>
      </w:r>
      <w:r w:rsidR="003E586F" w:rsidRPr="00E7114B">
        <w:rPr>
          <w:rFonts w:ascii="Sylfaen" w:hAnsi="Sylfaen"/>
          <w:lang w:val="ka-GE"/>
        </w:rPr>
        <w:t xml:space="preserve">ასევე </w:t>
      </w:r>
      <w:r w:rsidR="00D75897" w:rsidRPr="00E7114B">
        <w:rPr>
          <w:rFonts w:ascii="Sylfaen" w:hAnsi="Sylfaen"/>
          <w:lang w:val="ka-GE"/>
        </w:rPr>
        <w:t>BEREC-ის და ITU-ს მიერ</w:t>
      </w:r>
      <w:r w:rsidR="00C05A8C" w:rsidRPr="00E7114B">
        <w:rPr>
          <w:rFonts w:ascii="Sylfaen" w:hAnsi="Sylfaen"/>
          <w:lang w:val="ka-GE"/>
        </w:rPr>
        <w:t xml:space="preserve"> </w:t>
      </w:r>
      <w:r w:rsidRPr="00E7114B">
        <w:rPr>
          <w:rFonts w:ascii="Sylfaen" w:hAnsi="Sylfaen"/>
          <w:lang w:val="ka-GE"/>
        </w:rPr>
        <w:t>გამოქვეყნებულ კაპიტალის საშუალო შეწონილი ღირებულების გაანგარიშების სახელმძღვანელო მითითებებს</w:t>
      </w:r>
      <w:r w:rsidR="007D01AA" w:rsidRPr="00E7114B">
        <w:rPr>
          <w:rFonts w:ascii="Sylfaen" w:hAnsi="Sylfaen"/>
          <w:lang w:val="ka-GE"/>
        </w:rPr>
        <w:t xml:space="preserve"> და</w:t>
      </w:r>
      <w:r w:rsidRPr="00E7114B">
        <w:rPr>
          <w:rFonts w:ascii="Sylfaen" w:hAnsi="Sylfaen"/>
          <w:lang w:val="ka-GE"/>
        </w:rPr>
        <w:t xml:space="preserve"> “WACC”-ის გაანგარიშების პრინციპები სრულ შესაბამისობაშია ევროპის სატელეკომუნიკაციო სექტორის მარეგულირებელი ორგანოების მიერ დადგენილ საუკეთესო პრაქტიკასთან.</w:t>
      </w:r>
    </w:p>
    <w:p w14:paraId="5351FF61" w14:textId="53F003D5" w:rsidR="00BA5BC0" w:rsidRPr="00F5432B" w:rsidRDefault="00BA5BC0" w:rsidP="00646F3A">
      <w:pPr>
        <w:jc w:val="both"/>
        <w:rPr>
          <w:rFonts w:ascii="Sylfaen" w:hAnsi="Sylfaen"/>
          <w:lang w:val="ka-GE"/>
        </w:rPr>
      </w:pPr>
      <w:r w:rsidRPr="00F5432B">
        <w:rPr>
          <w:rFonts w:ascii="Sylfaen" w:hAnsi="Sylfaen"/>
          <w:lang w:val="ka-GE"/>
        </w:rPr>
        <w:t xml:space="preserve">კაპიტალის საშუალო შეწონილი ღირებულება საკუთარი კაპიტალისა და ნასესხები კაპიტალის (ვალდებულებების) შეწონილი ღირებულების საფუძველზე </w:t>
      </w:r>
      <w:r w:rsidR="004D746D">
        <w:rPr>
          <w:rFonts w:ascii="Sylfaen" w:hAnsi="Sylfaen"/>
          <w:lang w:val="ka-GE"/>
        </w:rPr>
        <w:t>გამოითვლება.</w:t>
      </w:r>
      <w:r w:rsidR="004D746D" w:rsidRPr="00F5432B">
        <w:rPr>
          <w:rFonts w:ascii="Sylfaen" w:hAnsi="Sylfaen"/>
          <w:lang w:val="ka-GE"/>
        </w:rPr>
        <w:t xml:space="preserve"> </w:t>
      </w:r>
      <w:r w:rsidRPr="00F5432B">
        <w:rPr>
          <w:rFonts w:ascii="Sylfaen" w:hAnsi="Sylfaen"/>
          <w:lang w:val="ka-GE"/>
        </w:rPr>
        <w:t xml:space="preserve">კაპიტალის საშუალო შეწონილი ღირებულება გამოითვლება, როგორც </w:t>
      </w:r>
      <w:r w:rsidR="00230CDF" w:rsidRPr="00764D90">
        <w:rPr>
          <w:rFonts w:ascii="Sylfaen" w:hAnsi="Sylfaen"/>
          <w:lang w:val="ka-GE"/>
        </w:rPr>
        <w:t xml:space="preserve"> </w:t>
      </w:r>
      <w:r w:rsidRPr="00F5432B">
        <w:rPr>
          <w:rFonts w:ascii="Sylfaen" w:hAnsi="Sylfaen"/>
          <w:lang w:val="ka-GE"/>
        </w:rPr>
        <w:t>საგადასახადო დაბეგვრის გათვალისწინებით, ასევე მისი გათვალისწინების გარეშეც. ევროპის სატელეკომუნიკაციო სექტორის მარეგულირებელი ორგანოების მიერ დაწესებული საუკეთესო პრაქტიკის მიხედვით ტარიფების გაანგარიშებისას კაპიტალის საშუალო შეწონილი ღირებულების დაბეგვრამდე მაჩვენებელი უნდა იქნას გამოყენებული, რადგან ტარიფების გაანგარიშების “LRIC” მოდელში მოგების გადასახადი დანახარჯებში არ გაითვალისწინება. კაპიტალის საშუალო შეწონილი ღირებულების არითმეტიკული გაანგარიშების ფორმულა, როგორც დაბეგვრის გათვალისწინებით, ისე დაბეგვრის გათვალისწინების გარეშე გამოიყურება შემდეგნაირად:</w:t>
      </w:r>
    </w:p>
    <w:p w14:paraId="3DE3F2A6" w14:textId="7FC1B78D" w:rsidR="00BA5BC0" w:rsidRPr="00F5432B" w:rsidRDefault="6A614480" w:rsidP="00646F3A">
      <w:pPr>
        <w:spacing w:after="315" w:line="375" w:lineRule="atLeast"/>
        <w:jc w:val="both"/>
        <w:rPr>
          <w:rFonts w:ascii="Sylfaen" w:hAnsi="Sylfaen"/>
          <w:lang w:val="ka-GE"/>
        </w:rPr>
      </w:pPr>
      <w:r w:rsidRPr="00F5432B">
        <w:rPr>
          <w:rFonts w:ascii="Sylfaen" w:hAnsi="Sylfaen"/>
          <w:lang w:val="ka-GE"/>
        </w:rPr>
        <w:t>WACC=</w:t>
      </w:r>
      <w:proofErr w:type="spellStart"/>
      <w:r w:rsidRPr="00F5432B">
        <w:rPr>
          <w:rFonts w:ascii="Sylfaen" w:hAnsi="Sylfaen"/>
          <w:lang w:val="ka-GE"/>
        </w:rPr>
        <w:t>R</w:t>
      </w:r>
      <w:r w:rsidRPr="00BB0DB3">
        <w:rPr>
          <w:rFonts w:ascii="Sylfaen" w:hAnsi="Sylfaen"/>
          <w:vertAlign w:val="subscript"/>
          <w:lang w:val="ka-GE"/>
        </w:rPr>
        <w:t>e</w:t>
      </w:r>
      <w:proofErr w:type="spellEnd"/>
      <w:r w:rsidRPr="00F5432B">
        <w:rPr>
          <w:rFonts w:ascii="Sylfaen" w:hAnsi="Sylfaen"/>
          <w:lang w:val="ka-GE"/>
        </w:rPr>
        <w:t xml:space="preserve"> x </w:t>
      </w:r>
      <w:proofErr w:type="spellStart"/>
      <w:r w:rsidRPr="00F5432B">
        <w:rPr>
          <w:rFonts w:ascii="Sylfaen" w:hAnsi="Sylfaen"/>
          <w:lang w:val="ka-GE"/>
        </w:rPr>
        <w:t>W</w:t>
      </w:r>
      <w:r w:rsidRPr="00BB0DB3">
        <w:rPr>
          <w:rFonts w:ascii="Sylfaen" w:hAnsi="Sylfaen"/>
          <w:vertAlign w:val="subscript"/>
          <w:lang w:val="ka-GE"/>
        </w:rPr>
        <w:t>e</w:t>
      </w:r>
      <w:proofErr w:type="spellEnd"/>
      <w:r w:rsidRPr="00F5432B">
        <w:rPr>
          <w:rFonts w:ascii="Sylfaen" w:hAnsi="Sylfaen"/>
          <w:lang w:val="ka-GE"/>
        </w:rPr>
        <w:t xml:space="preserve"> +</w:t>
      </w:r>
      <w:proofErr w:type="spellStart"/>
      <w:r w:rsidRPr="00F5432B">
        <w:rPr>
          <w:rFonts w:ascii="Sylfaen" w:hAnsi="Sylfaen"/>
          <w:lang w:val="ka-GE"/>
        </w:rPr>
        <w:t>R</w:t>
      </w:r>
      <w:r w:rsidRPr="00BB0DB3">
        <w:rPr>
          <w:rFonts w:ascii="Sylfaen" w:hAnsi="Sylfaen"/>
          <w:vertAlign w:val="subscript"/>
          <w:lang w:val="ka-GE"/>
        </w:rPr>
        <w:t>d</w:t>
      </w:r>
      <w:proofErr w:type="spellEnd"/>
      <w:r w:rsidRPr="00F5432B">
        <w:rPr>
          <w:rFonts w:ascii="Sylfaen" w:hAnsi="Sylfaen"/>
          <w:lang w:val="ka-GE"/>
        </w:rPr>
        <w:t xml:space="preserve"> x (1-T) x </w:t>
      </w:r>
      <w:proofErr w:type="spellStart"/>
      <w:r w:rsidRPr="00F5432B">
        <w:rPr>
          <w:rFonts w:ascii="Sylfaen" w:hAnsi="Sylfaen"/>
          <w:lang w:val="ka-GE"/>
        </w:rPr>
        <w:t>W</w:t>
      </w:r>
      <w:r w:rsidRPr="00BB0DB3">
        <w:rPr>
          <w:rFonts w:ascii="Sylfaen" w:hAnsi="Sylfaen"/>
          <w:vertAlign w:val="subscript"/>
          <w:lang w:val="ka-GE"/>
        </w:rPr>
        <w:t>d</w:t>
      </w:r>
      <w:proofErr w:type="spellEnd"/>
    </w:p>
    <w:p w14:paraId="7F2026F7" w14:textId="7F6320CF" w:rsidR="00BA5BC0" w:rsidRPr="00A57A6F" w:rsidRDefault="00BA5BC0" w:rsidP="00646F3A">
      <w:pPr>
        <w:spacing w:after="315" w:line="375" w:lineRule="atLeast"/>
        <w:jc w:val="both"/>
        <w:rPr>
          <w:rFonts w:ascii="Sylfaen" w:hAnsi="Sylfaen"/>
          <w:lang w:val="de-DE"/>
        </w:rPr>
      </w:pPr>
      <w:proofErr w:type="spellStart"/>
      <w:r w:rsidRPr="00F5432B">
        <w:rPr>
          <w:rFonts w:ascii="Sylfaen" w:hAnsi="Sylfaen"/>
          <w:lang w:val="ka-GE"/>
        </w:rPr>
        <w:t>W</w:t>
      </w:r>
      <w:r w:rsidRPr="00BB0DB3">
        <w:rPr>
          <w:rFonts w:ascii="Sylfaen" w:hAnsi="Sylfaen"/>
          <w:vertAlign w:val="subscript"/>
          <w:lang w:val="ka-GE"/>
        </w:rPr>
        <w:t>d</w:t>
      </w:r>
      <w:proofErr w:type="spellEnd"/>
      <w:r w:rsidRPr="00F5432B">
        <w:rPr>
          <w:rFonts w:ascii="Sylfaen" w:hAnsi="Sylfaen"/>
          <w:lang w:val="ka-GE"/>
        </w:rPr>
        <w:t>=D/(D+E)</w:t>
      </w:r>
      <w:r w:rsidR="00016847" w:rsidRPr="00A57A6F">
        <w:rPr>
          <w:rFonts w:ascii="Sylfaen" w:hAnsi="Sylfaen"/>
          <w:lang w:val="de-DE"/>
        </w:rPr>
        <w:t xml:space="preserve">   </w:t>
      </w:r>
      <w:r w:rsidR="00016847" w:rsidRPr="00F5432B">
        <w:rPr>
          <w:rFonts w:ascii="Sylfaen" w:hAnsi="Sylfaen"/>
          <w:lang w:val="ka-GE"/>
        </w:rPr>
        <w:t>(1)</w:t>
      </w:r>
    </w:p>
    <w:p w14:paraId="0F83D77B" w14:textId="77777777" w:rsidR="00BA5BC0" w:rsidRPr="00F5432B" w:rsidRDefault="00BA5BC0" w:rsidP="00646F3A">
      <w:pPr>
        <w:spacing w:after="315" w:line="375" w:lineRule="atLeast"/>
        <w:jc w:val="both"/>
        <w:rPr>
          <w:rFonts w:ascii="Sylfaen" w:hAnsi="Sylfaen"/>
          <w:lang w:val="ka-GE"/>
        </w:rPr>
      </w:pPr>
      <w:proofErr w:type="spellStart"/>
      <w:r w:rsidRPr="00F5432B">
        <w:rPr>
          <w:rFonts w:ascii="Sylfaen" w:hAnsi="Sylfaen"/>
          <w:lang w:val="ka-GE"/>
        </w:rPr>
        <w:t>W</w:t>
      </w:r>
      <w:r w:rsidRPr="00BB0DB3">
        <w:rPr>
          <w:rFonts w:ascii="Sylfaen" w:hAnsi="Sylfaen"/>
          <w:vertAlign w:val="subscript"/>
          <w:lang w:val="ka-GE"/>
        </w:rPr>
        <w:t>e</w:t>
      </w:r>
      <w:proofErr w:type="spellEnd"/>
      <w:r w:rsidRPr="00F5432B">
        <w:rPr>
          <w:rFonts w:ascii="Sylfaen" w:hAnsi="Sylfaen"/>
          <w:lang w:val="ka-GE"/>
        </w:rPr>
        <w:t>=E/(D+E)</w:t>
      </w:r>
    </w:p>
    <w:p w14:paraId="4FEE4600" w14:textId="77777777" w:rsidR="00BA5BC0" w:rsidRPr="00F5432B" w:rsidRDefault="00BA5BC0" w:rsidP="00646F3A">
      <w:pPr>
        <w:spacing w:after="315" w:line="375" w:lineRule="atLeast"/>
        <w:jc w:val="both"/>
        <w:rPr>
          <w:rFonts w:ascii="Sylfaen" w:hAnsi="Sylfaen"/>
          <w:lang w:val="ka-GE"/>
        </w:rPr>
      </w:pPr>
      <w:r w:rsidRPr="00F5432B">
        <w:rPr>
          <w:rFonts w:ascii="Sylfaen" w:hAnsi="Sylfaen"/>
          <w:lang w:val="ka-GE"/>
        </w:rPr>
        <w:t>დასაბეგრი WACC=დაბეგრილი WACC/(1-T)</w:t>
      </w:r>
    </w:p>
    <w:p w14:paraId="0300504F" w14:textId="77777777" w:rsidR="00BA5BC0" w:rsidRPr="00F5432B" w:rsidRDefault="00BA5BC0" w:rsidP="00646F3A">
      <w:pPr>
        <w:spacing w:after="315" w:line="375" w:lineRule="atLeast"/>
        <w:jc w:val="both"/>
        <w:rPr>
          <w:rFonts w:ascii="Sylfaen" w:hAnsi="Sylfaen"/>
          <w:lang w:val="ka-GE"/>
        </w:rPr>
      </w:pPr>
      <w:r w:rsidRPr="00F5432B">
        <w:rPr>
          <w:rFonts w:ascii="Sylfaen" w:hAnsi="Sylfaen"/>
          <w:lang w:val="ka-GE"/>
        </w:rPr>
        <w:t>სადაც,</w:t>
      </w:r>
    </w:p>
    <w:p w14:paraId="3E15A62A" w14:textId="53D07D48" w:rsidR="00BA5BC0" w:rsidRPr="00F5432B" w:rsidRDefault="00BA5BC0" w:rsidP="00646F3A">
      <w:pPr>
        <w:numPr>
          <w:ilvl w:val="0"/>
          <w:numId w:val="1"/>
        </w:numPr>
        <w:spacing w:after="0" w:line="315" w:lineRule="atLeast"/>
        <w:ind w:left="1470"/>
        <w:jc w:val="both"/>
        <w:rPr>
          <w:rFonts w:ascii="Sylfaen" w:hAnsi="Sylfaen"/>
          <w:lang w:val="ka-GE"/>
        </w:rPr>
      </w:pPr>
      <w:proofErr w:type="spellStart"/>
      <w:r w:rsidRPr="00F5432B">
        <w:rPr>
          <w:rFonts w:ascii="Sylfaen" w:hAnsi="Sylfaen"/>
          <w:lang w:val="ka-GE"/>
        </w:rPr>
        <w:t>R</w:t>
      </w:r>
      <w:r w:rsidRPr="00F051FE">
        <w:rPr>
          <w:rFonts w:ascii="Sylfaen" w:hAnsi="Sylfaen"/>
          <w:vertAlign w:val="subscript"/>
          <w:lang w:val="ka-GE"/>
        </w:rPr>
        <w:t>d</w:t>
      </w:r>
      <w:proofErr w:type="spellEnd"/>
      <w:r w:rsidRPr="00F5432B">
        <w:rPr>
          <w:rFonts w:ascii="Sylfaen" w:hAnsi="Sylfaen"/>
          <w:lang w:val="ka-GE"/>
        </w:rPr>
        <w:t xml:space="preserve"> – </w:t>
      </w:r>
      <w:r w:rsidR="00475968">
        <w:rPr>
          <w:rFonts w:ascii="Sylfaen" w:hAnsi="Sylfaen"/>
          <w:lang w:val="ka-GE"/>
        </w:rPr>
        <w:t>სასესხო</w:t>
      </w:r>
      <w:r w:rsidR="00475968" w:rsidRPr="00F5432B">
        <w:rPr>
          <w:rFonts w:ascii="Sylfaen" w:hAnsi="Sylfaen"/>
          <w:lang w:val="ka-GE"/>
        </w:rPr>
        <w:t xml:space="preserve"> </w:t>
      </w:r>
      <w:r w:rsidRPr="00F5432B">
        <w:rPr>
          <w:rFonts w:ascii="Sylfaen" w:hAnsi="Sylfaen"/>
          <w:lang w:val="ka-GE"/>
        </w:rPr>
        <w:t>კაპიტალის ღირებულების პროცენტული მაჩვენებელი;</w:t>
      </w:r>
    </w:p>
    <w:p w14:paraId="5F946D54" w14:textId="6C0A3B41" w:rsidR="00BA5BC0" w:rsidRPr="00F5432B" w:rsidRDefault="00BA5BC0" w:rsidP="00646F3A">
      <w:pPr>
        <w:numPr>
          <w:ilvl w:val="0"/>
          <w:numId w:val="1"/>
        </w:numPr>
        <w:spacing w:after="0" w:line="315" w:lineRule="atLeast"/>
        <w:ind w:left="1470"/>
        <w:jc w:val="both"/>
        <w:rPr>
          <w:rFonts w:ascii="Sylfaen" w:hAnsi="Sylfaen"/>
          <w:lang w:val="ka-GE"/>
        </w:rPr>
      </w:pPr>
      <w:proofErr w:type="spellStart"/>
      <w:r w:rsidRPr="00F5432B">
        <w:rPr>
          <w:rFonts w:ascii="Sylfaen" w:hAnsi="Sylfaen"/>
          <w:lang w:val="ka-GE"/>
        </w:rPr>
        <w:t>R</w:t>
      </w:r>
      <w:r w:rsidRPr="00F051FE">
        <w:rPr>
          <w:rFonts w:ascii="Sylfaen" w:hAnsi="Sylfaen"/>
          <w:vertAlign w:val="subscript"/>
          <w:lang w:val="ka-GE"/>
        </w:rPr>
        <w:t>e</w:t>
      </w:r>
      <w:proofErr w:type="spellEnd"/>
      <w:r w:rsidRPr="00F5432B">
        <w:rPr>
          <w:rFonts w:ascii="Sylfaen" w:hAnsi="Sylfaen"/>
          <w:lang w:val="ka-GE"/>
        </w:rPr>
        <w:t xml:space="preserve"> – ინვესტიციაზე საჭირო უკუგების (დაბეგვრის შემდგომი) პროცენტული მაჩვენებელი;</w:t>
      </w:r>
      <w:r w:rsidR="00F051FE">
        <w:rPr>
          <w:rFonts w:ascii="Sylfaen" w:hAnsi="Sylfaen"/>
          <w:lang w:val="en-GB"/>
        </w:rPr>
        <w:t xml:space="preserve"> </w:t>
      </w:r>
      <w:r w:rsidR="00F051FE">
        <w:rPr>
          <w:rFonts w:ascii="Sylfaen" w:hAnsi="Sylfaen"/>
          <w:lang w:val="ka-GE"/>
        </w:rPr>
        <w:t>კაპიტალის ღირებულება</w:t>
      </w:r>
    </w:p>
    <w:p w14:paraId="5C3318B7" w14:textId="77777777" w:rsidR="00BA5BC0" w:rsidRPr="00F5432B" w:rsidRDefault="00BA5BC0" w:rsidP="00646F3A">
      <w:pPr>
        <w:numPr>
          <w:ilvl w:val="0"/>
          <w:numId w:val="1"/>
        </w:numPr>
        <w:spacing w:after="0" w:line="315" w:lineRule="atLeast"/>
        <w:ind w:left="1470"/>
        <w:jc w:val="both"/>
        <w:rPr>
          <w:rFonts w:ascii="Sylfaen" w:hAnsi="Sylfaen"/>
          <w:lang w:val="ka-GE"/>
        </w:rPr>
      </w:pPr>
      <w:proofErr w:type="spellStart"/>
      <w:r w:rsidRPr="00F5432B">
        <w:rPr>
          <w:rFonts w:ascii="Sylfaen" w:hAnsi="Sylfaen"/>
          <w:lang w:val="ka-GE"/>
        </w:rPr>
        <w:t>W</w:t>
      </w:r>
      <w:r w:rsidRPr="00F051FE">
        <w:rPr>
          <w:rFonts w:ascii="Sylfaen" w:hAnsi="Sylfaen"/>
          <w:vertAlign w:val="subscript"/>
          <w:lang w:val="ka-GE"/>
        </w:rPr>
        <w:t>e</w:t>
      </w:r>
      <w:proofErr w:type="spellEnd"/>
      <w:r w:rsidRPr="00F5432B">
        <w:rPr>
          <w:rFonts w:ascii="Sylfaen" w:hAnsi="Sylfaen"/>
          <w:lang w:val="ka-GE"/>
        </w:rPr>
        <w:t xml:space="preserve"> – საკუთარი კაპიტალის წილი დატვირთულ კაპიტალში;</w:t>
      </w:r>
    </w:p>
    <w:p w14:paraId="2F47FF38" w14:textId="77777777" w:rsidR="00BA5BC0" w:rsidRPr="00F5432B" w:rsidRDefault="00BA5BC0" w:rsidP="00646F3A">
      <w:pPr>
        <w:numPr>
          <w:ilvl w:val="0"/>
          <w:numId w:val="1"/>
        </w:numPr>
        <w:spacing w:after="0" w:line="315" w:lineRule="atLeast"/>
        <w:ind w:left="1470"/>
        <w:jc w:val="both"/>
        <w:rPr>
          <w:rFonts w:ascii="Sylfaen" w:hAnsi="Sylfaen"/>
          <w:lang w:val="ka-GE"/>
        </w:rPr>
      </w:pPr>
      <w:proofErr w:type="spellStart"/>
      <w:r w:rsidRPr="00F5432B">
        <w:rPr>
          <w:rFonts w:ascii="Sylfaen" w:hAnsi="Sylfaen"/>
          <w:lang w:val="ka-GE"/>
        </w:rPr>
        <w:t>W</w:t>
      </w:r>
      <w:r w:rsidRPr="00F051FE">
        <w:rPr>
          <w:rFonts w:ascii="Sylfaen" w:hAnsi="Sylfaen"/>
          <w:vertAlign w:val="subscript"/>
          <w:lang w:val="ka-GE"/>
        </w:rPr>
        <w:t>d</w:t>
      </w:r>
      <w:proofErr w:type="spellEnd"/>
      <w:r w:rsidRPr="00F5432B">
        <w:rPr>
          <w:rFonts w:ascii="Sylfaen" w:hAnsi="Sylfaen"/>
          <w:lang w:val="ka-GE"/>
        </w:rPr>
        <w:t xml:space="preserve"> – მოზიდული კაპიტალის წილი დატვირთულ კაპიტალში;</w:t>
      </w:r>
    </w:p>
    <w:p w14:paraId="7816DFE8" w14:textId="77777777" w:rsidR="00BA5BC0" w:rsidRPr="00F5432B" w:rsidRDefault="00BA5BC0" w:rsidP="00646F3A">
      <w:pPr>
        <w:numPr>
          <w:ilvl w:val="0"/>
          <w:numId w:val="1"/>
        </w:numPr>
        <w:spacing w:after="0" w:line="315" w:lineRule="atLeast"/>
        <w:ind w:left="1470"/>
        <w:jc w:val="both"/>
        <w:rPr>
          <w:rFonts w:ascii="Sylfaen" w:hAnsi="Sylfaen"/>
          <w:lang w:val="ka-GE"/>
        </w:rPr>
      </w:pPr>
      <w:r w:rsidRPr="00F5432B">
        <w:rPr>
          <w:rFonts w:ascii="Sylfaen" w:hAnsi="Sylfaen"/>
          <w:lang w:val="ka-GE"/>
        </w:rPr>
        <w:t>D – მოზიდული კაპიტალის საბაზრო ღირებულება;</w:t>
      </w:r>
    </w:p>
    <w:p w14:paraId="2098BBF2" w14:textId="77777777" w:rsidR="00BA5BC0" w:rsidRPr="00FC2351" w:rsidRDefault="00BA5BC0" w:rsidP="00646F3A">
      <w:pPr>
        <w:numPr>
          <w:ilvl w:val="0"/>
          <w:numId w:val="1"/>
        </w:numPr>
        <w:spacing w:after="0" w:line="315" w:lineRule="atLeast"/>
        <w:ind w:left="1470"/>
        <w:jc w:val="both"/>
        <w:rPr>
          <w:rFonts w:ascii="Sylfaen" w:hAnsi="Sylfaen"/>
          <w:lang w:val="ka-GE"/>
        </w:rPr>
      </w:pPr>
      <w:r w:rsidRPr="00FC2351">
        <w:rPr>
          <w:rFonts w:ascii="Sylfaen" w:hAnsi="Sylfaen"/>
          <w:lang w:val="ka-GE"/>
        </w:rPr>
        <w:t>E – საკუთარი კაპიტალის საბაზრო ღირებულება;</w:t>
      </w:r>
    </w:p>
    <w:p w14:paraId="1E6F05B6" w14:textId="22E0015E" w:rsidR="00BA5BC0" w:rsidRPr="00FC2351" w:rsidRDefault="007D01AA" w:rsidP="00646F3A">
      <w:pPr>
        <w:numPr>
          <w:ilvl w:val="0"/>
          <w:numId w:val="1"/>
        </w:numPr>
        <w:spacing w:after="0" w:line="315" w:lineRule="atLeast"/>
        <w:ind w:left="1470"/>
        <w:jc w:val="both"/>
        <w:rPr>
          <w:rFonts w:ascii="Sylfaen" w:hAnsi="Sylfaen"/>
          <w:lang w:val="ka-GE"/>
        </w:rPr>
      </w:pPr>
      <w:r w:rsidRPr="00FC2351">
        <w:rPr>
          <w:rFonts w:ascii="Sylfaen" w:hAnsi="Sylfaen"/>
        </w:rPr>
        <w:t>T</w:t>
      </w:r>
      <w:r w:rsidR="00BA5BC0" w:rsidRPr="00FC2351">
        <w:rPr>
          <w:rFonts w:ascii="Sylfaen" w:hAnsi="Sylfaen"/>
          <w:lang w:val="ka-GE"/>
        </w:rPr>
        <w:t xml:space="preserve"> – მოგების გადასახადის ეფექტური განაკვეთი.</w:t>
      </w:r>
    </w:p>
    <w:p w14:paraId="349BE4EE" w14:textId="1626B14F" w:rsidR="00BA5BC0" w:rsidRPr="00FC2351" w:rsidRDefault="00BA5BC0" w:rsidP="00646F3A">
      <w:pPr>
        <w:jc w:val="both"/>
        <w:rPr>
          <w:rFonts w:ascii="Sylfaen" w:hAnsi="Sylfaen"/>
          <w:lang w:val="ka-GE"/>
        </w:rPr>
      </w:pPr>
    </w:p>
    <w:p w14:paraId="4819CD34" w14:textId="35DAD7C1" w:rsidR="00593666" w:rsidRPr="00FC2351" w:rsidRDefault="00C66665" w:rsidP="00646F3A">
      <w:pPr>
        <w:jc w:val="both"/>
        <w:rPr>
          <w:rFonts w:ascii="Sylfaen" w:hAnsi="Sylfaen"/>
          <w:lang w:val="ka-GE"/>
        </w:rPr>
      </w:pPr>
      <w:r w:rsidRPr="00FC2351">
        <w:rPr>
          <w:rFonts w:ascii="Sylfaen" w:hAnsi="Sylfaen"/>
          <w:lang w:val="ka-GE"/>
        </w:rPr>
        <w:t>WACC გაანგარიშების ერთ-ერთი მნიშნელოვანი კომპონენტია</w:t>
      </w:r>
      <w:r w:rsidR="00593666" w:rsidRPr="00FC2351">
        <w:rPr>
          <w:rFonts w:ascii="Sylfaen" w:hAnsi="Sylfaen"/>
          <w:lang w:val="ka-GE"/>
        </w:rPr>
        <w:t xml:space="preserve"> კაპიტალის ღირებულება,</w:t>
      </w:r>
      <w:r w:rsidRPr="00FC2351">
        <w:rPr>
          <w:rFonts w:ascii="Sylfaen" w:hAnsi="Sylfaen"/>
          <w:lang w:val="ka-GE"/>
        </w:rPr>
        <w:t xml:space="preserve"> რომლის</w:t>
      </w:r>
      <w:r w:rsidR="00593666" w:rsidRPr="00FC2351">
        <w:rPr>
          <w:rFonts w:ascii="Sylfaen" w:hAnsi="Sylfaen"/>
          <w:lang w:val="ka-GE"/>
        </w:rPr>
        <w:t xml:space="preserve"> </w:t>
      </w:r>
      <w:r w:rsidRPr="00FC2351">
        <w:rPr>
          <w:rFonts w:ascii="Sylfaen" w:hAnsi="Sylfaen"/>
          <w:lang w:val="ka-GE"/>
        </w:rPr>
        <w:t>შეფასებაც</w:t>
      </w:r>
      <w:r w:rsidR="00593666" w:rsidRPr="00FC2351">
        <w:rPr>
          <w:rFonts w:ascii="Sylfaen" w:hAnsi="Sylfaen"/>
          <w:lang w:val="ka-GE"/>
        </w:rPr>
        <w:t xml:space="preserve"> CAPM მოდელის მეშვეობით</w:t>
      </w:r>
      <w:r w:rsidRPr="00FC2351">
        <w:rPr>
          <w:rFonts w:ascii="Sylfaen" w:hAnsi="Sylfaen"/>
          <w:lang w:val="ka-GE"/>
        </w:rPr>
        <w:t xml:space="preserve"> ხორციელდება</w:t>
      </w:r>
      <w:r w:rsidR="00593666" w:rsidRPr="00FC2351">
        <w:rPr>
          <w:rFonts w:ascii="Sylfaen" w:hAnsi="Sylfaen"/>
          <w:lang w:val="ka-GE"/>
        </w:rPr>
        <w:t>.</w:t>
      </w:r>
      <w:r w:rsidRPr="00FC2351">
        <w:rPr>
          <w:rFonts w:ascii="Sylfaen" w:hAnsi="Sylfaen"/>
          <w:lang w:val="ka-GE"/>
        </w:rPr>
        <w:t xml:space="preserve"> CAPM მოდელი</w:t>
      </w:r>
      <w:r w:rsidR="00593666" w:rsidRPr="00FC2351">
        <w:rPr>
          <w:rFonts w:ascii="Sylfaen" w:hAnsi="Sylfaen"/>
          <w:lang w:val="ka-GE"/>
        </w:rPr>
        <w:t xml:space="preserve"> მოიცავს ურისკო საპროცენტო განაკვეთის (</w:t>
      </w:r>
      <w:proofErr w:type="spellStart"/>
      <w:r w:rsidR="00593666" w:rsidRPr="00FC2351">
        <w:rPr>
          <w:rFonts w:ascii="Sylfaen" w:hAnsi="Sylfaen"/>
          <w:lang w:val="ka-GE"/>
        </w:rPr>
        <w:t>Rf</w:t>
      </w:r>
      <w:proofErr w:type="spellEnd"/>
      <w:r w:rsidR="00593666" w:rsidRPr="00FC2351">
        <w:rPr>
          <w:rFonts w:ascii="Sylfaen" w:hAnsi="Sylfaen"/>
          <w:lang w:val="ka-GE"/>
        </w:rPr>
        <w:t xml:space="preserve">), </w:t>
      </w:r>
      <w:proofErr w:type="spellStart"/>
      <w:r w:rsidR="00593666" w:rsidRPr="00FC2351">
        <w:rPr>
          <w:rFonts w:ascii="Sylfaen" w:hAnsi="Sylfaen"/>
          <w:lang w:val="ka-GE"/>
        </w:rPr>
        <w:t>ბეტას</w:t>
      </w:r>
      <w:proofErr w:type="spellEnd"/>
      <w:r w:rsidR="00593666" w:rsidRPr="00FC2351">
        <w:rPr>
          <w:rFonts w:ascii="Sylfaen" w:hAnsi="Sylfaen"/>
          <w:lang w:val="ka-GE"/>
        </w:rPr>
        <w:t xml:space="preserve"> და კაპიტალის რისკის პრემიუმის შეფასებას (ERP):</w:t>
      </w:r>
    </w:p>
    <w:p w14:paraId="20E20E39" w14:textId="77777777" w:rsidR="00593666" w:rsidRPr="00FC2351" w:rsidRDefault="00593666" w:rsidP="00646F3A">
      <w:pPr>
        <w:jc w:val="center"/>
        <w:rPr>
          <w:rFonts w:ascii="Sylfaen" w:hAnsi="Sylfaen"/>
          <w:lang w:val="ka-GE"/>
        </w:rPr>
      </w:pPr>
      <w:proofErr w:type="spellStart"/>
      <w:r w:rsidRPr="00FC2351">
        <w:rPr>
          <w:rFonts w:ascii="Sylfaen" w:hAnsi="Sylfaen"/>
          <w:lang w:val="ka-GE"/>
        </w:rPr>
        <w:lastRenderedPageBreak/>
        <w:t>R</w:t>
      </w:r>
      <w:r w:rsidRPr="00FC2351">
        <w:rPr>
          <w:rFonts w:ascii="Sylfaen" w:hAnsi="Sylfaen"/>
          <w:vertAlign w:val="subscript"/>
          <w:lang w:val="ka-GE"/>
        </w:rPr>
        <w:t>e</w:t>
      </w:r>
      <w:proofErr w:type="spellEnd"/>
      <w:r w:rsidRPr="00FC2351">
        <w:rPr>
          <w:rFonts w:ascii="Sylfaen" w:hAnsi="Sylfaen"/>
          <w:lang w:val="ka-GE"/>
        </w:rPr>
        <w:t>=</w:t>
      </w:r>
      <w:proofErr w:type="spellStart"/>
      <w:r w:rsidRPr="00FC2351">
        <w:rPr>
          <w:rFonts w:ascii="Sylfaen" w:hAnsi="Sylfaen"/>
          <w:lang w:val="ka-GE"/>
        </w:rPr>
        <w:t>Rf</w:t>
      </w:r>
      <w:proofErr w:type="spellEnd"/>
      <w:r w:rsidRPr="00FC2351">
        <w:rPr>
          <w:rFonts w:ascii="Sylfaen" w:hAnsi="Sylfaen"/>
          <w:lang w:val="ka-GE"/>
        </w:rPr>
        <w:t>+</w:t>
      </w:r>
      <w:r w:rsidRPr="00FC2351">
        <w:rPr>
          <w:rFonts w:ascii="Sylfaen" w:hAnsi="Sylfaen"/>
          <w:lang w:val="en-GB"/>
        </w:rPr>
        <w:t>β</w:t>
      </w:r>
      <w:r w:rsidRPr="00FC2351">
        <w:rPr>
          <w:rFonts w:ascii="Sylfaen" w:hAnsi="Sylfaen"/>
          <w:lang w:val="ka-GE"/>
        </w:rPr>
        <w:t>*ERP</w:t>
      </w:r>
    </w:p>
    <w:p w14:paraId="612AF585" w14:textId="3F0CBD29" w:rsidR="00593666" w:rsidRPr="00FC2351" w:rsidRDefault="00593666" w:rsidP="00646F3A">
      <w:pPr>
        <w:jc w:val="both"/>
        <w:rPr>
          <w:rFonts w:ascii="Sylfaen" w:hAnsi="Sylfaen"/>
          <w:lang w:val="ka-GE"/>
        </w:rPr>
      </w:pPr>
      <w:r w:rsidRPr="00FC2351">
        <w:rPr>
          <w:rFonts w:ascii="Sylfaen" w:hAnsi="Sylfaen"/>
          <w:b/>
          <w:bCs/>
          <w:lang w:val="ka-GE"/>
        </w:rPr>
        <w:t xml:space="preserve">ურისკო საპროცენტო განაკვეთი: </w:t>
      </w:r>
      <w:r w:rsidRPr="00FC2351">
        <w:rPr>
          <w:rFonts w:ascii="Sylfaen" w:hAnsi="Sylfaen"/>
          <w:lang w:val="ka-GE"/>
        </w:rPr>
        <w:t>ურისკო საპროცენტო განაკვეთის შესაფასებლად გამოიყენება გრძელვადიანი სახელმწიფო ბონდების საპროცენტო განაკვეთი, რომელიც თავის თავში მოიცავს მომავლის მოლოდინებს და ასევე უგულებელყოფს მოკლევადიან რყევებს (PWC, 2020). შესაბამისად, ურისკო საპროცენტო განაკვეთის შეფასებისთვის გამოყენებულია საქართველოს ეროვნული ბანკის მიერ გამოშვებული 8-10 წლიანი ბონდების საშუალო საპროცენტო განაკვეთი 2019 წლის ოქტომბრიდან 2020 წლის სექტემბრის ჩათვლით</w:t>
      </w:r>
      <w:r w:rsidRPr="00FC2351">
        <w:rPr>
          <w:rStyle w:val="FootnoteReference"/>
          <w:rFonts w:ascii="Sylfaen" w:hAnsi="Sylfaen"/>
          <w:lang w:val="ka-GE"/>
        </w:rPr>
        <w:footnoteReference w:id="2"/>
      </w:r>
      <w:r w:rsidRPr="00FC2351">
        <w:rPr>
          <w:rFonts w:ascii="Sylfaen" w:hAnsi="Sylfaen"/>
          <w:lang w:val="ka-GE"/>
        </w:rPr>
        <w:t>, რაც 9,67%-ს შეადგენს.</w:t>
      </w:r>
    </w:p>
    <w:p w14:paraId="2D135711" w14:textId="739F7DD7" w:rsidR="00C66665" w:rsidRPr="00FC2351" w:rsidRDefault="00C66665" w:rsidP="00646F3A">
      <w:pPr>
        <w:jc w:val="both"/>
        <w:rPr>
          <w:rFonts w:ascii="Sylfaen" w:hAnsi="Sylfaen"/>
          <w:lang w:val="ka-GE"/>
        </w:rPr>
      </w:pPr>
      <w:r w:rsidRPr="00FC2351">
        <w:rPr>
          <w:rFonts w:ascii="Sylfaen" w:hAnsi="Sylfaen"/>
          <w:b/>
          <w:bCs/>
          <w:lang w:val="ka-GE"/>
        </w:rPr>
        <w:t xml:space="preserve">კაპიტალის რისკის პრემიუმი </w:t>
      </w:r>
      <w:r w:rsidRPr="00FC2351">
        <w:rPr>
          <w:rFonts w:ascii="Sylfaen" w:hAnsi="Sylfaen"/>
          <w:lang w:val="ka-GE"/>
        </w:rPr>
        <w:t>წარმოადგენს სხვაობას კაპიტალ</w:t>
      </w:r>
      <w:r w:rsidR="00DB0EE9" w:rsidRPr="00FC2351">
        <w:rPr>
          <w:rFonts w:ascii="Sylfaen" w:hAnsi="Sylfaen"/>
          <w:lang w:val="ka-GE"/>
        </w:rPr>
        <w:t>ში</w:t>
      </w:r>
      <w:r w:rsidRPr="00FC2351">
        <w:rPr>
          <w:rFonts w:ascii="Sylfaen" w:hAnsi="Sylfaen"/>
          <w:lang w:val="ka-GE"/>
        </w:rPr>
        <w:t xml:space="preserve"> ინვესტიციის ამონაგებსა და ურისკო საპროცენტო განაკვეთს შორის. იგი ასახავს ინვესტორის მინიმალურ მოთხოვნას, რათა მან ინვესტირება განახორციელოს რისკიან აქტივში (ამ შემთხვევაში კაპიტალში) სამთავრობო ფასიანი ქაღალდების ნაცვლად. გაანგარიშების დეტალები მოცემულია ქვეთავში </w:t>
      </w:r>
      <w:r w:rsidR="00DB0EE9" w:rsidRPr="00FC2351">
        <w:rPr>
          <w:rFonts w:ascii="Sylfaen" w:hAnsi="Sylfaen"/>
          <w:lang w:val="ka-GE"/>
        </w:rPr>
        <w:t>„</w:t>
      </w:r>
      <w:r w:rsidRPr="00FC2351">
        <w:rPr>
          <w:rFonts w:ascii="Sylfaen" w:hAnsi="Sylfaen"/>
          <w:lang w:val="ka-GE"/>
        </w:rPr>
        <w:fldChar w:fldCharType="begin"/>
      </w:r>
      <w:r w:rsidRPr="00FC2351">
        <w:rPr>
          <w:rFonts w:ascii="Sylfaen" w:hAnsi="Sylfaen"/>
          <w:lang w:val="ka-GE"/>
        </w:rPr>
        <w:instrText xml:space="preserve"> REF _Ref95249174 \h </w:instrText>
      </w:r>
      <w:r w:rsidR="00690639" w:rsidRPr="00FC2351">
        <w:rPr>
          <w:rFonts w:ascii="Sylfaen" w:hAnsi="Sylfaen"/>
          <w:lang w:val="ka-GE"/>
        </w:rPr>
        <w:instrText xml:space="preserve"> \* MERGEFORMAT </w:instrText>
      </w:r>
      <w:r w:rsidRPr="00FC2351">
        <w:rPr>
          <w:rFonts w:ascii="Sylfaen" w:hAnsi="Sylfaen"/>
          <w:lang w:val="ka-GE"/>
        </w:rPr>
      </w:r>
      <w:r w:rsidRPr="00FC2351">
        <w:rPr>
          <w:rFonts w:ascii="Sylfaen" w:hAnsi="Sylfaen"/>
          <w:lang w:val="ka-GE"/>
        </w:rPr>
        <w:fldChar w:fldCharType="separate"/>
      </w:r>
      <w:r w:rsidRPr="00FC2351">
        <w:rPr>
          <w:rFonts w:ascii="Sylfaen" w:hAnsi="Sylfaen"/>
          <w:i/>
          <w:iCs/>
          <w:lang w:val="ka-GE"/>
        </w:rPr>
        <w:t>კაპიტალის რისკის პრემიუმი (ERP)</w:t>
      </w:r>
      <w:r w:rsidRPr="00FC2351">
        <w:rPr>
          <w:rFonts w:ascii="Sylfaen" w:hAnsi="Sylfaen"/>
          <w:lang w:val="ka-GE"/>
        </w:rPr>
        <w:fldChar w:fldCharType="end"/>
      </w:r>
      <w:r w:rsidR="00DB0EE9" w:rsidRPr="00FC2351">
        <w:rPr>
          <w:rFonts w:ascii="Sylfaen" w:hAnsi="Sylfaen"/>
          <w:lang w:val="ka-GE"/>
        </w:rPr>
        <w:t>“.</w:t>
      </w:r>
    </w:p>
    <w:p w14:paraId="509721A4" w14:textId="03E56B37" w:rsidR="00D2239F" w:rsidRPr="00FC2351" w:rsidRDefault="003F7959" w:rsidP="00646F3A">
      <w:pPr>
        <w:jc w:val="both"/>
        <w:rPr>
          <w:rFonts w:ascii="Sylfaen" w:hAnsi="Sylfaen"/>
          <w:lang w:val="ka-GE"/>
        </w:rPr>
      </w:pPr>
      <w:r w:rsidRPr="00FC2351">
        <w:rPr>
          <w:rFonts w:ascii="Sylfaen" w:hAnsi="Sylfaen"/>
          <w:lang w:val="ka-GE"/>
        </w:rPr>
        <w:t>CAPM მოდელის მნიშვნელოვანი კომპონენტია აგრეთვე „ბეტა“, რომელიც სისტემური რისკის აღსანიშნავად გამოიყენება. „ბეტა“ არის ბაზრის მდგომარეობასთან შედარებით ინვესტიციის მერყეობის საზომი. მეორე ტიპის რისკის კატეგორიას განეკუთვნება არასისტემური რისკი, ანუ კონკრეტული ინვესტიციისთვის სპეციფიური (დამახასიათებელი) რისკი. ასეთი ტიპის რისკის დივერსიფიცირება შესაძლებელია და იგი მოდელში არ გაითვალისწინება</w:t>
      </w:r>
      <w:r w:rsidR="00690639" w:rsidRPr="00FC2351">
        <w:rPr>
          <w:rFonts w:ascii="Sylfaen" w:hAnsi="Sylfaen"/>
          <w:lang w:val="ka-GE"/>
        </w:rPr>
        <w:t xml:space="preserve">. „ბეტა“ აღწერს მოცემული პორტფელის მოსალოდნელ უკუგებას მთლიან ფინანსურ ბაზართან მიმართებაში. ბეტა კოეფიციენტის დადგენა შესაძლებელია </w:t>
      </w:r>
      <w:proofErr w:type="spellStart"/>
      <w:r w:rsidR="00690639" w:rsidRPr="00FC2351">
        <w:rPr>
          <w:rFonts w:ascii="Sylfaen" w:hAnsi="Sylfaen"/>
          <w:lang w:val="ka-GE"/>
        </w:rPr>
        <w:t>შესადარისი</w:t>
      </w:r>
      <w:proofErr w:type="spellEnd"/>
      <w:r w:rsidR="00690639" w:rsidRPr="00FC2351">
        <w:rPr>
          <w:rFonts w:ascii="Sylfaen" w:hAnsi="Sylfaen"/>
          <w:lang w:val="ka-GE"/>
        </w:rPr>
        <w:t xml:space="preserve"> კომპანიების ჯგუფის (ერთგვაროვანი ჯგუფის) ბირჟის მონაცემების ანალიზით.</w:t>
      </w:r>
      <w:r w:rsidR="00477F65" w:rsidRPr="00FC2351">
        <w:rPr>
          <w:rFonts w:ascii="Sylfaen" w:hAnsi="Sylfaen"/>
          <w:lang w:val="ka-GE"/>
        </w:rPr>
        <w:t xml:space="preserve"> </w:t>
      </w:r>
      <w:r w:rsidR="000D1ACD" w:rsidRPr="00FC2351">
        <w:rPr>
          <w:rFonts w:ascii="Sylfaen" w:hAnsi="Sylfaen"/>
          <w:lang w:val="ka-GE"/>
        </w:rPr>
        <w:t>ანალოგიური კომპანიების</w:t>
      </w:r>
      <w:r w:rsidR="00593666" w:rsidRPr="00FC2351">
        <w:rPr>
          <w:rFonts w:ascii="Sylfaen" w:hAnsi="Sylfaen"/>
          <w:lang w:val="ka-GE"/>
        </w:rPr>
        <w:t xml:space="preserve"> ჯგუფის</w:t>
      </w:r>
      <w:r w:rsidR="000D1ACD" w:rsidRPr="00FC2351">
        <w:rPr>
          <w:rFonts w:ascii="Sylfaen" w:hAnsi="Sylfaen"/>
          <w:lang w:val="ka-GE"/>
        </w:rPr>
        <w:t xml:space="preserve"> </w:t>
      </w:r>
      <w:r w:rsidR="00CC0199" w:rsidRPr="00FC2351">
        <w:rPr>
          <w:rFonts w:ascii="Sylfaen" w:hAnsi="Sylfaen"/>
          <w:lang w:val="ka-GE"/>
        </w:rPr>
        <w:t>(</w:t>
      </w:r>
      <w:proofErr w:type="spellStart"/>
      <w:r w:rsidR="00CC0199" w:rsidRPr="00FC2351">
        <w:rPr>
          <w:rFonts w:ascii="Sylfaen" w:hAnsi="Sylfaen"/>
          <w:lang w:val="ka-GE"/>
        </w:rPr>
        <w:t>ე.წ</w:t>
      </w:r>
      <w:proofErr w:type="spellEnd"/>
      <w:r w:rsidR="00CC0199" w:rsidRPr="00FC2351">
        <w:rPr>
          <w:rFonts w:ascii="Sylfaen" w:hAnsi="Sylfaen"/>
          <w:lang w:val="ka-GE"/>
        </w:rPr>
        <w:t>. „</w:t>
      </w:r>
      <w:proofErr w:type="spellStart"/>
      <w:r w:rsidR="00CC0199" w:rsidRPr="00FC2351">
        <w:rPr>
          <w:rFonts w:ascii="Sylfaen" w:hAnsi="Sylfaen"/>
          <w:lang w:val="ka-GE"/>
        </w:rPr>
        <w:t>Peer</w:t>
      </w:r>
      <w:proofErr w:type="spellEnd"/>
      <w:r w:rsidR="00CC0199" w:rsidRPr="00FC2351">
        <w:rPr>
          <w:rFonts w:ascii="Sylfaen" w:hAnsi="Sylfaen"/>
          <w:lang w:val="ka-GE"/>
        </w:rPr>
        <w:t xml:space="preserve"> </w:t>
      </w:r>
      <w:proofErr w:type="spellStart"/>
      <w:r w:rsidR="00CC0199" w:rsidRPr="00FC2351">
        <w:rPr>
          <w:rFonts w:ascii="Sylfaen" w:hAnsi="Sylfaen"/>
          <w:lang w:val="ka-GE"/>
        </w:rPr>
        <w:t>Group</w:t>
      </w:r>
      <w:proofErr w:type="spellEnd"/>
      <w:r w:rsidR="00CC0199" w:rsidRPr="00FC2351">
        <w:rPr>
          <w:rFonts w:ascii="Sylfaen" w:hAnsi="Sylfaen"/>
          <w:lang w:val="ka-GE"/>
        </w:rPr>
        <w:t xml:space="preserve">”) </w:t>
      </w:r>
      <w:r w:rsidR="000D1ACD" w:rsidRPr="00FC2351">
        <w:rPr>
          <w:rFonts w:ascii="Sylfaen" w:hAnsi="Sylfaen"/>
          <w:lang w:val="ka-GE"/>
        </w:rPr>
        <w:t xml:space="preserve">შერჩევისას გამოყენებულია </w:t>
      </w:r>
      <w:r w:rsidR="00D2239F" w:rsidRPr="00FC2351">
        <w:rPr>
          <w:rFonts w:ascii="Sylfaen" w:hAnsi="Sylfaen"/>
          <w:lang w:val="ka-GE"/>
        </w:rPr>
        <w:t xml:space="preserve">ევროკომისიის და </w:t>
      </w:r>
      <w:proofErr w:type="spellStart"/>
      <w:r w:rsidR="00D2239F" w:rsidRPr="00FC2351">
        <w:rPr>
          <w:rFonts w:ascii="Sylfaen" w:hAnsi="Sylfaen"/>
          <w:lang w:val="ka-GE"/>
        </w:rPr>
        <w:t>Brattle</w:t>
      </w:r>
      <w:proofErr w:type="spellEnd"/>
      <w:r w:rsidR="00D2239F" w:rsidRPr="00FC2351">
        <w:rPr>
          <w:rFonts w:ascii="Sylfaen" w:hAnsi="Sylfaen"/>
          <w:lang w:val="ka-GE"/>
        </w:rPr>
        <w:t xml:space="preserve"> ჯგუფის მიერ განსაზღვრული კრიტერიუმები</w:t>
      </w:r>
      <w:r w:rsidR="001B1760" w:rsidRPr="00FC2351">
        <w:rPr>
          <w:rFonts w:ascii="Sylfaen" w:hAnsi="Sylfaen"/>
          <w:lang w:val="ka-GE"/>
        </w:rPr>
        <w:t>:</w:t>
      </w:r>
    </w:p>
    <w:p w14:paraId="28E48662" w14:textId="1F3767D8" w:rsidR="00A57970" w:rsidRPr="00FC2351" w:rsidRDefault="00D2239F" w:rsidP="00646F3A">
      <w:pPr>
        <w:pStyle w:val="ListParagraph"/>
        <w:numPr>
          <w:ilvl w:val="0"/>
          <w:numId w:val="15"/>
        </w:numPr>
        <w:jc w:val="both"/>
        <w:rPr>
          <w:rFonts w:ascii="Sylfaen" w:hAnsi="Sylfaen"/>
          <w:lang w:val="ka-GE"/>
        </w:rPr>
      </w:pPr>
      <w:r w:rsidRPr="00FC2351">
        <w:rPr>
          <w:rFonts w:ascii="Sylfaen" w:hAnsi="Sylfaen"/>
          <w:lang w:val="ka-GE"/>
        </w:rPr>
        <w:t xml:space="preserve">კომპანიის აქციები </w:t>
      </w:r>
      <w:r w:rsidR="00CC0199" w:rsidRPr="00FC2351">
        <w:rPr>
          <w:rFonts w:ascii="Sylfaen" w:hAnsi="Sylfaen"/>
          <w:lang w:val="ka-GE"/>
        </w:rPr>
        <w:t>უნდა იყიდებოდეს</w:t>
      </w:r>
      <w:r w:rsidRPr="00FC2351">
        <w:rPr>
          <w:rFonts w:ascii="Sylfaen" w:hAnsi="Sylfaen"/>
          <w:lang w:val="ka-GE"/>
        </w:rPr>
        <w:t xml:space="preserve"> საჯაროდ და აქციები</w:t>
      </w:r>
      <w:r w:rsidR="00CC0199" w:rsidRPr="00FC2351">
        <w:rPr>
          <w:rFonts w:ascii="Sylfaen" w:hAnsi="Sylfaen"/>
          <w:lang w:val="ka-GE"/>
        </w:rPr>
        <w:t xml:space="preserve"> უნდა იყოს</w:t>
      </w:r>
      <w:r w:rsidRPr="00FC2351">
        <w:rPr>
          <w:rFonts w:ascii="Sylfaen" w:hAnsi="Sylfaen"/>
          <w:lang w:val="ka-GE"/>
        </w:rPr>
        <w:t xml:space="preserve"> ლიკვიდური;</w:t>
      </w:r>
    </w:p>
    <w:p w14:paraId="5D008EF1" w14:textId="77777777" w:rsidR="00CC0199" w:rsidRPr="00FC2351" w:rsidRDefault="00D2239F" w:rsidP="00646F3A">
      <w:pPr>
        <w:pStyle w:val="ListParagraph"/>
        <w:numPr>
          <w:ilvl w:val="0"/>
          <w:numId w:val="15"/>
        </w:numPr>
        <w:jc w:val="both"/>
        <w:rPr>
          <w:rFonts w:ascii="Sylfaen" w:hAnsi="Sylfaen"/>
          <w:lang w:val="ka-GE"/>
        </w:rPr>
      </w:pPr>
      <w:r w:rsidRPr="00FC2351">
        <w:rPr>
          <w:rFonts w:ascii="Sylfaen" w:hAnsi="Sylfaen"/>
          <w:lang w:val="ka-GE"/>
        </w:rPr>
        <w:t>ფლობ</w:t>
      </w:r>
      <w:r w:rsidR="00CC0199" w:rsidRPr="00FC2351">
        <w:rPr>
          <w:rFonts w:ascii="Sylfaen" w:hAnsi="Sylfaen"/>
          <w:lang w:val="ka-GE"/>
        </w:rPr>
        <w:t>დე</w:t>
      </w:r>
      <w:r w:rsidRPr="00FC2351">
        <w:rPr>
          <w:rFonts w:ascii="Sylfaen" w:hAnsi="Sylfaen"/>
          <w:lang w:val="ka-GE"/>
        </w:rPr>
        <w:t>ს და ახორციელებ</w:t>
      </w:r>
      <w:r w:rsidR="00CC0199" w:rsidRPr="00FC2351">
        <w:rPr>
          <w:rFonts w:ascii="Sylfaen" w:hAnsi="Sylfaen"/>
          <w:lang w:val="ka-GE"/>
        </w:rPr>
        <w:t>დე</w:t>
      </w:r>
      <w:r w:rsidRPr="00FC2351">
        <w:rPr>
          <w:rFonts w:ascii="Sylfaen" w:hAnsi="Sylfaen"/>
          <w:lang w:val="ka-GE"/>
        </w:rPr>
        <w:t>ს ინვესტიციებს ელექტრონული კომუნიკაციების ინფრასტრუქტურა</w:t>
      </w:r>
      <w:r w:rsidR="00A57970" w:rsidRPr="00FC2351">
        <w:rPr>
          <w:rFonts w:ascii="Sylfaen" w:hAnsi="Sylfaen"/>
          <w:lang w:val="ka-GE"/>
        </w:rPr>
        <w:t>ში</w:t>
      </w:r>
      <w:r w:rsidRPr="00FC2351">
        <w:rPr>
          <w:rFonts w:ascii="Sylfaen" w:hAnsi="Sylfaen"/>
          <w:lang w:val="ka-GE"/>
        </w:rPr>
        <w:t>;</w:t>
      </w:r>
      <w:r w:rsidR="00F12A0C" w:rsidRPr="00FC2351">
        <w:rPr>
          <w:rFonts w:ascii="Sylfaen" w:hAnsi="Sylfaen"/>
          <w:lang w:val="en-GB"/>
        </w:rPr>
        <w:t xml:space="preserve"> </w:t>
      </w:r>
    </w:p>
    <w:p w14:paraId="180C07BA" w14:textId="05ED7030" w:rsidR="00D2239F" w:rsidRPr="00FC2351" w:rsidRDefault="00122A8E" w:rsidP="00646F3A">
      <w:pPr>
        <w:pStyle w:val="ListParagraph"/>
        <w:numPr>
          <w:ilvl w:val="0"/>
          <w:numId w:val="15"/>
        </w:numPr>
        <w:jc w:val="both"/>
        <w:rPr>
          <w:rFonts w:ascii="Sylfaen" w:hAnsi="Sylfaen"/>
          <w:lang w:val="ka-GE"/>
        </w:rPr>
      </w:pPr>
      <w:r w:rsidRPr="00FC2351">
        <w:rPr>
          <w:rFonts w:ascii="Sylfaen" w:hAnsi="Sylfaen"/>
          <w:lang w:val="ka-GE"/>
        </w:rPr>
        <w:t>ძირითად საქმიანობას ახორციელებ</w:t>
      </w:r>
      <w:r w:rsidR="00CC0199" w:rsidRPr="00FC2351">
        <w:rPr>
          <w:rFonts w:ascii="Sylfaen" w:hAnsi="Sylfaen"/>
          <w:lang w:val="ka-GE"/>
        </w:rPr>
        <w:t>დეს</w:t>
      </w:r>
      <w:r w:rsidRPr="00FC2351">
        <w:rPr>
          <w:rFonts w:ascii="Sylfaen" w:hAnsi="Sylfaen"/>
          <w:lang w:val="ka-GE"/>
        </w:rPr>
        <w:t xml:space="preserve"> ევროკავშირის მასშტაბით;</w:t>
      </w:r>
    </w:p>
    <w:p w14:paraId="77406BE1" w14:textId="5646735F" w:rsidR="00122A8E" w:rsidRPr="00FC2351" w:rsidRDefault="00CC0199" w:rsidP="00646F3A">
      <w:pPr>
        <w:pStyle w:val="ListParagraph"/>
        <w:numPr>
          <w:ilvl w:val="0"/>
          <w:numId w:val="15"/>
        </w:numPr>
        <w:jc w:val="both"/>
        <w:rPr>
          <w:rFonts w:ascii="Sylfaen" w:hAnsi="Sylfaen"/>
          <w:lang w:val="ka-GE"/>
        </w:rPr>
      </w:pPr>
      <w:r w:rsidRPr="00FC2351">
        <w:rPr>
          <w:rFonts w:ascii="Sylfaen" w:hAnsi="Sylfaen"/>
          <w:lang w:val="ka-GE"/>
        </w:rPr>
        <w:t>ჰქონდეს</w:t>
      </w:r>
      <w:r w:rsidR="00122A8E" w:rsidRPr="00FC2351">
        <w:rPr>
          <w:rFonts w:ascii="Sylfaen" w:hAnsi="Sylfaen"/>
          <w:lang w:val="ka-GE"/>
        </w:rPr>
        <w:t xml:space="preserve"> საინვესტიციო საკრედიტო რეიტინგი</w:t>
      </w:r>
      <w:r w:rsidRPr="00FC2351">
        <w:rPr>
          <w:rFonts w:ascii="Sylfaen" w:hAnsi="Sylfaen"/>
          <w:lang w:val="ka-GE"/>
        </w:rPr>
        <w:t>;</w:t>
      </w:r>
    </w:p>
    <w:p w14:paraId="774BE2CA" w14:textId="07025233" w:rsidR="00122A8E" w:rsidRPr="00FC2351" w:rsidRDefault="00122A8E" w:rsidP="00646F3A">
      <w:pPr>
        <w:pStyle w:val="ListParagraph"/>
        <w:numPr>
          <w:ilvl w:val="0"/>
          <w:numId w:val="15"/>
        </w:numPr>
        <w:jc w:val="both"/>
        <w:rPr>
          <w:rFonts w:ascii="Sylfaen" w:hAnsi="Sylfaen"/>
          <w:lang w:val="ka-GE"/>
        </w:rPr>
      </w:pPr>
      <w:r w:rsidRPr="00FC2351">
        <w:rPr>
          <w:rFonts w:ascii="Sylfaen" w:hAnsi="Sylfaen"/>
          <w:lang w:val="ka-GE"/>
        </w:rPr>
        <w:t xml:space="preserve">უახლოეს </w:t>
      </w:r>
      <w:r w:rsidR="00CC0199" w:rsidRPr="00FC2351">
        <w:rPr>
          <w:rFonts w:ascii="Sylfaen" w:hAnsi="Sylfaen"/>
          <w:lang w:val="ka-GE"/>
        </w:rPr>
        <w:t>წარსულში</w:t>
      </w:r>
      <w:r w:rsidRPr="00FC2351">
        <w:rPr>
          <w:rFonts w:ascii="Sylfaen" w:hAnsi="Sylfaen"/>
          <w:lang w:val="ka-GE"/>
        </w:rPr>
        <w:t xml:space="preserve"> არ ექვემდებარებოდა</w:t>
      </w:r>
      <w:r w:rsidR="00F531F3" w:rsidRPr="00FC2351">
        <w:rPr>
          <w:rFonts w:ascii="Sylfaen" w:hAnsi="Sylfaen"/>
          <w:lang w:val="ka-GE"/>
        </w:rPr>
        <w:t xml:space="preserve"> მნიშვნელოვანი წილის შერწყმა</w:t>
      </w:r>
      <w:r w:rsidR="001565B4" w:rsidRPr="00FC2351">
        <w:rPr>
          <w:rFonts w:ascii="Sylfaen" w:hAnsi="Sylfaen"/>
          <w:lang w:val="ka-GE"/>
        </w:rPr>
        <w:t>/შეძენას</w:t>
      </w:r>
      <w:r w:rsidR="00F531F3" w:rsidRPr="00FC2351">
        <w:rPr>
          <w:rFonts w:ascii="Sylfaen" w:hAnsi="Sylfaen"/>
          <w:lang w:val="ka-GE"/>
        </w:rPr>
        <w:t>.</w:t>
      </w:r>
      <w:r w:rsidRPr="00FC2351">
        <w:rPr>
          <w:rFonts w:ascii="Sylfaen" w:hAnsi="Sylfaen"/>
          <w:lang w:val="ka-GE"/>
        </w:rPr>
        <w:t xml:space="preserve"> </w:t>
      </w:r>
    </w:p>
    <w:p w14:paraId="663472FC" w14:textId="49D3BF58" w:rsidR="004F259C" w:rsidRPr="00FC2351" w:rsidRDefault="00A57970" w:rsidP="00646F3A">
      <w:pPr>
        <w:jc w:val="both"/>
        <w:rPr>
          <w:rFonts w:ascii="Sylfaen" w:hAnsi="Sylfaen"/>
          <w:lang w:val="ka-GE"/>
        </w:rPr>
      </w:pPr>
      <w:r w:rsidRPr="00FC2351">
        <w:rPr>
          <w:rFonts w:ascii="Sylfaen" w:hAnsi="Sylfaen"/>
          <w:lang w:val="ka-GE"/>
        </w:rPr>
        <w:t>ანალოგიური კომპანიების შერჩევისას გათვალისწინებულ იქნა წინა პერიოდის გამოცდილებაც და ევროკავშირში ოპერირებად კომპანიებ</w:t>
      </w:r>
      <w:r w:rsidR="00CC3F3D" w:rsidRPr="00FC2351">
        <w:rPr>
          <w:rFonts w:ascii="Sylfaen" w:hAnsi="Sylfaen"/>
          <w:lang w:val="ka-GE"/>
        </w:rPr>
        <w:t>თან ერთად რუსეთის, თურქეთის და ჩინეთის კომპანიებიც</w:t>
      </w:r>
      <w:r w:rsidR="00694CED" w:rsidRPr="00FC2351">
        <w:rPr>
          <w:rFonts w:ascii="Sylfaen" w:hAnsi="Sylfaen"/>
          <w:lang w:val="ka-GE"/>
        </w:rPr>
        <w:t xml:space="preserve"> დაემატა ჯგუფს. </w:t>
      </w:r>
      <w:r w:rsidR="00802990" w:rsidRPr="00FC2351">
        <w:rPr>
          <w:rFonts w:ascii="Sylfaen" w:hAnsi="Sylfaen"/>
          <w:lang w:val="ka-GE"/>
        </w:rPr>
        <w:t xml:space="preserve">ანალოგიური კომპანიების ჯგუფი შედგება 25 კომპანიისაგან, რომელთაგან 21 ოპერირებს როგორც მობილურ, ასევე ფიქსირებულ ბაზრებზე, 2 საკაბელო და სატელიტურ მომსახურებას ეწევა და 2 </w:t>
      </w:r>
      <w:proofErr w:type="spellStart"/>
      <w:r w:rsidR="00802990" w:rsidRPr="00FC2351">
        <w:rPr>
          <w:rFonts w:ascii="Sylfaen" w:hAnsi="Sylfaen"/>
          <w:lang w:val="ka-GE"/>
        </w:rPr>
        <w:t>უსადენო</w:t>
      </w:r>
      <w:proofErr w:type="spellEnd"/>
      <w:r w:rsidR="00802990" w:rsidRPr="00FC2351">
        <w:rPr>
          <w:rFonts w:ascii="Sylfaen" w:hAnsi="Sylfaen"/>
          <w:lang w:val="ka-GE"/>
        </w:rPr>
        <w:t xml:space="preserve"> სატელეკომუნიკაციო </w:t>
      </w:r>
      <w:r w:rsidR="004F259C" w:rsidRPr="00FC2351">
        <w:rPr>
          <w:rFonts w:ascii="Sylfaen" w:hAnsi="Sylfaen"/>
          <w:lang w:val="ka-GE"/>
        </w:rPr>
        <w:t xml:space="preserve">მომსახურებას. </w:t>
      </w:r>
    </w:p>
    <w:p w14:paraId="582415DD" w14:textId="54073A21" w:rsidR="00E01753" w:rsidRPr="00FC2351" w:rsidRDefault="00142A96" w:rsidP="00646F3A">
      <w:pPr>
        <w:jc w:val="both"/>
        <w:rPr>
          <w:rFonts w:ascii="Sylfaen" w:hAnsi="Sylfaen"/>
          <w:lang w:val="ka-GE"/>
        </w:rPr>
      </w:pPr>
      <w:bookmarkStart w:id="0" w:name="_Ref95224767"/>
      <w:proofErr w:type="spellStart"/>
      <w:r w:rsidRPr="00FC2351">
        <w:rPr>
          <w:rFonts w:ascii="Sylfaen" w:hAnsi="Sylfaen"/>
          <w:lang w:val="ka-GE"/>
        </w:rPr>
        <w:t>ბეტას</w:t>
      </w:r>
      <w:proofErr w:type="spellEnd"/>
      <w:r w:rsidRPr="00FC2351">
        <w:rPr>
          <w:rFonts w:ascii="Sylfaen" w:hAnsi="Sylfaen"/>
          <w:lang w:val="ka-GE"/>
        </w:rPr>
        <w:t xml:space="preserve"> </w:t>
      </w:r>
      <w:proofErr w:type="spellStart"/>
      <w:r w:rsidRPr="00FC2351">
        <w:rPr>
          <w:rFonts w:ascii="Sylfaen" w:hAnsi="Sylfaen"/>
          <w:lang w:val="ka-GE"/>
        </w:rPr>
        <w:t>გამოთვლისთვის</w:t>
      </w:r>
      <w:proofErr w:type="spellEnd"/>
      <w:r w:rsidRPr="00FC2351">
        <w:rPr>
          <w:rFonts w:ascii="Sylfaen" w:hAnsi="Sylfaen"/>
          <w:lang w:val="ka-GE"/>
        </w:rPr>
        <w:t xml:space="preserve"> აღებულია ანალოგიური კომპანიების</w:t>
      </w:r>
      <w:r w:rsidRPr="00FC2351">
        <w:rPr>
          <w:rFonts w:ascii="Sylfaen" w:hAnsi="Sylfaen"/>
        </w:rPr>
        <w:t xml:space="preserve"> </w:t>
      </w:r>
      <w:r w:rsidRPr="00FC2351">
        <w:rPr>
          <w:rFonts w:ascii="Sylfaen" w:hAnsi="Sylfaen"/>
          <w:lang w:val="ka-GE"/>
        </w:rPr>
        <w:t>(</w:t>
      </w:r>
      <w:proofErr w:type="spellStart"/>
      <w:r w:rsidRPr="00FC2351">
        <w:rPr>
          <w:rFonts w:ascii="Sylfaen" w:hAnsi="Sylfaen"/>
          <w:lang w:val="ka-GE"/>
        </w:rPr>
        <w:t>ე.წ</w:t>
      </w:r>
      <w:proofErr w:type="spellEnd"/>
      <w:r w:rsidRPr="00FC2351">
        <w:rPr>
          <w:rFonts w:ascii="Sylfaen" w:hAnsi="Sylfaen"/>
          <w:lang w:val="ka-GE"/>
        </w:rPr>
        <w:t xml:space="preserve">. </w:t>
      </w:r>
      <w:r w:rsidRPr="00FC2351">
        <w:rPr>
          <w:rFonts w:ascii="Sylfaen" w:hAnsi="Sylfaen"/>
        </w:rPr>
        <w:t>Peer Group)</w:t>
      </w:r>
      <w:r w:rsidRPr="00FC2351">
        <w:rPr>
          <w:rFonts w:ascii="Sylfaen" w:hAnsi="Sylfaen"/>
          <w:lang w:val="ka-GE"/>
        </w:rPr>
        <w:t xml:space="preserve"> მონაცემების 5 წლის </w:t>
      </w:r>
      <w:r w:rsidR="00E01753" w:rsidRPr="00FC2351">
        <w:rPr>
          <w:rFonts w:ascii="Sylfaen" w:hAnsi="Sylfaen"/>
          <w:lang w:val="ka-GE"/>
        </w:rPr>
        <w:t xml:space="preserve">გასაშუალოებული მონაცემების </w:t>
      </w:r>
      <w:r w:rsidRPr="00FC2351">
        <w:rPr>
          <w:rFonts w:ascii="Sylfaen" w:hAnsi="Sylfaen"/>
          <w:lang w:val="ka-GE"/>
        </w:rPr>
        <w:t xml:space="preserve">მედიანა, აღნიშნული პერიოდის გამოყენება ეფუძნება ევროკომისიის პრაქტიკას, რაც წარმოადგენს </w:t>
      </w:r>
      <w:proofErr w:type="spellStart"/>
      <w:r w:rsidRPr="00FC2351">
        <w:rPr>
          <w:rFonts w:ascii="Sylfaen" w:hAnsi="Sylfaen"/>
          <w:lang w:val="ka-GE"/>
        </w:rPr>
        <w:t>პროგნოზირებასა</w:t>
      </w:r>
      <w:proofErr w:type="spellEnd"/>
      <w:r w:rsidRPr="00FC2351">
        <w:rPr>
          <w:rFonts w:ascii="Sylfaen" w:hAnsi="Sylfaen"/>
          <w:lang w:val="ka-GE"/>
        </w:rPr>
        <w:t xml:space="preserve"> და ეფექტურობას შორის საუკეთესო ბალანსს.</w:t>
      </w:r>
      <w:r w:rsidR="00E01753" w:rsidRPr="00FC2351">
        <w:rPr>
          <w:rFonts w:ascii="Sylfaen" w:hAnsi="Sylfaen"/>
          <w:lang w:val="ka-GE"/>
        </w:rPr>
        <w:t xml:space="preserve"> </w:t>
      </w:r>
    </w:p>
    <w:p w14:paraId="38C209FB" w14:textId="7B6799DF" w:rsidR="001910FC" w:rsidRPr="00E01753" w:rsidRDefault="00E01753" w:rsidP="00646F3A">
      <w:pPr>
        <w:jc w:val="both"/>
        <w:rPr>
          <w:rFonts w:ascii="Sylfaen" w:hAnsi="Sylfaen"/>
          <w:lang w:val="ka-GE"/>
        </w:rPr>
        <w:sectPr w:rsidR="001910FC" w:rsidRPr="00E01753" w:rsidSect="007A4BF3">
          <w:headerReference w:type="default" r:id="rId8"/>
          <w:footerReference w:type="default" r:id="rId9"/>
          <w:pgSz w:w="12240" w:h="15840"/>
          <w:pgMar w:top="1440" w:right="900" w:bottom="1440" w:left="1440" w:header="720" w:footer="720" w:gutter="0"/>
          <w:cols w:space="720"/>
          <w:docGrid w:linePitch="360"/>
        </w:sectPr>
      </w:pPr>
      <w:r w:rsidRPr="00FC2351">
        <w:rPr>
          <w:rFonts w:ascii="Sylfaen" w:hAnsi="Sylfaen"/>
          <w:lang w:val="ka-GE"/>
        </w:rPr>
        <w:t>ისტორიული მონაცემების საფუძველზე განისაზღვრა ასევე მოზიდული კაპიტალის წილი მთლიან კაპიტალში.  კალკულაციის დეტალები მოცემულია „</w:t>
      </w:r>
      <w:r w:rsidRPr="00FC2351">
        <w:rPr>
          <w:rFonts w:ascii="Sylfaen" w:hAnsi="Sylfaen"/>
          <w:lang w:val="ka-GE"/>
        </w:rPr>
        <w:fldChar w:fldCharType="begin"/>
      </w:r>
      <w:r w:rsidRPr="00FC2351">
        <w:rPr>
          <w:rFonts w:ascii="Sylfaen" w:hAnsi="Sylfaen"/>
          <w:lang w:val="ka-GE"/>
        </w:rPr>
        <w:instrText xml:space="preserve"> REF _Ref95224767 \h  \* MERGEFORMAT </w:instrText>
      </w:r>
      <w:r w:rsidRPr="00FC2351">
        <w:rPr>
          <w:rFonts w:ascii="Sylfaen" w:hAnsi="Sylfaen"/>
          <w:lang w:val="ka-GE"/>
        </w:rPr>
      </w:r>
      <w:r w:rsidRPr="00FC2351">
        <w:rPr>
          <w:rFonts w:ascii="Sylfaen" w:hAnsi="Sylfaen"/>
          <w:lang w:val="ka-GE"/>
        </w:rPr>
        <w:fldChar w:fldCharType="separate"/>
      </w:r>
      <w:proofErr w:type="spellStart"/>
      <w:r w:rsidRPr="00FC2351">
        <w:t>ცხრილი</w:t>
      </w:r>
      <w:proofErr w:type="spellEnd"/>
      <w:r w:rsidRPr="00FC2351">
        <w:t xml:space="preserve"> </w:t>
      </w:r>
      <w:r w:rsidRPr="00FC2351">
        <w:rPr>
          <w:noProof/>
        </w:rPr>
        <w:t>1</w:t>
      </w:r>
      <w:r w:rsidRPr="00FC2351">
        <w:rPr>
          <w:rFonts w:ascii="Sylfaen" w:hAnsi="Sylfaen"/>
          <w:lang w:val="ka-GE"/>
        </w:rPr>
        <w:fldChar w:fldCharType="end"/>
      </w:r>
      <w:r w:rsidRPr="00FC2351">
        <w:rPr>
          <w:rFonts w:ascii="Sylfaen" w:hAnsi="Sylfaen"/>
          <w:lang w:val="ka-GE"/>
        </w:rPr>
        <w:t>“-ში:</w:t>
      </w:r>
    </w:p>
    <w:p w14:paraId="6B988BC6" w14:textId="73F93528" w:rsidR="001910FC" w:rsidRDefault="002148F5" w:rsidP="00646F3A">
      <w:pPr>
        <w:pStyle w:val="Caption"/>
      </w:pPr>
      <w:proofErr w:type="spellStart"/>
      <w:r>
        <w:t>ცხრილი</w:t>
      </w:r>
      <w:proofErr w:type="spellEnd"/>
      <w:r>
        <w:t xml:space="preserve"> </w:t>
      </w:r>
      <w:r w:rsidR="00523544">
        <w:fldChar w:fldCharType="begin"/>
      </w:r>
      <w:r w:rsidR="00523544">
        <w:instrText xml:space="preserve"> SEQ </w:instrText>
      </w:r>
      <w:r w:rsidR="00523544">
        <w:instrText>ცხრილი</w:instrText>
      </w:r>
      <w:r w:rsidR="00523544">
        <w:instrText xml:space="preserve"> \* ARABIC </w:instrText>
      </w:r>
      <w:r w:rsidR="00523544">
        <w:fldChar w:fldCharType="separate"/>
      </w:r>
      <w:r>
        <w:rPr>
          <w:noProof/>
        </w:rPr>
        <w:t>1</w:t>
      </w:r>
      <w:r w:rsidR="00523544">
        <w:rPr>
          <w:noProof/>
        </w:rPr>
        <w:fldChar w:fldCharType="end"/>
      </w:r>
    </w:p>
    <w:tbl>
      <w:tblPr>
        <w:tblW w:w="13608" w:type="dxa"/>
        <w:tblLayout w:type="fixed"/>
        <w:tblLook w:val="04A0" w:firstRow="1" w:lastRow="0" w:firstColumn="1" w:lastColumn="0" w:noHBand="0" w:noVBand="1"/>
      </w:tblPr>
      <w:tblGrid>
        <w:gridCol w:w="500"/>
        <w:gridCol w:w="4015"/>
        <w:gridCol w:w="1005"/>
        <w:gridCol w:w="1275"/>
        <w:gridCol w:w="912"/>
        <w:gridCol w:w="315"/>
        <w:gridCol w:w="806"/>
        <w:gridCol w:w="836"/>
        <w:gridCol w:w="836"/>
        <w:gridCol w:w="671"/>
        <w:gridCol w:w="315"/>
        <w:gridCol w:w="836"/>
        <w:gridCol w:w="168"/>
        <w:gridCol w:w="551"/>
        <w:gridCol w:w="330"/>
        <w:gridCol w:w="237"/>
      </w:tblGrid>
      <w:tr w:rsidR="0062518D" w:rsidRPr="002148F5" w14:paraId="22105A58" w14:textId="77777777" w:rsidTr="0062518D">
        <w:trPr>
          <w:trHeight w:val="483"/>
        </w:trPr>
        <w:tc>
          <w:tcPr>
            <w:tcW w:w="500" w:type="dxa"/>
            <w:tcBorders>
              <w:top w:val="nil"/>
              <w:left w:val="nil"/>
              <w:bottom w:val="nil"/>
              <w:right w:val="nil"/>
            </w:tcBorders>
            <w:shd w:val="clear" w:color="auto" w:fill="auto"/>
            <w:noWrap/>
            <w:vAlign w:val="bottom"/>
            <w:hideMark/>
          </w:tcPr>
          <w:p w14:paraId="25B041EB"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4015" w:type="dxa"/>
            <w:tcBorders>
              <w:top w:val="nil"/>
              <w:left w:val="nil"/>
              <w:bottom w:val="nil"/>
              <w:right w:val="nil"/>
            </w:tcBorders>
            <w:shd w:val="clear" w:color="auto" w:fill="auto"/>
            <w:noWrap/>
            <w:vAlign w:val="bottom"/>
            <w:hideMark/>
          </w:tcPr>
          <w:p w14:paraId="75DDAD9C"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1005" w:type="dxa"/>
            <w:tcBorders>
              <w:top w:val="nil"/>
              <w:left w:val="nil"/>
              <w:bottom w:val="nil"/>
              <w:right w:val="nil"/>
            </w:tcBorders>
            <w:shd w:val="clear" w:color="auto" w:fill="auto"/>
            <w:noWrap/>
            <w:vAlign w:val="bottom"/>
            <w:hideMark/>
          </w:tcPr>
          <w:p w14:paraId="545A2053"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1275" w:type="dxa"/>
            <w:tcBorders>
              <w:top w:val="nil"/>
              <w:left w:val="nil"/>
              <w:bottom w:val="nil"/>
              <w:right w:val="nil"/>
            </w:tcBorders>
            <w:shd w:val="clear" w:color="auto" w:fill="auto"/>
            <w:noWrap/>
            <w:vAlign w:val="bottom"/>
            <w:hideMark/>
          </w:tcPr>
          <w:p w14:paraId="57C110C6"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912" w:type="dxa"/>
            <w:tcBorders>
              <w:top w:val="nil"/>
              <w:left w:val="nil"/>
              <w:bottom w:val="nil"/>
              <w:right w:val="nil"/>
            </w:tcBorders>
            <w:shd w:val="clear" w:color="auto" w:fill="auto"/>
            <w:noWrap/>
            <w:vAlign w:val="bottom"/>
            <w:hideMark/>
          </w:tcPr>
          <w:p w14:paraId="24AD5B9D"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315" w:type="dxa"/>
            <w:tcBorders>
              <w:top w:val="nil"/>
              <w:left w:val="nil"/>
              <w:bottom w:val="nil"/>
              <w:right w:val="nil"/>
            </w:tcBorders>
            <w:shd w:val="clear" w:color="auto" w:fill="auto"/>
            <w:noWrap/>
            <w:vAlign w:val="bottom"/>
            <w:hideMark/>
          </w:tcPr>
          <w:p w14:paraId="0AAE9906"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3149" w:type="dxa"/>
            <w:gridSpan w:val="4"/>
            <w:tcBorders>
              <w:top w:val="nil"/>
              <w:left w:val="nil"/>
              <w:bottom w:val="nil"/>
              <w:right w:val="nil"/>
            </w:tcBorders>
            <w:shd w:val="clear" w:color="auto" w:fill="5B9BD5" w:themeFill="accent5"/>
            <w:vAlign w:val="bottom"/>
          </w:tcPr>
          <w:p w14:paraId="221C0489" w14:textId="4BE4840D" w:rsidR="0062518D" w:rsidRPr="00801C39" w:rsidRDefault="0062518D" w:rsidP="00646F3A">
            <w:pPr>
              <w:spacing w:after="0" w:line="240" w:lineRule="auto"/>
              <w:jc w:val="center"/>
              <w:rPr>
                <w:rFonts w:ascii="Sylfaen" w:eastAsia="Times New Roman" w:hAnsi="Sylfaen" w:cs="Arial"/>
                <w:b/>
                <w:bCs/>
                <w:i/>
                <w:iCs/>
                <w:color w:val="FFFFFF"/>
                <w:sz w:val="18"/>
                <w:szCs w:val="18"/>
                <w:lang w:val="ka-GE" w:eastAsia="ka-GE"/>
              </w:rPr>
            </w:pPr>
            <w:r>
              <w:rPr>
                <w:rFonts w:ascii="Sylfaen" w:eastAsia="Times New Roman" w:hAnsi="Sylfaen" w:cs="Arial"/>
                <w:b/>
                <w:bCs/>
                <w:i/>
                <w:iCs/>
                <w:color w:val="FFFFFF"/>
                <w:sz w:val="18"/>
                <w:szCs w:val="18"/>
                <w:lang w:val="ka-GE" w:eastAsia="ka-GE"/>
              </w:rPr>
              <w:t>ბეტა</w:t>
            </w:r>
          </w:p>
        </w:tc>
        <w:tc>
          <w:tcPr>
            <w:tcW w:w="315" w:type="dxa"/>
            <w:tcBorders>
              <w:top w:val="nil"/>
              <w:left w:val="nil"/>
              <w:bottom w:val="nil"/>
              <w:right w:val="nil"/>
            </w:tcBorders>
            <w:shd w:val="clear" w:color="auto" w:fill="auto"/>
            <w:noWrap/>
            <w:vAlign w:val="bottom"/>
            <w:hideMark/>
          </w:tcPr>
          <w:p w14:paraId="27E6B1A5" w14:textId="77777777" w:rsidR="0062518D" w:rsidRPr="00801C39" w:rsidRDefault="0062518D" w:rsidP="00646F3A">
            <w:pPr>
              <w:spacing w:after="0" w:line="240" w:lineRule="auto"/>
              <w:jc w:val="center"/>
              <w:rPr>
                <w:rFonts w:ascii="Sylfaen" w:eastAsia="Times New Roman" w:hAnsi="Sylfaen" w:cs="Arial"/>
                <w:b/>
                <w:bCs/>
                <w:i/>
                <w:iCs/>
                <w:color w:val="FFFFFF"/>
                <w:sz w:val="18"/>
                <w:szCs w:val="18"/>
                <w:lang w:val="ka-GE" w:eastAsia="ka-GE"/>
              </w:rPr>
            </w:pPr>
          </w:p>
        </w:tc>
        <w:tc>
          <w:tcPr>
            <w:tcW w:w="836" w:type="dxa"/>
            <w:tcBorders>
              <w:top w:val="nil"/>
              <w:left w:val="nil"/>
              <w:bottom w:val="nil"/>
              <w:right w:val="nil"/>
            </w:tcBorders>
            <w:shd w:val="clear" w:color="auto" w:fill="5B9BD5" w:themeFill="accent5"/>
            <w:noWrap/>
            <w:vAlign w:val="bottom"/>
            <w:hideMark/>
          </w:tcPr>
          <w:p w14:paraId="3D23E4D7" w14:textId="77777777" w:rsidR="0062518D" w:rsidRPr="00801C39" w:rsidRDefault="0062518D" w:rsidP="00646F3A">
            <w:pPr>
              <w:spacing w:after="0" w:line="240" w:lineRule="auto"/>
              <w:rPr>
                <w:rFonts w:ascii="Sylfaen" w:eastAsia="Times New Roman" w:hAnsi="Sylfaen" w:cs="Arial"/>
                <w:b/>
                <w:bCs/>
                <w:i/>
                <w:iCs/>
                <w:color w:val="FFFFFF"/>
                <w:sz w:val="18"/>
                <w:szCs w:val="18"/>
                <w:lang w:val="ka-GE" w:eastAsia="ka-GE"/>
              </w:rPr>
            </w:pPr>
            <w:r w:rsidRPr="00801C39">
              <w:rPr>
                <w:rFonts w:ascii="Sylfaen" w:eastAsia="Times New Roman" w:hAnsi="Sylfaen" w:cs="Arial"/>
                <w:b/>
                <w:bCs/>
                <w:i/>
                <w:iCs/>
                <w:color w:val="FFFFFF"/>
                <w:sz w:val="18"/>
                <w:szCs w:val="18"/>
                <w:lang w:val="ka-GE" w:eastAsia="ka-GE"/>
              </w:rPr>
              <w:t> </w:t>
            </w:r>
          </w:p>
        </w:tc>
        <w:tc>
          <w:tcPr>
            <w:tcW w:w="719" w:type="dxa"/>
            <w:gridSpan w:val="2"/>
            <w:tcBorders>
              <w:top w:val="nil"/>
              <w:left w:val="nil"/>
              <w:bottom w:val="nil"/>
              <w:right w:val="nil"/>
            </w:tcBorders>
            <w:shd w:val="clear" w:color="auto" w:fill="5B9BD5" w:themeFill="accent5"/>
            <w:noWrap/>
            <w:vAlign w:val="bottom"/>
            <w:hideMark/>
          </w:tcPr>
          <w:p w14:paraId="47A6A5F0" w14:textId="77777777" w:rsidR="0062518D" w:rsidRPr="00801C39" w:rsidRDefault="0062518D" w:rsidP="00646F3A">
            <w:pPr>
              <w:spacing w:after="0" w:line="240" w:lineRule="auto"/>
              <w:rPr>
                <w:rFonts w:ascii="Sylfaen" w:eastAsia="Times New Roman" w:hAnsi="Sylfaen" w:cs="Arial"/>
                <w:b/>
                <w:bCs/>
                <w:i/>
                <w:iCs/>
                <w:color w:val="FFFFFF"/>
                <w:sz w:val="18"/>
                <w:szCs w:val="18"/>
                <w:lang w:val="ka-GE" w:eastAsia="ka-GE"/>
              </w:rPr>
            </w:pPr>
            <w:r w:rsidRPr="00801C39">
              <w:rPr>
                <w:rFonts w:ascii="Sylfaen" w:eastAsia="Times New Roman" w:hAnsi="Sylfaen" w:cs="Arial"/>
                <w:b/>
                <w:bCs/>
                <w:i/>
                <w:iCs/>
                <w:color w:val="FFFFFF"/>
                <w:sz w:val="18"/>
                <w:szCs w:val="18"/>
                <w:lang w:val="ka-GE" w:eastAsia="ka-GE"/>
              </w:rPr>
              <w:t> </w:t>
            </w:r>
          </w:p>
        </w:tc>
        <w:tc>
          <w:tcPr>
            <w:tcW w:w="567" w:type="dxa"/>
            <w:gridSpan w:val="2"/>
            <w:tcBorders>
              <w:top w:val="nil"/>
              <w:left w:val="nil"/>
              <w:bottom w:val="nil"/>
              <w:right w:val="nil"/>
            </w:tcBorders>
            <w:shd w:val="clear" w:color="auto" w:fill="5B9BD5" w:themeFill="accent5"/>
            <w:noWrap/>
            <w:vAlign w:val="bottom"/>
            <w:hideMark/>
          </w:tcPr>
          <w:p w14:paraId="5F38D355" w14:textId="77777777" w:rsidR="0062518D" w:rsidRPr="00801C39" w:rsidRDefault="0062518D" w:rsidP="00646F3A">
            <w:pPr>
              <w:spacing w:after="0" w:line="240" w:lineRule="auto"/>
              <w:rPr>
                <w:rFonts w:ascii="Sylfaen" w:eastAsia="Times New Roman" w:hAnsi="Sylfaen" w:cs="Arial"/>
                <w:b/>
                <w:bCs/>
                <w:i/>
                <w:iCs/>
                <w:color w:val="FFFFFF"/>
                <w:sz w:val="18"/>
                <w:szCs w:val="18"/>
                <w:lang w:val="ka-GE" w:eastAsia="ka-GE"/>
              </w:rPr>
            </w:pPr>
            <w:r w:rsidRPr="00801C39">
              <w:rPr>
                <w:rFonts w:ascii="Sylfaen" w:eastAsia="Times New Roman" w:hAnsi="Sylfaen" w:cs="Arial"/>
                <w:b/>
                <w:bCs/>
                <w:i/>
                <w:iCs/>
                <w:color w:val="FFFFFF"/>
                <w:sz w:val="18"/>
                <w:szCs w:val="18"/>
                <w:lang w:val="ka-GE" w:eastAsia="ka-GE"/>
              </w:rPr>
              <w:t xml:space="preserve">D/E </w:t>
            </w:r>
          </w:p>
        </w:tc>
      </w:tr>
      <w:tr w:rsidR="0062518D" w:rsidRPr="002148F5" w14:paraId="27BFBDF9" w14:textId="77777777" w:rsidTr="004D746D">
        <w:trPr>
          <w:gridAfter w:val="1"/>
          <w:wAfter w:w="237" w:type="dxa"/>
          <w:trHeight w:val="907"/>
        </w:trPr>
        <w:tc>
          <w:tcPr>
            <w:tcW w:w="500" w:type="dxa"/>
            <w:tcBorders>
              <w:top w:val="nil"/>
              <w:left w:val="nil"/>
              <w:bottom w:val="single" w:sz="8" w:space="0" w:color="D04A02"/>
              <w:right w:val="nil"/>
            </w:tcBorders>
            <w:shd w:val="clear" w:color="auto" w:fill="auto"/>
            <w:vAlign w:val="bottom"/>
            <w:hideMark/>
          </w:tcPr>
          <w:p w14:paraId="6CE9EB9B" w14:textId="667A45D0" w:rsidR="0062518D" w:rsidRPr="00801C39" w:rsidRDefault="0062518D" w:rsidP="00646F3A">
            <w:pPr>
              <w:spacing w:after="0" w:line="240" w:lineRule="auto"/>
              <w:jc w:val="right"/>
              <w:rPr>
                <w:rFonts w:ascii="Sylfaen" w:eastAsia="Times New Roman" w:hAnsi="Sylfaen" w:cs="Arial"/>
                <w:b/>
                <w:bCs/>
                <w:color w:val="4472C4" w:themeColor="accent1"/>
                <w:sz w:val="18"/>
                <w:szCs w:val="18"/>
                <w:lang w:val="en-GB" w:eastAsia="ka-GE"/>
              </w:rPr>
            </w:pPr>
            <w:r w:rsidRPr="005F0FB7">
              <w:rPr>
                <w:rFonts w:ascii="Sylfaen" w:eastAsia="Times New Roman" w:hAnsi="Sylfaen" w:cs="Arial"/>
                <w:b/>
                <w:bCs/>
                <w:color w:val="4472C4" w:themeColor="accent1"/>
                <w:sz w:val="18"/>
                <w:szCs w:val="18"/>
                <w:lang w:val="en-GB" w:eastAsia="ka-GE"/>
              </w:rPr>
              <w:t>#</w:t>
            </w:r>
          </w:p>
        </w:tc>
        <w:tc>
          <w:tcPr>
            <w:tcW w:w="4015" w:type="dxa"/>
            <w:tcBorders>
              <w:top w:val="nil"/>
              <w:left w:val="nil"/>
              <w:bottom w:val="single" w:sz="8" w:space="0" w:color="D04A02"/>
              <w:right w:val="nil"/>
            </w:tcBorders>
            <w:shd w:val="clear" w:color="auto" w:fill="auto"/>
            <w:vAlign w:val="bottom"/>
            <w:hideMark/>
          </w:tcPr>
          <w:p w14:paraId="65008FB1" w14:textId="2C0E39D5" w:rsidR="0062518D" w:rsidRPr="00801C39" w:rsidRDefault="0062518D" w:rsidP="00646F3A">
            <w:pPr>
              <w:spacing w:after="0" w:line="240" w:lineRule="auto"/>
              <w:rPr>
                <w:rFonts w:ascii="Sylfaen" w:eastAsia="Times New Roman" w:hAnsi="Sylfaen" w:cs="Arial"/>
                <w:b/>
                <w:bCs/>
                <w:color w:val="4472C4" w:themeColor="accent1"/>
                <w:sz w:val="18"/>
                <w:szCs w:val="18"/>
                <w:lang w:val="ka-GE" w:eastAsia="ka-GE"/>
              </w:rPr>
            </w:pPr>
            <w:r>
              <w:rPr>
                <w:rFonts w:ascii="Sylfaen" w:eastAsia="Times New Roman" w:hAnsi="Sylfaen" w:cs="Arial"/>
                <w:b/>
                <w:bCs/>
                <w:color w:val="4472C4" w:themeColor="accent1"/>
                <w:sz w:val="18"/>
                <w:szCs w:val="18"/>
                <w:lang w:val="ka-GE" w:eastAsia="ka-GE"/>
              </w:rPr>
              <w:t>კომპანიის დასახელება</w:t>
            </w:r>
          </w:p>
        </w:tc>
        <w:tc>
          <w:tcPr>
            <w:tcW w:w="1005" w:type="dxa"/>
            <w:tcBorders>
              <w:top w:val="nil"/>
              <w:left w:val="nil"/>
              <w:bottom w:val="single" w:sz="8" w:space="0" w:color="D04A02"/>
              <w:right w:val="nil"/>
            </w:tcBorders>
            <w:shd w:val="clear" w:color="auto" w:fill="auto"/>
            <w:vAlign w:val="bottom"/>
            <w:hideMark/>
          </w:tcPr>
          <w:p w14:paraId="61957934" w14:textId="0E83A7AB" w:rsidR="0062518D" w:rsidRPr="00801C39" w:rsidRDefault="0062518D" w:rsidP="00646F3A">
            <w:pPr>
              <w:spacing w:after="0" w:line="240" w:lineRule="auto"/>
              <w:rPr>
                <w:rFonts w:ascii="Sylfaen" w:eastAsia="Times New Roman" w:hAnsi="Sylfaen" w:cs="Arial"/>
                <w:b/>
                <w:bCs/>
                <w:color w:val="4472C4" w:themeColor="accent1"/>
                <w:sz w:val="18"/>
                <w:szCs w:val="18"/>
                <w:lang w:val="ka-GE" w:eastAsia="ka-GE"/>
              </w:rPr>
            </w:pPr>
            <w:r>
              <w:rPr>
                <w:rFonts w:ascii="Sylfaen" w:eastAsia="Times New Roman" w:hAnsi="Sylfaen" w:cs="Arial"/>
                <w:b/>
                <w:bCs/>
                <w:color w:val="4472C4" w:themeColor="accent1"/>
                <w:sz w:val="18"/>
                <w:szCs w:val="18"/>
                <w:lang w:val="ka-GE" w:eastAsia="ka-GE"/>
              </w:rPr>
              <w:t>ბეტა კორექტირებული</w:t>
            </w:r>
          </w:p>
        </w:tc>
        <w:tc>
          <w:tcPr>
            <w:tcW w:w="1275" w:type="dxa"/>
            <w:tcBorders>
              <w:top w:val="nil"/>
              <w:left w:val="nil"/>
              <w:bottom w:val="single" w:sz="8" w:space="0" w:color="D04A02"/>
              <w:right w:val="nil"/>
            </w:tcBorders>
            <w:shd w:val="clear" w:color="auto" w:fill="auto"/>
            <w:vAlign w:val="bottom"/>
            <w:hideMark/>
          </w:tcPr>
          <w:p w14:paraId="420A8899" w14:textId="4CFBD437" w:rsidR="0062518D" w:rsidRPr="00801C39" w:rsidRDefault="0062518D" w:rsidP="00646F3A">
            <w:pPr>
              <w:spacing w:after="0" w:line="240" w:lineRule="auto"/>
              <w:rPr>
                <w:rFonts w:ascii="Sylfaen" w:eastAsia="Times New Roman" w:hAnsi="Sylfaen" w:cs="Arial"/>
                <w:b/>
                <w:bCs/>
                <w:color w:val="4472C4" w:themeColor="accent1"/>
                <w:sz w:val="18"/>
                <w:szCs w:val="18"/>
                <w:lang w:val="ka-GE" w:eastAsia="ka-GE"/>
              </w:rPr>
            </w:pPr>
            <w:r w:rsidRPr="00801C39">
              <w:rPr>
                <w:rFonts w:ascii="Sylfaen" w:eastAsia="Times New Roman" w:hAnsi="Sylfaen" w:cs="Arial"/>
                <w:b/>
                <w:bCs/>
                <w:color w:val="4472C4" w:themeColor="accent1"/>
                <w:sz w:val="18"/>
                <w:szCs w:val="18"/>
                <w:lang w:val="ka-GE" w:eastAsia="ka-GE"/>
              </w:rPr>
              <w:t>R</w:t>
            </w:r>
            <w:r w:rsidRPr="00801C39">
              <w:rPr>
                <w:rFonts w:ascii="Sylfaen" w:eastAsia="Times New Roman" w:hAnsi="Sylfaen" w:cs="Arial"/>
                <w:b/>
                <w:bCs/>
                <w:color w:val="4472C4" w:themeColor="accent1"/>
                <w:sz w:val="18"/>
                <w:szCs w:val="18"/>
                <w:vertAlign w:val="superscript"/>
                <w:lang w:val="ka-GE" w:eastAsia="ka-GE"/>
              </w:rPr>
              <w:t>2</w:t>
            </w:r>
            <w:r w:rsidRPr="00801C39">
              <w:rPr>
                <w:rFonts w:ascii="Sylfaen" w:eastAsia="Times New Roman" w:hAnsi="Sylfaen" w:cs="Arial"/>
                <w:b/>
                <w:bCs/>
                <w:color w:val="4472C4" w:themeColor="accent1"/>
                <w:sz w:val="18"/>
                <w:szCs w:val="18"/>
                <w:lang w:val="ka-GE" w:eastAsia="ka-GE"/>
              </w:rPr>
              <w:t xml:space="preserve"> </w:t>
            </w:r>
          </w:p>
        </w:tc>
        <w:tc>
          <w:tcPr>
            <w:tcW w:w="912" w:type="dxa"/>
            <w:tcBorders>
              <w:top w:val="nil"/>
              <w:left w:val="nil"/>
              <w:bottom w:val="single" w:sz="8" w:space="0" w:color="D04A02"/>
              <w:right w:val="nil"/>
            </w:tcBorders>
            <w:shd w:val="clear" w:color="auto" w:fill="FFFFFF" w:themeFill="background1"/>
            <w:vAlign w:val="bottom"/>
            <w:hideMark/>
          </w:tcPr>
          <w:p w14:paraId="2927224F" w14:textId="77777777" w:rsidR="0062518D" w:rsidRPr="004D746D" w:rsidRDefault="0062518D" w:rsidP="00646F3A">
            <w:pPr>
              <w:spacing w:after="0" w:line="240" w:lineRule="auto"/>
              <w:rPr>
                <w:rFonts w:ascii="Sylfaen" w:eastAsia="Times New Roman" w:hAnsi="Sylfaen" w:cs="Arial"/>
                <w:b/>
                <w:bCs/>
                <w:color w:val="4472C4" w:themeColor="accent1"/>
                <w:sz w:val="18"/>
                <w:szCs w:val="18"/>
                <w:lang w:val="ka-GE" w:eastAsia="ka-GE"/>
              </w:rPr>
            </w:pPr>
            <w:r w:rsidRPr="004D746D">
              <w:rPr>
                <w:rFonts w:ascii="Sylfaen" w:eastAsia="Times New Roman" w:hAnsi="Sylfaen" w:cs="Arial"/>
                <w:b/>
                <w:bCs/>
                <w:color w:val="4472C4" w:themeColor="accent1"/>
                <w:sz w:val="18"/>
                <w:szCs w:val="18"/>
                <w:lang w:val="ka-GE" w:eastAsia="ka-GE"/>
              </w:rPr>
              <w:t>p-</w:t>
            </w:r>
            <w:proofErr w:type="spellStart"/>
            <w:r w:rsidRPr="004D746D">
              <w:rPr>
                <w:rFonts w:ascii="Sylfaen" w:eastAsia="Times New Roman" w:hAnsi="Sylfaen" w:cs="Arial"/>
                <w:b/>
                <w:bCs/>
                <w:color w:val="4472C4" w:themeColor="accent1"/>
                <w:sz w:val="18"/>
                <w:szCs w:val="18"/>
                <w:lang w:val="ka-GE" w:eastAsia="ka-GE"/>
              </w:rPr>
              <w:t>value</w:t>
            </w:r>
            <w:proofErr w:type="spellEnd"/>
          </w:p>
        </w:tc>
        <w:tc>
          <w:tcPr>
            <w:tcW w:w="315" w:type="dxa"/>
            <w:tcBorders>
              <w:top w:val="nil"/>
              <w:left w:val="nil"/>
              <w:bottom w:val="single" w:sz="8" w:space="0" w:color="D04A02"/>
              <w:right w:val="nil"/>
            </w:tcBorders>
            <w:shd w:val="clear" w:color="auto" w:fill="FFFFFF" w:themeFill="background1"/>
            <w:vAlign w:val="bottom"/>
            <w:hideMark/>
          </w:tcPr>
          <w:p w14:paraId="2F0D21CE" w14:textId="77777777" w:rsidR="0062518D" w:rsidRPr="004D746D" w:rsidRDefault="0062518D" w:rsidP="00646F3A">
            <w:pPr>
              <w:spacing w:after="0" w:line="240" w:lineRule="auto"/>
              <w:rPr>
                <w:rFonts w:ascii="Sylfaen" w:eastAsia="Times New Roman" w:hAnsi="Sylfaen" w:cs="Arial"/>
                <w:b/>
                <w:bCs/>
                <w:color w:val="4472C4" w:themeColor="accent1"/>
                <w:sz w:val="18"/>
                <w:szCs w:val="18"/>
                <w:lang w:val="ka-GE" w:eastAsia="ka-GE"/>
              </w:rPr>
            </w:pPr>
            <w:r w:rsidRPr="004D746D">
              <w:rPr>
                <w:rFonts w:ascii="Sylfaen" w:eastAsia="Times New Roman" w:hAnsi="Sylfaen" w:cs="Arial"/>
                <w:b/>
                <w:bCs/>
                <w:color w:val="4472C4" w:themeColor="accent1"/>
                <w:sz w:val="18"/>
                <w:szCs w:val="18"/>
                <w:lang w:val="ka-GE" w:eastAsia="ka-GE"/>
              </w:rPr>
              <w:t> </w:t>
            </w:r>
          </w:p>
        </w:tc>
        <w:tc>
          <w:tcPr>
            <w:tcW w:w="806" w:type="dxa"/>
            <w:tcBorders>
              <w:top w:val="nil"/>
              <w:left w:val="nil"/>
              <w:bottom w:val="single" w:sz="8" w:space="0" w:color="D04A02"/>
              <w:right w:val="nil"/>
            </w:tcBorders>
            <w:shd w:val="clear" w:color="auto" w:fill="FFFFFF" w:themeFill="background1"/>
            <w:vAlign w:val="bottom"/>
            <w:hideMark/>
          </w:tcPr>
          <w:p w14:paraId="25D6B53A" w14:textId="7494748C" w:rsidR="0062518D" w:rsidRPr="004D746D" w:rsidRDefault="0062518D" w:rsidP="00646F3A">
            <w:pPr>
              <w:spacing w:after="0" w:line="240" w:lineRule="auto"/>
              <w:jc w:val="right"/>
              <w:rPr>
                <w:rFonts w:ascii="Sylfaen" w:eastAsia="Times New Roman" w:hAnsi="Sylfaen" w:cs="Arial"/>
                <w:b/>
                <w:bCs/>
                <w:color w:val="4472C4" w:themeColor="accent1"/>
                <w:sz w:val="18"/>
                <w:szCs w:val="18"/>
                <w:lang w:val="ka-GE" w:eastAsia="ka-GE"/>
              </w:rPr>
            </w:pPr>
            <w:r w:rsidRPr="004D746D">
              <w:rPr>
                <w:rFonts w:ascii="Sylfaen" w:eastAsia="Times New Roman" w:hAnsi="Sylfaen" w:cs="Arial"/>
                <w:b/>
                <w:bCs/>
                <w:i/>
                <w:iCs/>
                <w:color w:val="4472C4" w:themeColor="accent1"/>
                <w:sz w:val="18"/>
                <w:szCs w:val="18"/>
                <w:lang w:val="ka-GE" w:eastAsia="ka-GE"/>
              </w:rPr>
              <w:t xml:space="preserve">ბეტა </w:t>
            </w:r>
            <w:proofErr w:type="spellStart"/>
            <w:r w:rsidRPr="004D746D">
              <w:rPr>
                <w:rFonts w:ascii="Sylfaen" w:eastAsia="Times New Roman" w:hAnsi="Sylfaen" w:cs="Arial"/>
                <w:b/>
                <w:bCs/>
                <w:i/>
                <w:iCs/>
                <w:color w:val="4472C4" w:themeColor="accent1"/>
                <w:sz w:val="18"/>
                <w:szCs w:val="18"/>
                <w:lang w:val="ka-GE" w:eastAsia="ka-GE"/>
              </w:rPr>
              <w:t>releverage</w:t>
            </w:r>
            <w:proofErr w:type="spellEnd"/>
            <w:r w:rsidRPr="004D746D">
              <w:rPr>
                <w:rFonts w:ascii="Sylfaen" w:eastAsia="Times New Roman" w:hAnsi="Sylfaen" w:cs="Arial"/>
                <w:b/>
                <w:bCs/>
                <w:i/>
                <w:iCs/>
                <w:color w:val="4472C4" w:themeColor="accent1"/>
                <w:sz w:val="18"/>
                <w:szCs w:val="18"/>
                <w:lang w:val="ka-GE" w:eastAsia="ka-GE"/>
              </w:rPr>
              <w:t xml:space="preserve"> </w:t>
            </w:r>
          </w:p>
        </w:tc>
        <w:tc>
          <w:tcPr>
            <w:tcW w:w="836" w:type="dxa"/>
            <w:tcBorders>
              <w:top w:val="nil"/>
              <w:left w:val="nil"/>
              <w:bottom w:val="single" w:sz="8" w:space="0" w:color="D04A02"/>
              <w:right w:val="nil"/>
            </w:tcBorders>
            <w:shd w:val="clear" w:color="auto" w:fill="FFFFFF" w:themeFill="background1"/>
            <w:vAlign w:val="bottom"/>
            <w:hideMark/>
          </w:tcPr>
          <w:p w14:paraId="38F3404C" w14:textId="6B2D4F69" w:rsidR="0062518D" w:rsidRPr="004D746D" w:rsidRDefault="0062518D" w:rsidP="00646F3A">
            <w:pPr>
              <w:spacing w:after="0" w:line="240" w:lineRule="auto"/>
              <w:jc w:val="right"/>
              <w:rPr>
                <w:rFonts w:ascii="Sylfaen" w:eastAsia="Times New Roman" w:hAnsi="Sylfaen" w:cs="Arial"/>
                <w:b/>
                <w:bCs/>
                <w:color w:val="4472C4" w:themeColor="accent1"/>
                <w:sz w:val="18"/>
                <w:szCs w:val="18"/>
                <w:lang w:val="ka-GE" w:eastAsia="ka-GE"/>
              </w:rPr>
            </w:pPr>
            <w:r w:rsidRPr="004D746D">
              <w:rPr>
                <w:rFonts w:ascii="Sylfaen" w:eastAsia="Times New Roman" w:hAnsi="Sylfaen" w:cs="Arial"/>
                <w:b/>
                <w:bCs/>
                <w:i/>
                <w:iCs/>
                <w:color w:val="4472C4" w:themeColor="accent1"/>
                <w:sz w:val="18"/>
                <w:szCs w:val="18"/>
                <w:lang w:val="ka-GE" w:eastAsia="ka-GE"/>
              </w:rPr>
              <w:t xml:space="preserve">ბეტა </w:t>
            </w:r>
            <w:proofErr w:type="spellStart"/>
            <w:r w:rsidRPr="004D746D">
              <w:rPr>
                <w:rFonts w:ascii="Sylfaen" w:eastAsia="Times New Roman" w:hAnsi="Sylfaen" w:cs="Arial"/>
                <w:b/>
                <w:bCs/>
                <w:i/>
                <w:iCs/>
                <w:color w:val="4472C4" w:themeColor="accent1"/>
                <w:sz w:val="18"/>
                <w:szCs w:val="18"/>
                <w:lang w:val="ka-GE" w:eastAsia="ka-GE"/>
              </w:rPr>
              <w:t>unlevered</w:t>
            </w:r>
            <w:proofErr w:type="spellEnd"/>
            <w:r w:rsidRPr="004D746D">
              <w:rPr>
                <w:rFonts w:ascii="Sylfaen" w:eastAsia="Times New Roman" w:hAnsi="Sylfaen" w:cs="Arial"/>
                <w:b/>
                <w:bCs/>
                <w:i/>
                <w:iCs/>
                <w:color w:val="4472C4" w:themeColor="accent1"/>
                <w:sz w:val="18"/>
                <w:szCs w:val="18"/>
                <w:lang w:val="ka-GE" w:eastAsia="ka-GE"/>
              </w:rPr>
              <w:t xml:space="preserve"> </w:t>
            </w:r>
          </w:p>
        </w:tc>
        <w:tc>
          <w:tcPr>
            <w:tcW w:w="836" w:type="dxa"/>
            <w:tcBorders>
              <w:top w:val="nil"/>
              <w:left w:val="nil"/>
              <w:bottom w:val="single" w:sz="8" w:space="0" w:color="D04A02"/>
              <w:right w:val="nil"/>
            </w:tcBorders>
            <w:shd w:val="clear" w:color="auto" w:fill="FFFFFF" w:themeFill="background1"/>
            <w:vAlign w:val="bottom"/>
            <w:hideMark/>
          </w:tcPr>
          <w:p w14:paraId="66F66F5C" w14:textId="20987A9D" w:rsidR="0062518D" w:rsidRPr="004D746D" w:rsidRDefault="0062518D" w:rsidP="00646F3A">
            <w:pPr>
              <w:spacing w:after="0" w:line="240" w:lineRule="auto"/>
              <w:jc w:val="right"/>
              <w:rPr>
                <w:rFonts w:ascii="Sylfaen" w:eastAsia="Times New Roman" w:hAnsi="Sylfaen" w:cs="Arial"/>
                <w:b/>
                <w:bCs/>
                <w:color w:val="4472C4" w:themeColor="accent1"/>
                <w:sz w:val="18"/>
                <w:szCs w:val="18"/>
                <w:lang w:val="ka-GE" w:eastAsia="ka-GE"/>
              </w:rPr>
            </w:pPr>
            <w:r w:rsidRPr="004D746D">
              <w:rPr>
                <w:rFonts w:ascii="Sylfaen" w:eastAsia="Times New Roman" w:hAnsi="Sylfaen" w:cs="Arial"/>
                <w:b/>
                <w:bCs/>
                <w:i/>
                <w:iCs/>
                <w:color w:val="4472C4" w:themeColor="accent1"/>
                <w:sz w:val="18"/>
                <w:szCs w:val="18"/>
                <w:lang w:val="ka-GE" w:eastAsia="ka-GE"/>
              </w:rPr>
              <w:t>საკ</w:t>
            </w:r>
            <w:r w:rsidR="00F12A0C" w:rsidRPr="004D746D">
              <w:rPr>
                <w:rFonts w:ascii="Sylfaen" w:eastAsia="Times New Roman" w:hAnsi="Sylfaen" w:cs="Arial"/>
                <w:b/>
                <w:bCs/>
                <w:i/>
                <w:iCs/>
                <w:color w:val="4472C4" w:themeColor="accent1"/>
                <w:sz w:val="18"/>
                <w:szCs w:val="18"/>
                <w:lang w:val="en-GB" w:eastAsia="ka-GE"/>
              </w:rPr>
              <w:t>.</w:t>
            </w:r>
            <w:r w:rsidRPr="004D746D">
              <w:rPr>
                <w:rFonts w:ascii="Sylfaen" w:eastAsia="Times New Roman" w:hAnsi="Sylfaen" w:cs="Arial"/>
                <w:b/>
                <w:bCs/>
                <w:i/>
                <w:iCs/>
                <w:color w:val="4472C4" w:themeColor="accent1"/>
                <w:sz w:val="18"/>
                <w:szCs w:val="18"/>
                <w:lang w:val="ka-GE" w:eastAsia="ka-GE"/>
              </w:rPr>
              <w:t xml:space="preserve"> კაპიტალის ბეტა კორ. </w:t>
            </w:r>
          </w:p>
        </w:tc>
        <w:tc>
          <w:tcPr>
            <w:tcW w:w="671" w:type="dxa"/>
            <w:tcBorders>
              <w:top w:val="nil"/>
              <w:left w:val="nil"/>
              <w:bottom w:val="single" w:sz="8" w:space="0" w:color="D04A02"/>
              <w:right w:val="nil"/>
            </w:tcBorders>
            <w:shd w:val="clear" w:color="auto" w:fill="FFFFFF" w:themeFill="background1"/>
            <w:vAlign w:val="bottom"/>
            <w:hideMark/>
          </w:tcPr>
          <w:p w14:paraId="171B0EC4" w14:textId="7EE8EC14" w:rsidR="0062518D" w:rsidRPr="004D746D" w:rsidRDefault="0062518D" w:rsidP="00646F3A">
            <w:pPr>
              <w:spacing w:after="0" w:line="240" w:lineRule="auto"/>
              <w:jc w:val="right"/>
              <w:rPr>
                <w:rFonts w:ascii="Sylfaen" w:eastAsia="Times New Roman" w:hAnsi="Sylfaen" w:cs="Arial"/>
                <w:b/>
                <w:bCs/>
                <w:color w:val="4472C4" w:themeColor="accent1"/>
                <w:sz w:val="18"/>
                <w:szCs w:val="18"/>
                <w:lang w:val="ka-GE" w:eastAsia="ka-GE"/>
              </w:rPr>
            </w:pPr>
            <w:proofErr w:type="spellStart"/>
            <w:r w:rsidRPr="004D746D">
              <w:rPr>
                <w:rFonts w:ascii="Sylfaen" w:eastAsia="Times New Roman" w:hAnsi="Sylfaen" w:cs="Arial"/>
                <w:b/>
                <w:bCs/>
                <w:i/>
                <w:iCs/>
                <w:color w:val="4472C4" w:themeColor="accent1"/>
                <w:sz w:val="18"/>
                <w:szCs w:val="18"/>
                <w:lang w:val="ka-GE" w:eastAsia="ka-GE"/>
              </w:rPr>
              <w:t>Releveled</w:t>
            </w:r>
            <w:proofErr w:type="spellEnd"/>
            <w:r w:rsidRPr="004D746D">
              <w:rPr>
                <w:rFonts w:ascii="Sylfaen" w:eastAsia="Times New Roman" w:hAnsi="Sylfaen" w:cs="Arial"/>
                <w:b/>
                <w:bCs/>
                <w:i/>
                <w:iCs/>
                <w:color w:val="4472C4" w:themeColor="accent1"/>
                <w:sz w:val="18"/>
                <w:szCs w:val="18"/>
                <w:lang w:val="ka-GE" w:eastAsia="ka-GE"/>
              </w:rPr>
              <w:t xml:space="preserve"> </w:t>
            </w:r>
            <w:proofErr w:type="spellStart"/>
            <w:r w:rsidRPr="004D746D">
              <w:rPr>
                <w:rFonts w:ascii="Sylfaen" w:eastAsia="Times New Roman" w:hAnsi="Sylfaen" w:cs="Arial"/>
                <w:b/>
                <w:bCs/>
                <w:i/>
                <w:iCs/>
                <w:color w:val="4472C4" w:themeColor="accent1"/>
                <w:sz w:val="18"/>
                <w:szCs w:val="18"/>
                <w:lang w:val="ka-GE" w:eastAsia="ka-GE"/>
              </w:rPr>
              <w:t>beta</w:t>
            </w:r>
            <w:proofErr w:type="spellEnd"/>
            <w:r w:rsidRPr="004D746D">
              <w:rPr>
                <w:rFonts w:ascii="Sylfaen" w:eastAsia="Times New Roman" w:hAnsi="Sylfaen" w:cs="Arial"/>
                <w:b/>
                <w:bCs/>
                <w:i/>
                <w:iCs/>
                <w:color w:val="4472C4" w:themeColor="accent1"/>
                <w:sz w:val="18"/>
                <w:szCs w:val="18"/>
                <w:lang w:val="ka-GE" w:eastAsia="ka-GE"/>
              </w:rPr>
              <w:t xml:space="preserve"> </w:t>
            </w:r>
          </w:p>
        </w:tc>
        <w:tc>
          <w:tcPr>
            <w:tcW w:w="315" w:type="dxa"/>
            <w:tcBorders>
              <w:top w:val="nil"/>
              <w:left w:val="nil"/>
              <w:bottom w:val="nil"/>
              <w:right w:val="nil"/>
            </w:tcBorders>
            <w:shd w:val="clear" w:color="auto" w:fill="auto"/>
            <w:noWrap/>
            <w:vAlign w:val="bottom"/>
            <w:hideMark/>
          </w:tcPr>
          <w:p w14:paraId="04122FBA" w14:textId="77777777" w:rsidR="0062518D" w:rsidRPr="00801C39" w:rsidRDefault="0062518D" w:rsidP="00646F3A">
            <w:pPr>
              <w:spacing w:after="0" w:line="240" w:lineRule="auto"/>
              <w:jc w:val="right"/>
              <w:rPr>
                <w:rFonts w:ascii="Sylfaen" w:eastAsia="Times New Roman" w:hAnsi="Sylfaen" w:cs="Arial"/>
                <w:b/>
                <w:bCs/>
                <w:color w:val="4472C4" w:themeColor="accent1"/>
                <w:sz w:val="18"/>
                <w:szCs w:val="18"/>
                <w:lang w:val="ka-GE" w:eastAsia="ka-GE"/>
              </w:rPr>
            </w:pPr>
          </w:p>
        </w:tc>
        <w:tc>
          <w:tcPr>
            <w:tcW w:w="1004" w:type="dxa"/>
            <w:gridSpan w:val="2"/>
            <w:tcBorders>
              <w:top w:val="nil"/>
              <w:left w:val="nil"/>
              <w:bottom w:val="single" w:sz="8" w:space="0" w:color="D04A02"/>
              <w:right w:val="nil"/>
            </w:tcBorders>
            <w:shd w:val="clear" w:color="auto" w:fill="auto"/>
            <w:vAlign w:val="bottom"/>
            <w:hideMark/>
          </w:tcPr>
          <w:p w14:paraId="7D05FE35" w14:textId="5FF9C7E0" w:rsidR="0062518D" w:rsidRPr="00801C39" w:rsidRDefault="0062518D" w:rsidP="00646F3A">
            <w:pPr>
              <w:spacing w:after="0" w:line="240" w:lineRule="auto"/>
              <w:jc w:val="right"/>
              <w:rPr>
                <w:rFonts w:ascii="Sylfaen" w:eastAsia="Times New Roman" w:hAnsi="Sylfaen" w:cs="Arial"/>
                <w:b/>
                <w:bCs/>
                <w:color w:val="4472C4" w:themeColor="accent1"/>
                <w:sz w:val="18"/>
                <w:szCs w:val="18"/>
                <w:lang w:val="ka-GE" w:eastAsia="ka-GE"/>
              </w:rPr>
            </w:pPr>
            <w:r>
              <w:rPr>
                <w:rFonts w:ascii="Sylfaen" w:eastAsia="Times New Roman" w:hAnsi="Sylfaen" w:cs="Arial"/>
                <w:b/>
                <w:bCs/>
                <w:color w:val="4472C4" w:themeColor="accent1"/>
                <w:sz w:val="18"/>
                <w:szCs w:val="18"/>
                <w:lang w:val="ka-GE" w:eastAsia="ka-GE"/>
              </w:rPr>
              <w:t xml:space="preserve"> 5 წლის საშუალო</w:t>
            </w:r>
          </w:p>
        </w:tc>
        <w:tc>
          <w:tcPr>
            <w:tcW w:w="881" w:type="dxa"/>
            <w:gridSpan w:val="2"/>
            <w:tcBorders>
              <w:top w:val="nil"/>
              <w:left w:val="nil"/>
              <w:bottom w:val="nil"/>
              <w:right w:val="nil"/>
            </w:tcBorders>
            <w:shd w:val="clear" w:color="auto" w:fill="auto"/>
            <w:noWrap/>
            <w:vAlign w:val="bottom"/>
            <w:hideMark/>
          </w:tcPr>
          <w:p w14:paraId="69F644F1" w14:textId="77777777" w:rsidR="0062518D" w:rsidRPr="00801C39" w:rsidRDefault="0062518D" w:rsidP="00646F3A">
            <w:pPr>
              <w:spacing w:after="0" w:line="240" w:lineRule="auto"/>
              <w:jc w:val="right"/>
              <w:rPr>
                <w:rFonts w:ascii="Sylfaen" w:eastAsia="Times New Roman" w:hAnsi="Sylfaen" w:cs="Arial"/>
                <w:b/>
                <w:bCs/>
                <w:color w:val="D04A02"/>
                <w:sz w:val="18"/>
                <w:szCs w:val="18"/>
                <w:lang w:val="ka-GE" w:eastAsia="ka-GE"/>
              </w:rPr>
            </w:pPr>
          </w:p>
        </w:tc>
      </w:tr>
      <w:tr w:rsidR="0062518D" w:rsidRPr="002148F5" w14:paraId="4AF8AD63"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tcPr>
          <w:p w14:paraId="01E7CCEE" w14:textId="711A5463"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2148F5">
              <w:rPr>
                <w:rFonts w:ascii="Sylfaen" w:eastAsia="Times New Roman" w:hAnsi="Sylfaen" w:cs="Arial"/>
                <w:color w:val="000000"/>
                <w:sz w:val="18"/>
                <w:szCs w:val="18"/>
                <w:lang w:val="ka-GE" w:eastAsia="ka-GE"/>
              </w:rPr>
              <w:t>1</w:t>
            </w:r>
          </w:p>
        </w:tc>
        <w:tc>
          <w:tcPr>
            <w:tcW w:w="4015" w:type="dxa"/>
            <w:tcBorders>
              <w:top w:val="nil"/>
              <w:left w:val="nil"/>
              <w:bottom w:val="nil"/>
              <w:right w:val="nil"/>
            </w:tcBorders>
            <w:shd w:val="clear" w:color="000000" w:fill="FFFFFF"/>
            <w:noWrap/>
            <w:vAlign w:val="bottom"/>
            <w:hideMark/>
          </w:tcPr>
          <w:p w14:paraId="34AD8746"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roofErr w:type="spellStart"/>
            <w:r w:rsidRPr="00801C39">
              <w:rPr>
                <w:rFonts w:ascii="Sylfaen" w:eastAsia="Times New Roman" w:hAnsi="Sylfaen" w:cs="Arial"/>
                <w:color w:val="000000"/>
                <w:sz w:val="18"/>
                <w:szCs w:val="18"/>
                <w:lang w:val="ka-GE" w:eastAsia="ka-GE"/>
              </w:rPr>
              <w:t>Hellenic</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Telecommunications</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Organization</w:t>
            </w:r>
            <w:proofErr w:type="spellEnd"/>
            <w:r w:rsidRPr="00801C39">
              <w:rPr>
                <w:rFonts w:ascii="Sylfaen" w:eastAsia="Times New Roman" w:hAnsi="Sylfaen" w:cs="Arial"/>
                <w:color w:val="000000"/>
                <w:sz w:val="18"/>
                <w:szCs w:val="18"/>
                <w:lang w:val="ka-GE" w:eastAsia="ka-GE"/>
              </w:rPr>
              <w:t xml:space="preserve"> S.A. </w:t>
            </w:r>
          </w:p>
        </w:tc>
        <w:tc>
          <w:tcPr>
            <w:tcW w:w="1005" w:type="dxa"/>
            <w:tcBorders>
              <w:top w:val="nil"/>
              <w:left w:val="nil"/>
              <w:bottom w:val="nil"/>
              <w:right w:val="nil"/>
            </w:tcBorders>
            <w:shd w:val="clear" w:color="auto" w:fill="auto"/>
            <w:noWrap/>
            <w:vAlign w:val="bottom"/>
            <w:hideMark/>
          </w:tcPr>
          <w:p w14:paraId="002B66D9" w14:textId="3EAC1181"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       1.0 </w:t>
            </w:r>
          </w:p>
        </w:tc>
        <w:tc>
          <w:tcPr>
            <w:tcW w:w="1275" w:type="dxa"/>
            <w:tcBorders>
              <w:top w:val="nil"/>
              <w:left w:val="nil"/>
              <w:bottom w:val="nil"/>
              <w:right w:val="nil"/>
            </w:tcBorders>
            <w:shd w:val="clear" w:color="auto" w:fill="auto"/>
            <w:noWrap/>
            <w:vAlign w:val="bottom"/>
            <w:hideMark/>
          </w:tcPr>
          <w:p w14:paraId="742659AD"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33.4% </w:t>
            </w:r>
          </w:p>
        </w:tc>
        <w:tc>
          <w:tcPr>
            <w:tcW w:w="912" w:type="dxa"/>
            <w:tcBorders>
              <w:top w:val="nil"/>
              <w:left w:val="nil"/>
              <w:bottom w:val="nil"/>
              <w:right w:val="nil"/>
            </w:tcBorders>
            <w:shd w:val="clear" w:color="auto" w:fill="auto"/>
            <w:noWrap/>
            <w:vAlign w:val="bottom"/>
            <w:hideMark/>
          </w:tcPr>
          <w:p w14:paraId="7E4B3622"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0.00% </w:t>
            </w:r>
          </w:p>
        </w:tc>
        <w:tc>
          <w:tcPr>
            <w:tcW w:w="315" w:type="dxa"/>
            <w:tcBorders>
              <w:top w:val="nil"/>
              <w:left w:val="nil"/>
              <w:bottom w:val="nil"/>
              <w:right w:val="nil"/>
            </w:tcBorders>
            <w:shd w:val="clear" w:color="000000" w:fill="FFFFFF"/>
            <w:noWrap/>
            <w:vAlign w:val="bottom"/>
            <w:hideMark/>
          </w:tcPr>
          <w:p w14:paraId="19A63D8B"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1993BD7D"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1.32</w:t>
            </w:r>
          </w:p>
        </w:tc>
        <w:tc>
          <w:tcPr>
            <w:tcW w:w="836" w:type="dxa"/>
            <w:tcBorders>
              <w:top w:val="nil"/>
              <w:left w:val="nil"/>
              <w:bottom w:val="nil"/>
              <w:right w:val="nil"/>
            </w:tcBorders>
            <w:shd w:val="clear" w:color="000000" w:fill="FFFFFF"/>
            <w:noWrap/>
            <w:vAlign w:val="bottom"/>
            <w:hideMark/>
          </w:tcPr>
          <w:p w14:paraId="53D91C88"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0.73</w:t>
            </w:r>
          </w:p>
        </w:tc>
        <w:tc>
          <w:tcPr>
            <w:tcW w:w="836" w:type="dxa"/>
            <w:tcBorders>
              <w:top w:val="nil"/>
              <w:left w:val="nil"/>
              <w:bottom w:val="nil"/>
              <w:right w:val="nil"/>
            </w:tcBorders>
            <w:shd w:val="clear" w:color="000000" w:fill="FFFFFF"/>
            <w:noWrap/>
            <w:vAlign w:val="bottom"/>
            <w:hideMark/>
          </w:tcPr>
          <w:p w14:paraId="4B28691E"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1.04</w:t>
            </w:r>
          </w:p>
        </w:tc>
        <w:tc>
          <w:tcPr>
            <w:tcW w:w="671" w:type="dxa"/>
            <w:tcBorders>
              <w:top w:val="nil"/>
              <w:left w:val="nil"/>
              <w:bottom w:val="nil"/>
              <w:right w:val="nil"/>
            </w:tcBorders>
            <w:shd w:val="clear" w:color="000000" w:fill="FFFFFF"/>
            <w:noWrap/>
            <w:vAlign w:val="bottom"/>
            <w:hideMark/>
          </w:tcPr>
          <w:p w14:paraId="68558A53"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auto" w:fill="auto"/>
            <w:noWrap/>
            <w:vAlign w:val="bottom"/>
            <w:hideMark/>
          </w:tcPr>
          <w:p w14:paraId="34A8779B"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c>
          <w:tcPr>
            <w:tcW w:w="1004" w:type="dxa"/>
            <w:gridSpan w:val="2"/>
            <w:tcBorders>
              <w:top w:val="nil"/>
              <w:left w:val="nil"/>
              <w:bottom w:val="nil"/>
              <w:right w:val="nil"/>
            </w:tcBorders>
            <w:shd w:val="clear" w:color="000000" w:fill="FFFFFF"/>
            <w:noWrap/>
            <w:vAlign w:val="bottom"/>
            <w:hideMark/>
          </w:tcPr>
          <w:p w14:paraId="44921E53" w14:textId="49949325"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29%</w:t>
            </w:r>
          </w:p>
        </w:tc>
        <w:tc>
          <w:tcPr>
            <w:tcW w:w="881" w:type="dxa"/>
            <w:gridSpan w:val="2"/>
            <w:tcBorders>
              <w:top w:val="nil"/>
              <w:left w:val="nil"/>
              <w:bottom w:val="nil"/>
              <w:right w:val="nil"/>
            </w:tcBorders>
            <w:shd w:val="clear" w:color="auto" w:fill="auto"/>
            <w:noWrap/>
            <w:vAlign w:val="bottom"/>
            <w:hideMark/>
          </w:tcPr>
          <w:p w14:paraId="34A221D5"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1B409F95"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tcPr>
          <w:p w14:paraId="412093F8" w14:textId="1C0E87B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2148F5">
              <w:rPr>
                <w:rFonts w:ascii="Sylfaen" w:eastAsia="Times New Roman" w:hAnsi="Sylfaen" w:cs="Arial"/>
                <w:color w:val="000000"/>
                <w:sz w:val="18"/>
                <w:szCs w:val="18"/>
                <w:lang w:val="ka-GE" w:eastAsia="ka-GE"/>
              </w:rPr>
              <w:t>2</w:t>
            </w:r>
          </w:p>
        </w:tc>
        <w:tc>
          <w:tcPr>
            <w:tcW w:w="4015" w:type="dxa"/>
            <w:tcBorders>
              <w:top w:val="nil"/>
              <w:left w:val="nil"/>
              <w:bottom w:val="nil"/>
              <w:right w:val="nil"/>
            </w:tcBorders>
            <w:shd w:val="clear" w:color="000000" w:fill="FFFFFF"/>
            <w:noWrap/>
            <w:vAlign w:val="bottom"/>
            <w:hideMark/>
          </w:tcPr>
          <w:p w14:paraId="19D9653E"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roofErr w:type="spellStart"/>
            <w:r w:rsidRPr="00801C39">
              <w:rPr>
                <w:rFonts w:ascii="Sylfaen" w:eastAsia="Times New Roman" w:hAnsi="Sylfaen" w:cs="Arial"/>
                <w:color w:val="000000"/>
                <w:sz w:val="18"/>
                <w:szCs w:val="18"/>
                <w:lang w:val="ka-GE" w:eastAsia="ka-GE"/>
              </w:rPr>
              <w:t>Magyar</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Telekom</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Távközlési</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Nyilvánosan</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Müködö</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Részvénytársaság</w:t>
            </w:r>
            <w:proofErr w:type="spellEnd"/>
            <w:r w:rsidRPr="00801C39">
              <w:rPr>
                <w:rFonts w:ascii="Sylfaen" w:eastAsia="Times New Roman" w:hAnsi="Sylfaen" w:cs="Arial"/>
                <w:color w:val="000000"/>
                <w:sz w:val="18"/>
                <w:szCs w:val="18"/>
                <w:lang w:val="ka-GE" w:eastAsia="ka-GE"/>
              </w:rPr>
              <w:t xml:space="preserve"> </w:t>
            </w:r>
          </w:p>
        </w:tc>
        <w:tc>
          <w:tcPr>
            <w:tcW w:w="1005" w:type="dxa"/>
            <w:tcBorders>
              <w:top w:val="nil"/>
              <w:left w:val="nil"/>
              <w:bottom w:val="nil"/>
              <w:right w:val="nil"/>
            </w:tcBorders>
            <w:shd w:val="clear" w:color="auto" w:fill="auto"/>
            <w:noWrap/>
            <w:vAlign w:val="bottom"/>
            <w:hideMark/>
          </w:tcPr>
          <w:p w14:paraId="440DAE53" w14:textId="69F17658"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          0.7 </w:t>
            </w:r>
          </w:p>
        </w:tc>
        <w:tc>
          <w:tcPr>
            <w:tcW w:w="1275" w:type="dxa"/>
            <w:tcBorders>
              <w:top w:val="nil"/>
              <w:left w:val="nil"/>
              <w:bottom w:val="nil"/>
              <w:right w:val="nil"/>
            </w:tcBorders>
            <w:shd w:val="clear" w:color="auto" w:fill="auto"/>
            <w:noWrap/>
            <w:vAlign w:val="bottom"/>
            <w:hideMark/>
          </w:tcPr>
          <w:p w14:paraId="0F4C3ADC"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22.9% </w:t>
            </w:r>
          </w:p>
        </w:tc>
        <w:tc>
          <w:tcPr>
            <w:tcW w:w="912" w:type="dxa"/>
            <w:tcBorders>
              <w:top w:val="nil"/>
              <w:left w:val="nil"/>
              <w:bottom w:val="nil"/>
              <w:right w:val="nil"/>
            </w:tcBorders>
            <w:shd w:val="clear" w:color="auto" w:fill="auto"/>
            <w:noWrap/>
            <w:vAlign w:val="bottom"/>
            <w:hideMark/>
          </w:tcPr>
          <w:p w14:paraId="7A7AD4C6"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0.01% </w:t>
            </w:r>
          </w:p>
        </w:tc>
        <w:tc>
          <w:tcPr>
            <w:tcW w:w="315" w:type="dxa"/>
            <w:tcBorders>
              <w:top w:val="nil"/>
              <w:left w:val="nil"/>
              <w:bottom w:val="nil"/>
              <w:right w:val="nil"/>
            </w:tcBorders>
            <w:shd w:val="clear" w:color="000000" w:fill="FFFFFF"/>
            <w:noWrap/>
            <w:vAlign w:val="bottom"/>
            <w:hideMark/>
          </w:tcPr>
          <w:p w14:paraId="50F29DFF"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06A41D9A"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0.71</w:t>
            </w:r>
          </w:p>
        </w:tc>
        <w:tc>
          <w:tcPr>
            <w:tcW w:w="836" w:type="dxa"/>
            <w:tcBorders>
              <w:top w:val="nil"/>
              <w:left w:val="nil"/>
              <w:bottom w:val="nil"/>
              <w:right w:val="nil"/>
            </w:tcBorders>
            <w:shd w:val="clear" w:color="000000" w:fill="FFFFFF"/>
            <w:noWrap/>
            <w:vAlign w:val="bottom"/>
            <w:hideMark/>
          </w:tcPr>
          <w:p w14:paraId="611047E1"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0.40</w:t>
            </w:r>
          </w:p>
        </w:tc>
        <w:tc>
          <w:tcPr>
            <w:tcW w:w="836" w:type="dxa"/>
            <w:tcBorders>
              <w:top w:val="nil"/>
              <w:left w:val="nil"/>
              <w:bottom w:val="nil"/>
              <w:right w:val="nil"/>
            </w:tcBorders>
            <w:shd w:val="clear" w:color="000000" w:fill="FFFFFF"/>
            <w:noWrap/>
            <w:vAlign w:val="bottom"/>
            <w:hideMark/>
          </w:tcPr>
          <w:p w14:paraId="48A25FA6"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0.74</w:t>
            </w:r>
          </w:p>
        </w:tc>
        <w:tc>
          <w:tcPr>
            <w:tcW w:w="671" w:type="dxa"/>
            <w:tcBorders>
              <w:top w:val="nil"/>
              <w:left w:val="nil"/>
              <w:bottom w:val="nil"/>
              <w:right w:val="nil"/>
            </w:tcBorders>
            <w:shd w:val="clear" w:color="000000" w:fill="FFFFFF"/>
            <w:noWrap/>
            <w:vAlign w:val="bottom"/>
            <w:hideMark/>
          </w:tcPr>
          <w:p w14:paraId="183C4623"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000000" w:fill="FFFFFF"/>
            <w:noWrap/>
            <w:vAlign w:val="bottom"/>
            <w:hideMark/>
          </w:tcPr>
          <w:p w14:paraId="5B5B7698"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1004" w:type="dxa"/>
            <w:gridSpan w:val="2"/>
            <w:tcBorders>
              <w:top w:val="nil"/>
              <w:left w:val="nil"/>
              <w:bottom w:val="nil"/>
              <w:right w:val="nil"/>
            </w:tcBorders>
            <w:shd w:val="clear" w:color="000000" w:fill="FFFFFF"/>
            <w:noWrap/>
            <w:vAlign w:val="bottom"/>
            <w:hideMark/>
          </w:tcPr>
          <w:p w14:paraId="047CDC2A" w14:textId="1BD04399"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4</w:t>
            </w:r>
            <w:r w:rsidRPr="002148F5">
              <w:rPr>
                <w:rFonts w:ascii="Sylfaen" w:eastAsia="Times New Roman" w:hAnsi="Sylfaen" w:cs="Arial"/>
                <w:color w:val="000000"/>
                <w:sz w:val="18"/>
                <w:szCs w:val="18"/>
                <w:lang w:val="en-GB" w:eastAsia="ka-GE"/>
              </w:rPr>
              <w:t>6</w:t>
            </w:r>
            <w:r w:rsidRPr="00801C39">
              <w:rPr>
                <w:rFonts w:ascii="Sylfaen" w:eastAsia="Times New Roman" w:hAnsi="Sylfaen" w:cs="Arial"/>
                <w:color w:val="000000"/>
                <w:sz w:val="18"/>
                <w:szCs w:val="18"/>
                <w:lang w:val="ka-GE" w:eastAsia="ka-GE"/>
              </w:rPr>
              <w:t>%</w:t>
            </w:r>
          </w:p>
        </w:tc>
        <w:tc>
          <w:tcPr>
            <w:tcW w:w="881" w:type="dxa"/>
            <w:gridSpan w:val="2"/>
            <w:tcBorders>
              <w:top w:val="nil"/>
              <w:left w:val="nil"/>
              <w:bottom w:val="nil"/>
              <w:right w:val="nil"/>
            </w:tcBorders>
            <w:shd w:val="clear" w:color="auto" w:fill="auto"/>
            <w:noWrap/>
            <w:vAlign w:val="bottom"/>
            <w:hideMark/>
          </w:tcPr>
          <w:p w14:paraId="4516EAF5"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4D19979B"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tcPr>
          <w:p w14:paraId="1936E428" w14:textId="62801F86"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2148F5">
              <w:rPr>
                <w:rFonts w:ascii="Sylfaen" w:eastAsia="Times New Roman" w:hAnsi="Sylfaen" w:cs="Arial"/>
                <w:color w:val="000000"/>
                <w:sz w:val="18"/>
                <w:szCs w:val="18"/>
                <w:lang w:val="ka-GE" w:eastAsia="ka-GE"/>
              </w:rPr>
              <w:t>3</w:t>
            </w:r>
          </w:p>
        </w:tc>
        <w:tc>
          <w:tcPr>
            <w:tcW w:w="4015" w:type="dxa"/>
            <w:tcBorders>
              <w:top w:val="nil"/>
              <w:left w:val="nil"/>
              <w:bottom w:val="nil"/>
              <w:right w:val="nil"/>
            </w:tcBorders>
            <w:shd w:val="clear" w:color="000000" w:fill="FFFFFF"/>
            <w:noWrap/>
            <w:vAlign w:val="bottom"/>
            <w:hideMark/>
          </w:tcPr>
          <w:p w14:paraId="69DBA1E1"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O2 </w:t>
            </w:r>
            <w:proofErr w:type="spellStart"/>
            <w:r w:rsidRPr="00801C39">
              <w:rPr>
                <w:rFonts w:ascii="Sylfaen" w:eastAsia="Times New Roman" w:hAnsi="Sylfaen" w:cs="Arial"/>
                <w:color w:val="000000"/>
                <w:sz w:val="18"/>
                <w:szCs w:val="18"/>
                <w:lang w:val="ka-GE" w:eastAsia="ka-GE"/>
              </w:rPr>
              <w:t>Czech</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Republic</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a.s</w:t>
            </w:r>
            <w:proofErr w:type="spellEnd"/>
            <w:r w:rsidRPr="00801C39">
              <w:rPr>
                <w:rFonts w:ascii="Sylfaen" w:eastAsia="Times New Roman" w:hAnsi="Sylfaen" w:cs="Arial"/>
                <w:color w:val="000000"/>
                <w:sz w:val="18"/>
                <w:szCs w:val="18"/>
                <w:lang w:val="ka-GE" w:eastAsia="ka-GE"/>
              </w:rPr>
              <w:t xml:space="preserve">. </w:t>
            </w:r>
          </w:p>
        </w:tc>
        <w:tc>
          <w:tcPr>
            <w:tcW w:w="1005" w:type="dxa"/>
            <w:tcBorders>
              <w:top w:val="nil"/>
              <w:left w:val="nil"/>
              <w:bottom w:val="nil"/>
              <w:right w:val="nil"/>
            </w:tcBorders>
            <w:shd w:val="clear" w:color="auto" w:fill="auto"/>
            <w:noWrap/>
            <w:vAlign w:val="bottom"/>
            <w:hideMark/>
          </w:tcPr>
          <w:p w14:paraId="29DE1C4A" w14:textId="6E2B2AC4"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         0.5 </w:t>
            </w:r>
          </w:p>
        </w:tc>
        <w:tc>
          <w:tcPr>
            <w:tcW w:w="1275" w:type="dxa"/>
            <w:tcBorders>
              <w:top w:val="nil"/>
              <w:left w:val="nil"/>
              <w:bottom w:val="nil"/>
              <w:right w:val="nil"/>
            </w:tcBorders>
            <w:shd w:val="clear" w:color="auto" w:fill="auto"/>
            <w:noWrap/>
            <w:vAlign w:val="bottom"/>
            <w:hideMark/>
          </w:tcPr>
          <w:p w14:paraId="3EB2F512"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7.2% </w:t>
            </w:r>
          </w:p>
        </w:tc>
        <w:tc>
          <w:tcPr>
            <w:tcW w:w="912" w:type="dxa"/>
            <w:tcBorders>
              <w:top w:val="nil"/>
              <w:left w:val="nil"/>
              <w:bottom w:val="nil"/>
              <w:right w:val="nil"/>
            </w:tcBorders>
            <w:shd w:val="clear" w:color="auto" w:fill="auto"/>
            <w:noWrap/>
            <w:vAlign w:val="bottom"/>
            <w:hideMark/>
          </w:tcPr>
          <w:p w14:paraId="72707998"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3.80% </w:t>
            </w:r>
          </w:p>
        </w:tc>
        <w:tc>
          <w:tcPr>
            <w:tcW w:w="315" w:type="dxa"/>
            <w:tcBorders>
              <w:top w:val="nil"/>
              <w:left w:val="nil"/>
              <w:bottom w:val="nil"/>
              <w:right w:val="nil"/>
            </w:tcBorders>
            <w:shd w:val="clear" w:color="000000" w:fill="FFFFFF"/>
            <w:noWrap/>
            <w:vAlign w:val="bottom"/>
            <w:hideMark/>
          </w:tcPr>
          <w:p w14:paraId="7055F80C"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2D19D0B5"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52687C68"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0D7974A8"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671" w:type="dxa"/>
            <w:tcBorders>
              <w:top w:val="nil"/>
              <w:left w:val="nil"/>
              <w:bottom w:val="nil"/>
              <w:right w:val="nil"/>
            </w:tcBorders>
            <w:shd w:val="clear" w:color="000000" w:fill="FFFFFF"/>
            <w:noWrap/>
            <w:vAlign w:val="bottom"/>
            <w:hideMark/>
          </w:tcPr>
          <w:p w14:paraId="077D0077"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000000" w:fill="FFFFFF"/>
            <w:noWrap/>
            <w:vAlign w:val="bottom"/>
            <w:hideMark/>
          </w:tcPr>
          <w:p w14:paraId="618787E1"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1004" w:type="dxa"/>
            <w:gridSpan w:val="2"/>
            <w:tcBorders>
              <w:top w:val="nil"/>
              <w:left w:val="nil"/>
              <w:bottom w:val="nil"/>
              <w:right w:val="nil"/>
            </w:tcBorders>
            <w:shd w:val="clear" w:color="000000" w:fill="FFFFFF"/>
            <w:noWrap/>
            <w:vAlign w:val="bottom"/>
            <w:hideMark/>
          </w:tcPr>
          <w:p w14:paraId="4B11D140" w14:textId="670D796E"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13%</w:t>
            </w:r>
          </w:p>
        </w:tc>
        <w:tc>
          <w:tcPr>
            <w:tcW w:w="881" w:type="dxa"/>
            <w:gridSpan w:val="2"/>
            <w:tcBorders>
              <w:top w:val="nil"/>
              <w:left w:val="nil"/>
              <w:bottom w:val="nil"/>
              <w:right w:val="nil"/>
            </w:tcBorders>
            <w:shd w:val="clear" w:color="auto" w:fill="auto"/>
            <w:noWrap/>
            <w:vAlign w:val="bottom"/>
            <w:hideMark/>
          </w:tcPr>
          <w:p w14:paraId="0595563A"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64538A8B"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tcPr>
          <w:p w14:paraId="69D9F969" w14:textId="7DC7EB8C"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2148F5">
              <w:rPr>
                <w:rFonts w:ascii="Sylfaen" w:eastAsia="Times New Roman" w:hAnsi="Sylfaen" w:cs="Arial"/>
                <w:color w:val="000000"/>
                <w:sz w:val="18"/>
                <w:szCs w:val="18"/>
                <w:lang w:val="ka-GE" w:eastAsia="ka-GE"/>
              </w:rPr>
              <w:t>4</w:t>
            </w:r>
          </w:p>
        </w:tc>
        <w:tc>
          <w:tcPr>
            <w:tcW w:w="4015" w:type="dxa"/>
            <w:tcBorders>
              <w:top w:val="nil"/>
              <w:left w:val="nil"/>
              <w:bottom w:val="nil"/>
              <w:right w:val="nil"/>
            </w:tcBorders>
            <w:shd w:val="clear" w:color="000000" w:fill="FFFFFF"/>
            <w:noWrap/>
            <w:vAlign w:val="bottom"/>
            <w:hideMark/>
          </w:tcPr>
          <w:p w14:paraId="6A4224C2"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roofErr w:type="spellStart"/>
            <w:r w:rsidRPr="00801C39">
              <w:rPr>
                <w:rFonts w:ascii="Sylfaen" w:eastAsia="Times New Roman" w:hAnsi="Sylfaen" w:cs="Arial"/>
                <w:color w:val="000000"/>
                <w:sz w:val="18"/>
                <w:szCs w:val="18"/>
                <w:lang w:val="ka-GE" w:eastAsia="ka-GE"/>
              </w:rPr>
              <w:t>Telekom</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Austria</w:t>
            </w:r>
            <w:proofErr w:type="spellEnd"/>
            <w:r w:rsidRPr="00801C39">
              <w:rPr>
                <w:rFonts w:ascii="Sylfaen" w:eastAsia="Times New Roman" w:hAnsi="Sylfaen" w:cs="Arial"/>
                <w:color w:val="000000"/>
                <w:sz w:val="18"/>
                <w:szCs w:val="18"/>
                <w:lang w:val="ka-GE" w:eastAsia="ka-GE"/>
              </w:rPr>
              <w:t xml:space="preserve"> AG </w:t>
            </w:r>
          </w:p>
        </w:tc>
        <w:tc>
          <w:tcPr>
            <w:tcW w:w="1005" w:type="dxa"/>
            <w:tcBorders>
              <w:top w:val="nil"/>
              <w:left w:val="nil"/>
              <w:bottom w:val="nil"/>
              <w:right w:val="nil"/>
            </w:tcBorders>
            <w:shd w:val="clear" w:color="auto" w:fill="auto"/>
            <w:noWrap/>
            <w:vAlign w:val="bottom"/>
            <w:hideMark/>
          </w:tcPr>
          <w:p w14:paraId="06890ABC" w14:textId="34F3F159"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0.4 </w:t>
            </w:r>
          </w:p>
        </w:tc>
        <w:tc>
          <w:tcPr>
            <w:tcW w:w="1275" w:type="dxa"/>
            <w:tcBorders>
              <w:top w:val="nil"/>
              <w:left w:val="nil"/>
              <w:bottom w:val="nil"/>
              <w:right w:val="nil"/>
            </w:tcBorders>
            <w:shd w:val="clear" w:color="auto" w:fill="auto"/>
            <w:noWrap/>
            <w:vAlign w:val="bottom"/>
            <w:hideMark/>
          </w:tcPr>
          <w:p w14:paraId="4E4C1846"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1.8% </w:t>
            </w:r>
          </w:p>
        </w:tc>
        <w:tc>
          <w:tcPr>
            <w:tcW w:w="912" w:type="dxa"/>
            <w:tcBorders>
              <w:top w:val="nil"/>
              <w:left w:val="nil"/>
              <w:bottom w:val="nil"/>
              <w:right w:val="nil"/>
            </w:tcBorders>
            <w:shd w:val="clear" w:color="auto" w:fill="auto"/>
            <w:noWrap/>
            <w:vAlign w:val="bottom"/>
            <w:hideMark/>
          </w:tcPr>
          <w:p w14:paraId="584C115E"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30.61% </w:t>
            </w:r>
          </w:p>
        </w:tc>
        <w:tc>
          <w:tcPr>
            <w:tcW w:w="315" w:type="dxa"/>
            <w:tcBorders>
              <w:top w:val="nil"/>
              <w:left w:val="nil"/>
              <w:bottom w:val="nil"/>
              <w:right w:val="nil"/>
            </w:tcBorders>
            <w:shd w:val="clear" w:color="000000" w:fill="FFFFFF"/>
            <w:noWrap/>
            <w:vAlign w:val="bottom"/>
            <w:hideMark/>
          </w:tcPr>
          <w:p w14:paraId="1E010FFE"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29CF35B4"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0D4BF73C"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36587F28"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671" w:type="dxa"/>
            <w:tcBorders>
              <w:top w:val="nil"/>
              <w:left w:val="nil"/>
              <w:bottom w:val="nil"/>
              <w:right w:val="nil"/>
            </w:tcBorders>
            <w:shd w:val="clear" w:color="000000" w:fill="FFFFFF"/>
            <w:noWrap/>
            <w:vAlign w:val="bottom"/>
            <w:hideMark/>
          </w:tcPr>
          <w:p w14:paraId="7C12EA82"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000000" w:fill="FFFFFF"/>
            <w:noWrap/>
            <w:vAlign w:val="bottom"/>
            <w:hideMark/>
          </w:tcPr>
          <w:p w14:paraId="7CBB7A47"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1004" w:type="dxa"/>
            <w:gridSpan w:val="2"/>
            <w:tcBorders>
              <w:top w:val="nil"/>
              <w:left w:val="nil"/>
              <w:bottom w:val="nil"/>
              <w:right w:val="nil"/>
            </w:tcBorders>
            <w:shd w:val="clear" w:color="000000" w:fill="FFFFFF"/>
            <w:noWrap/>
            <w:vAlign w:val="bottom"/>
            <w:hideMark/>
          </w:tcPr>
          <w:p w14:paraId="38F4CD76" w14:textId="145F6318"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4</w:t>
            </w:r>
            <w:r w:rsidRPr="002148F5">
              <w:rPr>
                <w:rFonts w:ascii="Sylfaen" w:eastAsia="Times New Roman" w:hAnsi="Sylfaen" w:cs="Arial"/>
                <w:color w:val="000000"/>
                <w:sz w:val="18"/>
                <w:szCs w:val="18"/>
                <w:lang w:val="en-GB" w:eastAsia="ka-GE"/>
              </w:rPr>
              <w:t>4</w:t>
            </w:r>
            <w:r w:rsidRPr="00801C39">
              <w:rPr>
                <w:rFonts w:ascii="Sylfaen" w:eastAsia="Times New Roman" w:hAnsi="Sylfaen" w:cs="Arial"/>
                <w:color w:val="000000"/>
                <w:sz w:val="18"/>
                <w:szCs w:val="18"/>
                <w:lang w:val="ka-GE" w:eastAsia="ka-GE"/>
              </w:rPr>
              <w:t>%</w:t>
            </w:r>
          </w:p>
        </w:tc>
        <w:tc>
          <w:tcPr>
            <w:tcW w:w="881" w:type="dxa"/>
            <w:gridSpan w:val="2"/>
            <w:tcBorders>
              <w:top w:val="nil"/>
              <w:left w:val="nil"/>
              <w:bottom w:val="nil"/>
              <w:right w:val="nil"/>
            </w:tcBorders>
            <w:shd w:val="clear" w:color="auto" w:fill="auto"/>
            <w:noWrap/>
            <w:vAlign w:val="bottom"/>
            <w:hideMark/>
          </w:tcPr>
          <w:p w14:paraId="227B03F5"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6D1DBEFF"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tcPr>
          <w:p w14:paraId="73F6EDB4" w14:textId="18BA620B"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2148F5">
              <w:rPr>
                <w:rFonts w:ascii="Sylfaen" w:eastAsia="Times New Roman" w:hAnsi="Sylfaen" w:cs="Arial"/>
                <w:color w:val="000000"/>
                <w:sz w:val="18"/>
                <w:szCs w:val="18"/>
                <w:lang w:val="ka-GE" w:eastAsia="ka-GE"/>
              </w:rPr>
              <w:t>5</w:t>
            </w:r>
          </w:p>
        </w:tc>
        <w:tc>
          <w:tcPr>
            <w:tcW w:w="4015" w:type="dxa"/>
            <w:tcBorders>
              <w:top w:val="nil"/>
              <w:left w:val="nil"/>
              <w:bottom w:val="nil"/>
              <w:right w:val="nil"/>
            </w:tcBorders>
            <w:shd w:val="clear" w:color="000000" w:fill="FFFFFF"/>
            <w:noWrap/>
            <w:vAlign w:val="bottom"/>
            <w:hideMark/>
          </w:tcPr>
          <w:p w14:paraId="630A1237"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roofErr w:type="spellStart"/>
            <w:r w:rsidRPr="00801C39">
              <w:rPr>
                <w:rFonts w:ascii="Sylfaen" w:eastAsia="Times New Roman" w:hAnsi="Sylfaen" w:cs="Arial"/>
                <w:color w:val="000000"/>
                <w:sz w:val="18"/>
                <w:szCs w:val="18"/>
                <w:lang w:val="ka-GE" w:eastAsia="ka-GE"/>
              </w:rPr>
              <w:t>Swisscom</w:t>
            </w:r>
            <w:proofErr w:type="spellEnd"/>
            <w:r w:rsidRPr="00801C39">
              <w:rPr>
                <w:rFonts w:ascii="Sylfaen" w:eastAsia="Times New Roman" w:hAnsi="Sylfaen" w:cs="Arial"/>
                <w:color w:val="000000"/>
                <w:sz w:val="18"/>
                <w:szCs w:val="18"/>
                <w:lang w:val="ka-GE" w:eastAsia="ka-GE"/>
              </w:rPr>
              <w:t xml:space="preserve"> AG </w:t>
            </w:r>
          </w:p>
        </w:tc>
        <w:tc>
          <w:tcPr>
            <w:tcW w:w="1005" w:type="dxa"/>
            <w:tcBorders>
              <w:top w:val="nil"/>
              <w:left w:val="nil"/>
              <w:bottom w:val="nil"/>
              <w:right w:val="nil"/>
            </w:tcBorders>
            <w:shd w:val="clear" w:color="auto" w:fill="auto"/>
            <w:noWrap/>
            <w:vAlign w:val="bottom"/>
            <w:hideMark/>
          </w:tcPr>
          <w:p w14:paraId="1469C3B1" w14:textId="269EF928"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0.3 </w:t>
            </w:r>
          </w:p>
        </w:tc>
        <w:tc>
          <w:tcPr>
            <w:tcW w:w="1275" w:type="dxa"/>
            <w:tcBorders>
              <w:top w:val="nil"/>
              <w:left w:val="nil"/>
              <w:bottom w:val="nil"/>
              <w:right w:val="nil"/>
            </w:tcBorders>
            <w:shd w:val="clear" w:color="auto" w:fill="auto"/>
            <w:noWrap/>
            <w:vAlign w:val="bottom"/>
            <w:hideMark/>
          </w:tcPr>
          <w:p w14:paraId="633D9B56"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0.0% </w:t>
            </w:r>
          </w:p>
        </w:tc>
        <w:tc>
          <w:tcPr>
            <w:tcW w:w="912" w:type="dxa"/>
            <w:tcBorders>
              <w:top w:val="nil"/>
              <w:left w:val="nil"/>
              <w:bottom w:val="nil"/>
              <w:right w:val="nil"/>
            </w:tcBorders>
            <w:shd w:val="clear" w:color="auto" w:fill="auto"/>
            <w:noWrap/>
            <w:vAlign w:val="bottom"/>
            <w:hideMark/>
          </w:tcPr>
          <w:p w14:paraId="4D7D105A"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99.55% </w:t>
            </w:r>
          </w:p>
        </w:tc>
        <w:tc>
          <w:tcPr>
            <w:tcW w:w="315" w:type="dxa"/>
            <w:tcBorders>
              <w:top w:val="nil"/>
              <w:left w:val="nil"/>
              <w:bottom w:val="nil"/>
              <w:right w:val="nil"/>
            </w:tcBorders>
            <w:shd w:val="clear" w:color="000000" w:fill="FFFFFF"/>
            <w:noWrap/>
            <w:vAlign w:val="bottom"/>
            <w:hideMark/>
          </w:tcPr>
          <w:p w14:paraId="79471E20"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385BBB92"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323792F4"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190D55FD"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671" w:type="dxa"/>
            <w:tcBorders>
              <w:top w:val="nil"/>
              <w:left w:val="nil"/>
              <w:bottom w:val="nil"/>
              <w:right w:val="nil"/>
            </w:tcBorders>
            <w:shd w:val="clear" w:color="000000" w:fill="FFFFFF"/>
            <w:noWrap/>
            <w:vAlign w:val="bottom"/>
            <w:hideMark/>
          </w:tcPr>
          <w:p w14:paraId="2FA878FE"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000000" w:fill="FFFFFF"/>
            <w:noWrap/>
            <w:vAlign w:val="bottom"/>
            <w:hideMark/>
          </w:tcPr>
          <w:p w14:paraId="6D3676F2"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1004" w:type="dxa"/>
            <w:gridSpan w:val="2"/>
            <w:tcBorders>
              <w:top w:val="nil"/>
              <w:left w:val="nil"/>
              <w:bottom w:val="nil"/>
              <w:right w:val="nil"/>
            </w:tcBorders>
            <w:shd w:val="clear" w:color="000000" w:fill="FFFFFF"/>
            <w:noWrap/>
            <w:vAlign w:val="bottom"/>
            <w:hideMark/>
          </w:tcPr>
          <w:p w14:paraId="6D566A25" w14:textId="6C140CA3"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2</w:t>
            </w:r>
            <w:r w:rsidRPr="002148F5">
              <w:rPr>
                <w:rFonts w:ascii="Sylfaen" w:eastAsia="Times New Roman" w:hAnsi="Sylfaen" w:cs="Arial"/>
                <w:color w:val="000000"/>
                <w:sz w:val="18"/>
                <w:szCs w:val="18"/>
                <w:lang w:val="en-GB" w:eastAsia="ka-GE"/>
              </w:rPr>
              <w:t>6</w:t>
            </w:r>
            <w:r w:rsidRPr="00801C39">
              <w:rPr>
                <w:rFonts w:ascii="Sylfaen" w:eastAsia="Times New Roman" w:hAnsi="Sylfaen" w:cs="Arial"/>
                <w:color w:val="000000"/>
                <w:sz w:val="18"/>
                <w:szCs w:val="18"/>
                <w:lang w:val="ka-GE" w:eastAsia="ka-GE"/>
              </w:rPr>
              <w:t>%</w:t>
            </w:r>
          </w:p>
        </w:tc>
        <w:tc>
          <w:tcPr>
            <w:tcW w:w="881" w:type="dxa"/>
            <w:gridSpan w:val="2"/>
            <w:tcBorders>
              <w:top w:val="nil"/>
              <w:left w:val="nil"/>
              <w:bottom w:val="nil"/>
              <w:right w:val="nil"/>
            </w:tcBorders>
            <w:shd w:val="clear" w:color="auto" w:fill="auto"/>
            <w:noWrap/>
            <w:vAlign w:val="bottom"/>
            <w:hideMark/>
          </w:tcPr>
          <w:p w14:paraId="273310F1"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2FE2132D"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tcPr>
          <w:p w14:paraId="2935277C" w14:textId="491FD3E3"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2148F5">
              <w:rPr>
                <w:rFonts w:ascii="Sylfaen" w:eastAsia="Times New Roman" w:hAnsi="Sylfaen" w:cs="Arial"/>
                <w:color w:val="000000"/>
                <w:sz w:val="18"/>
                <w:szCs w:val="18"/>
                <w:lang w:val="ka-GE" w:eastAsia="ka-GE"/>
              </w:rPr>
              <w:t>6</w:t>
            </w:r>
          </w:p>
        </w:tc>
        <w:tc>
          <w:tcPr>
            <w:tcW w:w="4015" w:type="dxa"/>
            <w:tcBorders>
              <w:top w:val="nil"/>
              <w:left w:val="nil"/>
              <w:bottom w:val="nil"/>
              <w:right w:val="nil"/>
            </w:tcBorders>
            <w:shd w:val="clear" w:color="000000" w:fill="FFFFFF"/>
            <w:noWrap/>
            <w:vAlign w:val="bottom"/>
            <w:hideMark/>
          </w:tcPr>
          <w:p w14:paraId="77389AC8"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roofErr w:type="spellStart"/>
            <w:r w:rsidRPr="00801C39">
              <w:rPr>
                <w:rFonts w:ascii="Sylfaen" w:eastAsia="Times New Roman" w:hAnsi="Sylfaen" w:cs="Arial"/>
                <w:color w:val="000000"/>
                <w:sz w:val="18"/>
                <w:szCs w:val="18"/>
                <w:lang w:val="ka-GE" w:eastAsia="ka-GE"/>
              </w:rPr>
              <w:t>Vodafone</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Group</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Plc</w:t>
            </w:r>
            <w:proofErr w:type="spellEnd"/>
            <w:r w:rsidRPr="00801C39">
              <w:rPr>
                <w:rFonts w:ascii="Sylfaen" w:eastAsia="Times New Roman" w:hAnsi="Sylfaen" w:cs="Arial"/>
                <w:color w:val="000000"/>
                <w:sz w:val="18"/>
                <w:szCs w:val="18"/>
                <w:lang w:val="ka-GE" w:eastAsia="ka-GE"/>
              </w:rPr>
              <w:t xml:space="preserve"> </w:t>
            </w:r>
          </w:p>
        </w:tc>
        <w:tc>
          <w:tcPr>
            <w:tcW w:w="1005" w:type="dxa"/>
            <w:tcBorders>
              <w:top w:val="nil"/>
              <w:left w:val="nil"/>
              <w:bottom w:val="nil"/>
              <w:right w:val="nil"/>
            </w:tcBorders>
            <w:shd w:val="clear" w:color="auto" w:fill="auto"/>
            <w:noWrap/>
            <w:vAlign w:val="bottom"/>
            <w:hideMark/>
          </w:tcPr>
          <w:p w14:paraId="5196E996" w14:textId="7E0AAFF4"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0.7 </w:t>
            </w:r>
          </w:p>
        </w:tc>
        <w:tc>
          <w:tcPr>
            <w:tcW w:w="1275" w:type="dxa"/>
            <w:tcBorders>
              <w:top w:val="nil"/>
              <w:left w:val="nil"/>
              <w:bottom w:val="nil"/>
              <w:right w:val="nil"/>
            </w:tcBorders>
            <w:shd w:val="clear" w:color="auto" w:fill="auto"/>
            <w:noWrap/>
            <w:vAlign w:val="bottom"/>
            <w:hideMark/>
          </w:tcPr>
          <w:p w14:paraId="04341736"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10.2% </w:t>
            </w:r>
          </w:p>
        </w:tc>
        <w:tc>
          <w:tcPr>
            <w:tcW w:w="912" w:type="dxa"/>
            <w:tcBorders>
              <w:top w:val="nil"/>
              <w:left w:val="nil"/>
              <w:bottom w:val="nil"/>
              <w:right w:val="nil"/>
            </w:tcBorders>
            <w:shd w:val="clear" w:color="auto" w:fill="auto"/>
            <w:noWrap/>
            <w:vAlign w:val="bottom"/>
            <w:hideMark/>
          </w:tcPr>
          <w:p w14:paraId="5D6B323B"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1.31% </w:t>
            </w:r>
          </w:p>
        </w:tc>
        <w:tc>
          <w:tcPr>
            <w:tcW w:w="315" w:type="dxa"/>
            <w:tcBorders>
              <w:top w:val="nil"/>
              <w:left w:val="nil"/>
              <w:bottom w:val="nil"/>
              <w:right w:val="nil"/>
            </w:tcBorders>
            <w:shd w:val="clear" w:color="000000" w:fill="FFFFFF"/>
            <w:noWrap/>
            <w:vAlign w:val="bottom"/>
            <w:hideMark/>
          </w:tcPr>
          <w:p w14:paraId="768C3001"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7B1A7AFD"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0.58</w:t>
            </w:r>
          </w:p>
        </w:tc>
        <w:tc>
          <w:tcPr>
            <w:tcW w:w="836" w:type="dxa"/>
            <w:tcBorders>
              <w:top w:val="nil"/>
              <w:left w:val="nil"/>
              <w:bottom w:val="nil"/>
              <w:right w:val="nil"/>
            </w:tcBorders>
            <w:shd w:val="clear" w:color="000000" w:fill="FFFFFF"/>
            <w:noWrap/>
            <w:vAlign w:val="bottom"/>
            <w:hideMark/>
          </w:tcPr>
          <w:p w14:paraId="41ED3A04"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0.32</w:t>
            </w:r>
          </w:p>
        </w:tc>
        <w:tc>
          <w:tcPr>
            <w:tcW w:w="836" w:type="dxa"/>
            <w:tcBorders>
              <w:top w:val="nil"/>
              <w:left w:val="nil"/>
              <w:bottom w:val="nil"/>
              <w:right w:val="nil"/>
            </w:tcBorders>
            <w:shd w:val="clear" w:color="000000" w:fill="FFFFFF"/>
            <w:noWrap/>
            <w:vAlign w:val="bottom"/>
            <w:hideMark/>
          </w:tcPr>
          <w:p w14:paraId="44D779E7"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0.71</w:t>
            </w:r>
          </w:p>
        </w:tc>
        <w:tc>
          <w:tcPr>
            <w:tcW w:w="671" w:type="dxa"/>
            <w:tcBorders>
              <w:top w:val="nil"/>
              <w:left w:val="nil"/>
              <w:bottom w:val="nil"/>
              <w:right w:val="nil"/>
            </w:tcBorders>
            <w:shd w:val="clear" w:color="000000" w:fill="FFFFFF"/>
            <w:noWrap/>
            <w:vAlign w:val="bottom"/>
            <w:hideMark/>
          </w:tcPr>
          <w:p w14:paraId="196C7394"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000000" w:fill="FFFFFF"/>
            <w:noWrap/>
            <w:vAlign w:val="bottom"/>
            <w:hideMark/>
          </w:tcPr>
          <w:p w14:paraId="709AB461"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1004" w:type="dxa"/>
            <w:gridSpan w:val="2"/>
            <w:tcBorders>
              <w:top w:val="nil"/>
              <w:left w:val="nil"/>
              <w:bottom w:val="nil"/>
              <w:right w:val="nil"/>
            </w:tcBorders>
            <w:shd w:val="clear" w:color="000000" w:fill="FFFFFF"/>
            <w:noWrap/>
            <w:vAlign w:val="bottom"/>
            <w:hideMark/>
          </w:tcPr>
          <w:p w14:paraId="67697158" w14:textId="527F390F"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5</w:t>
            </w:r>
            <w:r w:rsidRPr="002148F5">
              <w:rPr>
                <w:rFonts w:ascii="Sylfaen" w:eastAsia="Times New Roman" w:hAnsi="Sylfaen" w:cs="Arial"/>
                <w:color w:val="000000"/>
                <w:sz w:val="18"/>
                <w:szCs w:val="18"/>
                <w:lang w:val="en-GB" w:eastAsia="ka-GE"/>
              </w:rPr>
              <w:t>1</w:t>
            </w:r>
            <w:r w:rsidRPr="00801C39">
              <w:rPr>
                <w:rFonts w:ascii="Sylfaen" w:eastAsia="Times New Roman" w:hAnsi="Sylfaen" w:cs="Arial"/>
                <w:color w:val="000000"/>
                <w:sz w:val="18"/>
                <w:szCs w:val="18"/>
                <w:lang w:val="ka-GE" w:eastAsia="ka-GE"/>
              </w:rPr>
              <w:t>%</w:t>
            </w:r>
          </w:p>
        </w:tc>
        <w:tc>
          <w:tcPr>
            <w:tcW w:w="881" w:type="dxa"/>
            <w:gridSpan w:val="2"/>
            <w:tcBorders>
              <w:top w:val="nil"/>
              <w:left w:val="nil"/>
              <w:bottom w:val="nil"/>
              <w:right w:val="nil"/>
            </w:tcBorders>
            <w:shd w:val="clear" w:color="auto" w:fill="auto"/>
            <w:noWrap/>
            <w:vAlign w:val="bottom"/>
            <w:hideMark/>
          </w:tcPr>
          <w:p w14:paraId="532E3CDF"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266BD610"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tcPr>
          <w:p w14:paraId="0F0668DD" w14:textId="1AB3B25D"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2148F5">
              <w:rPr>
                <w:rFonts w:ascii="Sylfaen" w:eastAsia="Times New Roman" w:hAnsi="Sylfaen" w:cs="Arial"/>
                <w:color w:val="000000"/>
                <w:sz w:val="18"/>
                <w:szCs w:val="18"/>
                <w:lang w:val="ka-GE" w:eastAsia="ka-GE"/>
              </w:rPr>
              <w:t>7</w:t>
            </w:r>
          </w:p>
        </w:tc>
        <w:tc>
          <w:tcPr>
            <w:tcW w:w="4015" w:type="dxa"/>
            <w:tcBorders>
              <w:top w:val="nil"/>
              <w:left w:val="nil"/>
              <w:bottom w:val="nil"/>
              <w:right w:val="nil"/>
            </w:tcBorders>
            <w:shd w:val="clear" w:color="000000" w:fill="FFFFFF"/>
            <w:noWrap/>
            <w:vAlign w:val="bottom"/>
            <w:hideMark/>
          </w:tcPr>
          <w:p w14:paraId="03F18CA7"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roofErr w:type="spellStart"/>
            <w:r w:rsidRPr="00801C39">
              <w:rPr>
                <w:rFonts w:ascii="Sylfaen" w:eastAsia="Times New Roman" w:hAnsi="Sylfaen" w:cs="Arial"/>
                <w:color w:val="000000"/>
                <w:sz w:val="18"/>
                <w:szCs w:val="18"/>
                <w:lang w:val="ka-GE" w:eastAsia="ka-GE"/>
              </w:rPr>
              <w:t>Orange</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Polska</w:t>
            </w:r>
            <w:proofErr w:type="spellEnd"/>
            <w:r w:rsidRPr="00801C39">
              <w:rPr>
                <w:rFonts w:ascii="Sylfaen" w:eastAsia="Times New Roman" w:hAnsi="Sylfaen" w:cs="Arial"/>
                <w:color w:val="000000"/>
                <w:sz w:val="18"/>
                <w:szCs w:val="18"/>
                <w:lang w:val="ka-GE" w:eastAsia="ka-GE"/>
              </w:rPr>
              <w:t xml:space="preserve"> S.A. </w:t>
            </w:r>
          </w:p>
        </w:tc>
        <w:tc>
          <w:tcPr>
            <w:tcW w:w="1005" w:type="dxa"/>
            <w:tcBorders>
              <w:top w:val="nil"/>
              <w:left w:val="nil"/>
              <w:bottom w:val="nil"/>
              <w:right w:val="nil"/>
            </w:tcBorders>
            <w:shd w:val="clear" w:color="auto" w:fill="auto"/>
            <w:noWrap/>
            <w:vAlign w:val="bottom"/>
            <w:hideMark/>
          </w:tcPr>
          <w:p w14:paraId="64AD9624" w14:textId="31948343"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0.8 </w:t>
            </w:r>
          </w:p>
        </w:tc>
        <w:tc>
          <w:tcPr>
            <w:tcW w:w="1275" w:type="dxa"/>
            <w:tcBorders>
              <w:top w:val="nil"/>
              <w:left w:val="nil"/>
              <w:bottom w:val="nil"/>
              <w:right w:val="nil"/>
            </w:tcBorders>
            <w:shd w:val="clear" w:color="auto" w:fill="auto"/>
            <w:noWrap/>
            <w:vAlign w:val="bottom"/>
            <w:hideMark/>
          </w:tcPr>
          <w:p w14:paraId="4893C0ED"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7.5% </w:t>
            </w:r>
          </w:p>
        </w:tc>
        <w:tc>
          <w:tcPr>
            <w:tcW w:w="912" w:type="dxa"/>
            <w:tcBorders>
              <w:top w:val="nil"/>
              <w:left w:val="nil"/>
              <w:bottom w:val="nil"/>
              <w:right w:val="nil"/>
            </w:tcBorders>
            <w:shd w:val="clear" w:color="auto" w:fill="auto"/>
            <w:noWrap/>
            <w:vAlign w:val="bottom"/>
            <w:hideMark/>
          </w:tcPr>
          <w:p w14:paraId="675D1265"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3.39% </w:t>
            </w:r>
          </w:p>
        </w:tc>
        <w:tc>
          <w:tcPr>
            <w:tcW w:w="315" w:type="dxa"/>
            <w:tcBorders>
              <w:top w:val="nil"/>
              <w:left w:val="nil"/>
              <w:bottom w:val="nil"/>
              <w:right w:val="nil"/>
            </w:tcBorders>
            <w:shd w:val="clear" w:color="000000" w:fill="FFFFFF"/>
            <w:noWrap/>
            <w:vAlign w:val="bottom"/>
            <w:hideMark/>
          </w:tcPr>
          <w:p w14:paraId="6CBF8B26"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0B4A1224"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33A6A0C2"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1A71F65D"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671" w:type="dxa"/>
            <w:tcBorders>
              <w:top w:val="nil"/>
              <w:left w:val="nil"/>
              <w:bottom w:val="nil"/>
              <w:right w:val="nil"/>
            </w:tcBorders>
            <w:shd w:val="clear" w:color="000000" w:fill="FFFFFF"/>
            <w:noWrap/>
            <w:vAlign w:val="bottom"/>
            <w:hideMark/>
          </w:tcPr>
          <w:p w14:paraId="210516FE"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000000" w:fill="FFFFFF"/>
            <w:noWrap/>
            <w:vAlign w:val="bottom"/>
            <w:hideMark/>
          </w:tcPr>
          <w:p w14:paraId="5B4FD381"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1004" w:type="dxa"/>
            <w:gridSpan w:val="2"/>
            <w:tcBorders>
              <w:top w:val="nil"/>
              <w:left w:val="nil"/>
              <w:bottom w:val="nil"/>
              <w:right w:val="nil"/>
            </w:tcBorders>
            <w:shd w:val="clear" w:color="000000" w:fill="FFFFFF"/>
            <w:noWrap/>
            <w:vAlign w:val="bottom"/>
            <w:hideMark/>
          </w:tcPr>
          <w:p w14:paraId="11CB48E1" w14:textId="5B7612EB"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48%</w:t>
            </w:r>
          </w:p>
        </w:tc>
        <w:tc>
          <w:tcPr>
            <w:tcW w:w="881" w:type="dxa"/>
            <w:gridSpan w:val="2"/>
            <w:tcBorders>
              <w:top w:val="nil"/>
              <w:left w:val="nil"/>
              <w:bottom w:val="nil"/>
              <w:right w:val="nil"/>
            </w:tcBorders>
            <w:shd w:val="clear" w:color="auto" w:fill="auto"/>
            <w:noWrap/>
            <w:vAlign w:val="bottom"/>
            <w:hideMark/>
          </w:tcPr>
          <w:p w14:paraId="3EB7A619"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3851B243"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tcPr>
          <w:p w14:paraId="11FFFA82" w14:textId="452B998B"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2148F5">
              <w:rPr>
                <w:rFonts w:ascii="Sylfaen" w:eastAsia="Times New Roman" w:hAnsi="Sylfaen" w:cs="Arial"/>
                <w:color w:val="000000"/>
                <w:sz w:val="18"/>
                <w:szCs w:val="18"/>
                <w:lang w:val="ka-GE" w:eastAsia="ka-GE"/>
              </w:rPr>
              <w:t>8</w:t>
            </w:r>
          </w:p>
        </w:tc>
        <w:tc>
          <w:tcPr>
            <w:tcW w:w="4015" w:type="dxa"/>
            <w:tcBorders>
              <w:top w:val="nil"/>
              <w:left w:val="nil"/>
              <w:bottom w:val="nil"/>
              <w:right w:val="nil"/>
            </w:tcBorders>
            <w:shd w:val="clear" w:color="000000" w:fill="FFFFFF"/>
            <w:noWrap/>
            <w:vAlign w:val="bottom"/>
            <w:hideMark/>
          </w:tcPr>
          <w:p w14:paraId="243A06C6"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roofErr w:type="spellStart"/>
            <w:r w:rsidRPr="00801C39">
              <w:rPr>
                <w:rFonts w:ascii="Sylfaen" w:eastAsia="Times New Roman" w:hAnsi="Sylfaen" w:cs="Arial"/>
                <w:color w:val="000000"/>
                <w:sz w:val="18"/>
                <w:szCs w:val="18"/>
                <w:lang w:val="ka-GE" w:eastAsia="ka-GE"/>
              </w:rPr>
              <w:t>China</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Telecom</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Corporation</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Limited</w:t>
            </w:r>
            <w:proofErr w:type="spellEnd"/>
            <w:r w:rsidRPr="00801C39">
              <w:rPr>
                <w:rFonts w:ascii="Sylfaen" w:eastAsia="Times New Roman" w:hAnsi="Sylfaen" w:cs="Arial"/>
                <w:color w:val="000000"/>
                <w:sz w:val="18"/>
                <w:szCs w:val="18"/>
                <w:lang w:val="ka-GE" w:eastAsia="ka-GE"/>
              </w:rPr>
              <w:t xml:space="preserve"> </w:t>
            </w:r>
          </w:p>
        </w:tc>
        <w:tc>
          <w:tcPr>
            <w:tcW w:w="1005" w:type="dxa"/>
            <w:tcBorders>
              <w:top w:val="nil"/>
              <w:left w:val="nil"/>
              <w:bottom w:val="nil"/>
              <w:right w:val="nil"/>
            </w:tcBorders>
            <w:shd w:val="clear" w:color="auto" w:fill="auto"/>
            <w:noWrap/>
            <w:vAlign w:val="bottom"/>
            <w:hideMark/>
          </w:tcPr>
          <w:p w14:paraId="6122A096" w14:textId="10C7EDEB"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0.8 </w:t>
            </w:r>
          </w:p>
        </w:tc>
        <w:tc>
          <w:tcPr>
            <w:tcW w:w="1275" w:type="dxa"/>
            <w:tcBorders>
              <w:top w:val="nil"/>
              <w:left w:val="nil"/>
              <w:bottom w:val="nil"/>
              <w:right w:val="nil"/>
            </w:tcBorders>
            <w:shd w:val="clear" w:color="auto" w:fill="auto"/>
            <w:noWrap/>
            <w:vAlign w:val="bottom"/>
            <w:hideMark/>
          </w:tcPr>
          <w:p w14:paraId="6B5D3F8A"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19.4% </w:t>
            </w:r>
          </w:p>
        </w:tc>
        <w:tc>
          <w:tcPr>
            <w:tcW w:w="912" w:type="dxa"/>
            <w:tcBorders>
              <w:top w:val="nil"/>
              <w:left w:val="nil"/>
              <w:bottom w:val="nil"/>
              <w:right w:val="nil"/>
            </w:tcBorders>
            <w:shd w:val="clear" w:color="auto" w:fill="auto"/>
            <w:noWrap/>
            <w:vAlign w:val="bottom"/>
            <w:hideMark/>
          </w:tcPr>
          <w:p w14:paraId="735B7289"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0.04% </w:t>
            </w:r>
          </w:p>
        </w:tc>
        <w:tc>
          <w:tcPr>
            <w:tcW w:w="315" w:type="dxa"/>
            <w:tcBorders>
              <w:top w:val="nil"/>
              <w:left w:val="nil"/>
              <w:bottom w:val="nil"/>
              <w:right w:val="nil"/>
            </w:tcBorders>
            <w:shd w:val="clear" w:color="000000" w:fill="FFFFFF"/>
            <w:noWrap/>
            <w:vAlign w:val="bottom"/>
            <w:hideMark/>
          </w:tcPr>
          <w:p w14:paraId="1524266A"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26E25ED1"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1.04</w:t>
            </w:r>
          </w:p>
        </w:tc>
        <w:tc>
          <w:tcPr>
            <w:tcW w:w="836" w:type="dxa"/>
            <w:tcBorders>
              <w:top w:val="nil"/>
              <w:left w:val="nil"/>
              <w:bottom w:val="nil"/>
              <w:right w:val="nil"/>
            </w:tcBorders>
            <w:shd w:val="clear" w:color="000000" w:fill="FFFFFF"/>
            <w:noWrap/>
            <w:vAlign w:val="bottom"/>
            <w:hideMark/>
          </w:tcPr>
          <w:p w14:paraId="555C3524"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0.58</w:t>
            </w:r>
          </w:p>
        </w:tc>
        <w:tc>
          <w:tcPr>
            <w:tcW w:w="836" w:type="dxa"/>
            <w:tcBorders>
              <w:top w:val="nil"/>
              <w:left w:val="nil"/>
              <w:bottom w:val="nil"/>
              <w:right w:val="nil"/>
            </w:tcBorders>
            <w:shd w:val="clear" w:color="000000" w:fill="FFFFFF"/>
            <w:noWrap/>
            <w:vAlign w:val="bottom"/>
            <w:hideMark/>
          </w:tcPr>
          <w:p w14:paraId="4D6F8F47"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0.84</w:t>
            </w:r>
          </w:p>
        </w:tc>
        <w:tc>
          <w:tcPr>
            <w:tcW w:w="671" w:type="dxa"/>
            <w:tcBorders>
              <w:top w:val="nil"/>
              <w:left w:val="nil"/>
              <w:bottom w:val="nil"/>
              <w:right w:val="nil"/>
            </w:tcBorders>
            <w:shd w:val="clear" w:color="000000" w:fill="FFFFFF"/>
            <w:noWrap/>
            <w:vAlign w:val="bottom"/>
            <w:hideMark/>
          </w:tcPr>
          <w:p w14:paraId="4BD87188"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000000" w:fill="FFFFFF"/>
            <w:noWrap/>
            <w:vAlign w:val="bottom"/>
            <w:hideMark/>
          </w:tcPr>
          <w:p w14:paraId="498846F9"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1004" w:type="dxa"/>
            <w:gridSpan w:val="2"/>
            <w:tcBorders>
              <w:top w:val="nil"/>
              <w:left w:val="nil"/>
              <w:bottom w:val="nil"/>
              <w:right w:val="nil"/>
            </w:tcBorders>
            <w:shd w:val="clear" w:color="000000" w:fill="FFFFFF"/>
            <w:noWrap/>
            <w:vAlign w:val="bottom"/>
            <w:hideMark/>
          </w:tcPr>
          <w:p w14:paraId="2E2B6016" w14:textId="5B01F19E"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3</w:t>
            </w:r>
            <w:r w:rsidRPr="002148F5">
              <w:rPr>
                <w:rFonts w:ascii="Sylfaen" w:eastAsia="Times New Roman" w:hAnsi="Sylfaen" w:cs="Arial"/>
                <w:color w:val="000000"/>
                <w:sz w:val="18"/>
                <w:szCs w:val="18"/>
                <w:lang w:val="en-GB" w:eastAsia="ka-GE"/>
              </w:rPr>
              <w:t>1</w:t>
            </w:r>
            <w:r w:rsidRPr="00801C39">
              <w:rPr>
                <w:rFonts w:ascii="Sylfaen" w:eastAsia="Times New Roman" w:hAnsi="Sylfaen" w:cs="Arial"/>
                <w:color w:val="000000"/>
                <w:sz w:val="18"/>
                <w:szCs w:val="18"/>
                <w:lang w:val="ka-GE" w:eastAsia="ka-GE"/>
              </w:rPr>
              <w:t>%</w:t>
            </w:r>
          </w:p>
        </w:tc>
        <w:tc>
          <w:tcPr>
            <w:tcW w:w="881" w:type="dxa"/>
            <w:gridSpan w:val="2"/>
            <w:tcBorders>
              <w:top w:val="nil"/>
              <w:left w:val="nil"/>
              <w:bottom w:val="nil"/>
              <w:right w:val="nil"/>
            </w:tcBorders>
            <w:shd w:val="clear" w:color="auto" w:fill="auto"/>
            <w:noWrap/>
            <w:vAlign w:val="bottom"/>
            <w:hideMark/>
          </w:tcPr>
          <w:p w14:paraId="5111F0DA"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225C1BE6"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tcPr>
          <w:p w14:paraId="313090BA" w14:textId="394F77F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2148F5">
              <w:rPr>
                <w:rFonts w:ascii="Sylfaen" w:eastAsia="Times New Roman" w:hAnsi="Sylfaen" w:cs="Arial"/>
                <w:color w:val="000000"/>
                <w:sz w:val="18"/>
                <w:szCs w:val="18"/>
                <w:lang w:val="ka-GE" w:eastAsia="ka-GE"/>
              </w:rPr>
              <w:t>9</w:t>
            </w:r>
          </w:p>
        </w:tc>
        <w:tc>
          <w:tcPr>
            <w:tcW w:w="4015" w:type="dxa"/>
            <w:tcBorders>
              <w:top w:val="nil"/>
              <w:left w:val="nil"/>
              <w:bottom w:val="nil"/>
              <w:right w:val="nil"/>
            </w:tcBorders>
            <w:shd w:val="clear" w:color="000000" w:fill="FFFFFF"/>
            <w:noWrap/>
            <w:vAlign w:val="bottom"/>
            <w:hideMark/>
          </w:tcPr>
          <w:p w14:paraId="2F2D07FD"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roofErr w:type="spellStart"/>
            <w:r w:rsidRPr="00801C39">
              <w:rPr>
                <w:rFonts w:ascii="Sylfaen" w:eastAsia="Times New Roman" w:hAnsi="Sylfaen" w:cs="Arial"/>
                <w:color w:val="000000"/>
                <w:sz w:val="18"/>
                <w:szCs w:val="18"/>
                <w:lang w:val="ka-GE" w:eastAsia="ka-GE"/>
              </w:rPr>
              <w:t>Proximus</w:t>
            </w:r>
            <w:proofErr w:type="spellEnd"/>
            <w:r w:rsidRPr="00801C39">
              <w:rPr>
                <w:rFonts w:ascii="Sylfaen" w:eastAsia="Times New Roman" w:hAnsi="Sylfaen" w:cs="Arial"/>
                <w:color w:val="000000"/>
                <w:sz w:val="18"/>
                <w:szCs w:val="18"/>
                <w:lang w:val="ka-GE" w:eastAsia="ka-GE"/>
              </w:rPr>
              <w:t xml:space="preserve"> PLC </w:t>
            </w:r>
          </w:p>
        </w:tc>
        <w:tc>
          <w:tcPr>
            <w:tcW w:w="1005" w:type="dxa"/>
            <w:tcBorders>
              <w:top w:val="nil"/>
              <w:left w:val="nil"/>
              <w:bottom w:val="nil"/>
              <w:right w:val="nil"/>
            </w:tcBorders>
            <w:shd w:val="clear" w:color="auto" w:fill="auto"/>
            <w:noWrap/>
            <w:vAlign w:val="bottom"/>
            <w:hideMark/>
          </w:tcPr>
          <w:p w14:paraId="6D983545" w14:textId="7A63B969"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0.4 </w:t>
            </w:r>
          </w:p>
        </w:tc>
        <w:tc>
          <w:tcPr>
            <w:tcW w:w="1275" w:type="dxa"/>
            <w:tcBorders>
              <w:top w:val="nil"/>
              <w:left w:val="nil"/>
              <w:bottom w:val="nil"/>
              <w:right w:val="nil"/>
            </w:tcBorders>
            <w:shd w:val="clear" w:color="auto" w:fill="auto"/>
            <w:noWrap/>
            <w:vAlign w:val="bottom"/>
            <w:hideMark/>
          </w:tcPr>
          <w:p w14:paraId="60497EF2"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0.3% </w:t>
            </w:r>
          </w:p>
        </w:tc>
        <w:tc>
          <w:tcPr>
            <w:tcW w:w="912" w:type="dxa"/>
            <w:tcBorders>
              <w:top w:val="nil"/>
              <w:left w:val="nil"/>
              <w:bottom w:val="nil"/>
              <w:right w:val="nil"/>
            </w:tcBorders>
            <w:shd w:val="clear" w:color="auto" w:fill="auto"/>
            <w:noWrap/>
            <w:vAlign w:val="bottom"/>
            <w:hideMark/>
          </w:tcPr>
          <w:p w14:paraId="7E980026"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68.10% </w:t>
            </w:r>
          </w:p>
        </w:tc>
        <w:tc>
          <w:tcPr>
            <w:tcW w:w="315" w:type="dxa"/>
            <w:tcBorders>
              <w:top w:val="nil"/>
              <w:left w:val="nil"/>
              <w:bottom w:val="nil"/>
              <w:right w:val="nil"/>
            </w:tcBorders>
            <w:shd w:val="clear" w:color="000000" w:fill="FFFFFF"/>
            <w:noWrap/>
            <w:vAlign w:val="bottom"/>
            <w:hideMark/>
          </w:tcPr>
          <w:p w14:paraId="55EC1944"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5D922FA6"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4C3AED5D"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0BB0DE82"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671" w:type="dxa"/>
            <w:tcBorders>
              <w:top w:val="nil"/>
              <w:left w:val="nil"/>
              <w:bottom w:val="nil"/>
              <w:right w:val="nil"/>
            </w:tcBorders>
            <w:shd w:val="clear" w:color="000000" w:fill="FFFFFF"/>
            <w:noWrap/>
            <w:vAlign w:val="bottom"/>
            <w:hideMark/>
          </w:tcPr>
          <w:p w14:paraId="1B54CCEA"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000000" w:fill="FFFFFF"/>
            <w:noWrap/>
            <w:vAlign w:val="bottom"/>
            <w:hideMark/>
          </w:tcPr>
          <w:p w14:paraId="1F45DC84"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1004" w:type="dxa"/>
            <w:gridSpan w:val="2"/>
            <w:tcBorders>
              <w:top w:val="nil"/>
              <w:left w:val="nil"/>
              <w:bottom w:val="nil"/>
              <w:right w:val="nil"/>
            </w:tcBorders>
            <w:shd w:val="clear" w:color="000000" w:fill="FFFFFF"/>
            <w:noWrap/>
            <w:vAlign w:val="bottom"/>
            <w:hideMark/>
          </w:tcPr>
          <w:p w14:paraId="0AB30EA8" w14:textId="61AB6195"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2</w:t>
            </w:r>
            <w:r w:rsidRPr="002148F5">
              <w:rPr>
                <w:rFonts w:ascii="Sylfaen" w:eastAsia="Times New Roman" w:hAnsi="Sylfaen" w:cs="Arial"/>
                <w:color w:val="000000"/>
                <w:sz w:val="18"/>
                <w:szCs w:val="18"/>
                <w:lang w:val="en-GB" w:eastAsia="ka-GE"/>
              </w:rPr>
              <w:t>5</w:t>
            </w:r>
            <w:r w:rsidRPr="00801C39">
              <w:rPr>
                <w:rFonts w:ascii="Sylfaen" w:eastAsia="Times New Roman" w:hAnsi="Sylfaen" w:cs="Arial"/>
                <w:color w:val="000000"/>
                <w:sz w:val="18"/>
                <w:szCs w:val="18"/>
                <w:lang w:val="ka-GE" w:eastAsia="ka-GE"/>
              </w:rPr>
              <w:t>%</w:t>
            </w:r>
          </w:p>
        </w:tc>
        <w:tc>
          <w:tcPr>
            <w:tcW w:w="881" w:type="dxa"/>
            <w:gridSpan w:val="2"/>
            <w:tcBorders>
              <w:top w:val="nil"/>
              <w:left w:val="nil"/>
              <w:bottom w:val="nil"/>
              <w:right w:val="nil"/>
            </w:tcBorders>
            <w:shd w:val="clear" w:color="auto" w:fill="auto"/>
            <w:noWrap/>
            <w:vAlign w:val="bottom"/>
            <w:hideMark/>
          </w:tcPr>
          <w:p w14:paraId="1245FF34"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43EA59C4"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tcPr>
          <w:p w14:paraId="42A70E43" w14:textId="6FBD82C1"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2148F5">
              <w:rPr>
                <w:rFonts w:ascii="Sylfaen" w:eastAsia="Times New Roman" w:hAnsi="Sylfaen" w:cs="Arial"/>
                <w:color w:val="000000"/>
                <w:sz w:val="18"/>
                <w:szCs w:val="18"/>
                <w:lang w:val="ka-GE" w:eastAsia="ka-GE"/>
              </w:rPr>
              <w:t>10</w:t>
            </w:r>
          </w:p>
        </w:tc>
        <w:tc>
          <w:tcPr>
            <w:tcW w:w="4015" w:type="dxa"/>
            <w:tcBorders>
              <w:top w:val="nil"/>
              <w:left w:val="nil"/>
              <w:bottom w:val="nil"/>
              <w:right w:val="nil"/>
            </w:tcBorders>
            <w:shd w:val="clear" w:color="000000" w:fill="FFFFFF"/>
            <w:noWrap/>
            <w:vAlign w:val="bottom"/>
            <w:hideMark/>
          </w:tcPr>
          <w:p w14:paraId="1DDAF3AA"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roofErr w:type="spellStart"/>
            <w:r w:rsidRPr="00801C39">
              <w:rPr>
                <w:rFonts w:ascii="Sylfaen" w:eastAsia="Times New Roman" w:hAnsi="Sylfaen" w:cs="Arial"/>
                <w:color w:val="000000"/>
                <w:sz w:val="18"/>
                <w:szCs w:val="18"/>
                <w:lang w:val="ka-GE" w:eastAsia="ka-GE"/>
              </w:rPr>
              <w:t>Orange</w:t>
            </w:r>
            <w:proofErr w:type="spellEnd"/>
            <w:r w:rsidRPr="00801C39">
              <w:rPr>
                <w:rFonts w:ascii="Sylfaen" w:eastAsia="Times New Roman" w:hAnsi="Sylfaen" w:cs="Arial"/>
                <w:color w:val="000000"/>
                <w:sz w:val="18"/>
                <w:szCs w:val="18"/>
                <w:lang w:val="ka-GE" w:eastAsia="ka-GE"/>
              </w:rPr>
              <w:t xml:space="preserve"> S.A. </w:t>
            </w:r>
          </w:p>
        </w:tc>
        <w:tc>
          <w:tcPr>
            <w:tcW w:w="1005" w:type="dxa"/>
            <w:tcBorders>
              <w:top w:val="nil"/>
              <w:left w:val="nil"/>
              <w:bottom w:val="nil"/>
              <w:right w:val="nil"/>
            </w:tcBorders>
            <w:shd w:val="clear" w:color="auto" w:fill="auto"/>
            <w:noWrap/>
            <w:vAlign w:val="bottom"/>
            <w:hideMark/>
          </w:tcPr>
          <w:p w14:paraId="73C273A2" w14:textId="7C04BAEF"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0.5 </w:t>
            </w:r>
          </w:p>
        </w:tc>
        <w:tc>
          <w:tcPr>
            <w:tcW w:w="1275" w:type="dxa"/>
            <w:tcBorders>
              <w:top w:val="nil"/>
              <w:left w:val="nil"/>
              <w:bottom w:val="nil"/>
              <w:right w:val="nil"/>
            </w:tcBorders>
            <w:shd w:val="clear" w:color="auto" w:fill="auto"/>
            <w:noWrap/>
            <w:vAlign w:val="bottom"/>
            <w:hideMark/>
          </w:tcPr>
          <w:p w14:paraId="3BE2CD02"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2.3% </w:t>
            </w:r>
          </w:p>
        </w:tc>
        <w:tc>
          <w:tcPr>
            <w:tcW w:w="912" w:type="dxa"/>
            <w:tcBorders>
              <w:top w:val="nil"/>
              <w:left w:val="nil"/>
              <w:bottom w:val="nil"/>
              <w:right w:val="nil"/>
            </w:tcBorders>
            <w:shd w:val="clear" w:color="auto" w:fill="auto"/>
            <w:noWrap/>
            <w:vAlign w:val="bottom"/>
            <w:hideMark/>
          </w:tcPr>
          <w:p w14:paraId="06DF9EE5"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24.83% </w:t>
            </w:r>
          </w:p>
        </w:tc>
        <w:tc>
          <w:tcPr>
            <w:tcW w:w="315" w:type="dxa"/>
            <w:tcBorders>
              <w:top w:val="nil"/>
              <w:left w:val="nil"/>
              <w:bottom w:val="nil"/>
              <w:right w:val="nil"/>
            </w:tcBorders>
            <w:shd w:val="clear" w:color="000000" w:fill="FFFFFF"/>
            <w:noWrap/>
            <w:vAlign w:val="bottom"/>
            <w:hideMark/>
          </w:tcPr>
          <w:p w14:paraId="55EC29B4"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6008CF9B"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4D1158C1"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2D86D016"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671" w:type="dxa"/>
            <w:tcBorders>
              <w:top w:val="nil"/>
              <w:left w:val="nil"/>
              <w:bottom w:val="nil"/>
              <w:right w:val="nil"/>
            </w:tcBorders>
            <w:shd w:val="clear" w:color="000000" w:fill="FFFFFF"/>
            <w:noWrap/>
            <w:vAlign w:val="bottom"/>
            <w:hideMark/>
          </w:tcPr>
          <w:p w14:paraId="27E9AC04"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000000" w:fill="FFFFFF"/>
            <w:noWrap/>
            <w:vAlign w:val="bottom"/>
            <w:hideMark/>
          </w:tcPr>
          <w:p w14:paraId="4A78EEFE"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1004" w:type="dxa"/>
            <w:gridSpan w:val="2"/>
            <w:tcBorders>
              <w:top w:val="nil"/>
              <w:left w:val="nil"/>
              <w:bottom w:val="nil"/>
              <w:right w:val="nil"/>
            </w:tcBorders>
            <w:shd w:val="clear" w:color="000000" w:fill="FFFFFF"/>
            <w:noWrap/>
            <w:vAlign w:val="bottom"/>
            <w:hideMark/>
          </w:tcPr>
          <w:p w14:paraId="323BA9C2" w14:textId="4D400098"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51%</w:t>
            </w:r>
          </w:p>
        </w:tc>
        <w:tc>
          <w:tcPr>
            <w:tcW w:w="881" w:type="dxa"/>
            <w:gridSpan w:val="2"/>
            <w:tcBorders>
              <w:top w:val="nil"/>
              <w:left w:val="nil"/>
              <w:bottom w:val="nil"/>
              <w:right w:val="nil"/>
            </w:tcBorders>
            <w:shd w:val="clear" w:color="auto" w:fill="auto"/>
            <w:noWrap/>
            <w:vAlign w:val="bottom"/>
            <w:hideMark/>
          </w:tcPr>
          <w:p w14:paraId="35EC439B"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76DB35CE"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tcPr>
          <w:p w14:paraId="1082807C" w14:textId="42999976"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2148F5">
              <w:rPr>
                <w:rFonts w:ascii="Sylfaen" w:eastAsia="Times New Roman" w:hAnsi="Sylfaen" w:cs="Arial"/>
                <w:color w:val="000000"/>
                <w:sz w:val="18"/>
                <w:szCs w:val="18"/>
                <w:lang w:val="ka-GE" w:eastAsia="ka-GE"/>
              </w:rPr>
              <w:t>11</w:t>
            </w:r>
          </w:p>
        </w:tc>
        <w:tc>
          <w:tcPr>
            <w:tcW w:w="4015" w:type="dxa"/>
            <w:tcBorders>
              <w:top w:val="nil"/>
              <w:left w:val="nil"/>
              <w:bottom w:val="nil"/>
              <w:right w:val="nil"/>
            </w:tcBorders>
            <w:shd w:val="clear" w:color="000000" w:fill="FFFFFF"/>
            <w:noWrap/>
            <w:vAlign w:val="bottom"/>
            <w:hideMark/>
          </w:tcPr>
          <w:p w14:paraId="7987C513"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roofErr w:type="spellStart"/>
            <w:r w:rsidRPr="00801C39">
              <w:rPr>
                <w:rFonts w:ascii="Sylfaen" w:eastAsia="Times New Roman" w:hAnsi="Sylfaen" w:cs="Arial"/>
                <w:color w:val="000000"/>
                <w:sz w:val="18"/>
                <w:szCs w:val="18"/>
                <w:lang w:val="ka-GE" w:eastAsia="ka-GE"/>
              </w:rPr>
              <w:t>Public</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Joint</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Stock</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Company</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Rostelecom</w:t>
            </w:r>
            <w:proofErr w:type="spellEnd"/>
            <w:r w:rsidRPr="00801C39">
              <w:rPr>
                <w:rFonts w:ascii="Sylfaen" w:eastAsia="Times New Roman" w:hAnsi="Sylfaen" w:cs="Arial"/>
                <w:color w:val="000000"/>
                <w:sz w:val="18"/>
                <w:szCs w:val="18"/>
                <w:lang w:val="ka-GE" w:eastAsia="ka-GE"/>
              </w:rPr>
              <w:t xml:space="preserve"> </w:t>
            </w:r>
          </w:p>
        </w:tc>
        <w:tc>
          <w:tcPr>
            <w:tcW w:w="1005" w:type="dxa"/>
            <w:tcBorders>
              <w:top w:val="nil"/>
              <w:left w:val="nil"/>
              <w:bottom w:val="nil"/>
              <w:right w:val="nil"/>
            </w:tcBorders>
            <w:shd w:val="clear" w:color="auto" w:fill="auto"/>
            <w:noWrap/>
            <w:vAlign w:val="bottom"/>
            <w:hideMark/>
          </w:tcPr>
          <w:p w14:paraId="68A0544C" w14:textId="16044CAD"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1.0 </w:t>
            </w:r>
          </w:p>
        </w:tc>
        <w:tc>
          <w:tcPr>
            <w:tcW w:w="1275" w:type="dxa"/>
            <w:tcBorders>
              <w:top w:val="nil"/>
              <w:left w:val="nil"/>
              <w:bottom w:val="nil"/>
              <w:right w:val="nil"/>
            </w:tcBorders>
            <w:shd w:val="clear" w:color="auto" w:fill="auto"/>
            <w:noWrap/>
            <w:vAlign w:val="bottom"/>
            <w:hideMark/>
          </w:tcPr>
          <w:p w14:paraId="41386CE4"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28.2% </w:t>
            </w:r>
          </w:p>
        </w:tc>
        <w:tc>
          <w:tcPr>
            <w:tcW w:w="912" w:type="dxa"/>
            <w:tcBorders>
              <w:top w:val="nil"/>
              <w:left w:val="nil"/>
              <w:bottom w:val="nil"/>
              <w:right w:val="nil"/>
            </w:tcBorders>
            <w:shd w:val="clear" w:color="auto" w:fill="auto"/>
            <w:noWrap/>
            <w:vAlign w:val="bottom"/>
            <w:hideMark/>
          </w:tcPr>
          <w:p w14:paraId="2CB63B20"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0.00% </w:t>
            </w:r>
          </w:p>
        </w:tc>
        <w:tc>
          <w:tcPr>
            <w:tcW w:w="315" w:type="dxa"/>
            <w:tcBorders>
              <w:top w:val="nil"/>
              <w:left w:val="nil"/>
              <w:bottom w:val="nil"/>
              <w:right w:val="nil"/>
            </w:tcBorders>
            <w:shd w:val="clear" w:color="000000" w:fill="FFFFFF"/>
            <w:noWrap/>
            <w:vAlign w:val="bottom"/>
            <w:hideMark/>
          </w:tcPr>
          <w:p w14:paraId="34E5F63A"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7523E7EF"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0.75</w:t>
            </w:r>
          </w:p>
        </w:tc>
        <w:tc>
          <w:tcPr>
            <w:tcW w:w="836" w:type="dxa"/>
            <w:tcBorders>
              <w:top w:val="nil"/>
              <w:left w:val="nil"/>
              <w:bottom w:val="nil"/>
              <w:right w:val="nil"/>
            </w:tcBorders>
            <w:shd w:val="clear" w:color="000000" w:fill="FFFFFF"/>
            <w:noWrap/>
            <w:vAlign w:val="bottom"/>
            <w:hideMark/>
          </w:tcPr>
          <w:p w14:paraId="7D85A5FF"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0.42</w:t>
            </w:r>
          </w:p>
        </w:tc>
        <w:tc>
          <w:tcPr>
            <w:tcW w:w="836" w:type="dxa"/>
            <w:tcBorders>
              <w:top w:val="nil"/>
              <w:left w:val="nil"/>
              <w:bottom w:val="nil"/>
              <w:right w:val="nil"/>
            </w:tcBorders>
            <w:shd w:val="clear" w:color="000000" w:fill="FFFFFF"/>
            <w:noWrap/>
            <w:vAlign w:val="bottom"/>
            <w:hideMark/>
          </w:tcPr>
          <w:p w14:paraId="0B3E1051"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0.99</w:t>
            </w:r>
          </w:p>
        </w:tc>
        <w:tc>
          <w:tcPr>
            <w:tcW w:w="671" w:type="dxa"/>
            <w:tcBorders>
              <w:top w:val="nil"/>
              <w:left w:val="nil"/>
              <w:bottom w:val="nil"/>
              <w:right w:val="nil"/>
            </w:tcBorders>
            <w:shd w:val="clear" w:color="000000" w:fill="FFFFFF"/>
            <w:noWrap/>
            <w:vAlign w:val="bottom"/>
            <w:hideMark/>
          </w:tcPr>
          <w:p w14:paraId="67049D75"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000000" w:fill="FFFFFF"/>
            <w:noWrap/>
            <w:vAlign w:val="bottom"/>
            <w:hideMark/>
          </w:tcPr>
          <w:p w14:paraId="37198DE3"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1004" w:type="dxa"/>
            <w:gridSpan w:val="2"/>
            <w:tcBorders>
              <w:top w:val="nil"/>
              <w:left w:val="nil"/>
              <w:bottom w:val="nil"/>
              <w:right w:val="nil"/>
            </w:tcBorders>
            <w:shd w:val="clear" w:color="000000" w:fill="FFFFFF"/>
            <w:noWrap/>
            <w:vAlign w:val="bottom"/>
            <w:hideMark/>
          </w:tcPr>
          <w:p w14:paraId="2660892D" w14:textId="703AFC30"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5</w:t>
            </w:r>
            <w:r w:rsidRPr="002148F5">
              <w:rPr>
                <w:rFonts w:ascii="Sylfaen" w:eastAsia="Times New Roman" w:hAnsi="Sylfaen" w:cs="Arial"/>
                <w:color w:val="000000"/>
                <w:sz w:val="18"/>
                <w:szCs w:val="18"/>
                <w:lang w:val="en-GB" w:eastAsia="ka-GE"/>
              </w:rPr>
              <w:t>7</w:t>
            </w:r>
            <w:r w:rsidRPr="00801C39">
              <w:rPr>
                <w:rFonts w:ascii="Sylfaen" w:eastAsia="Times New Roman" w:hAnsi="Sylfaen" w:cs="Arial"/>
                <w:color w:val="000000"/>
                <w:sz w:val="18"/>
                <w:szCs w:val="18"/>
                <w:lang w:val="ka-GE" w:eastAsia="ka-GE"/>
              </w:rPr>
              <w:t>%</w:t>
            </w:r>
          </w:p>
        </w:tc>
        <w:tc>
          <w:tcPr>
            <w:tcW w:w="881" w:type="dxa"/>
            <w:gridSpan w:val="2"/>
            <w:tcBorders>
              <w:top w:val="nil"/>
              <w:left w:val="nil"/>
              <w:bottom w:val="nil"/>
              <w:right w:val="nil"/>
            </w:tcBorders>
            <w:shd w:val="clear" w:color="auto" w:fill="auto"/>
            <w:noWrap/>
            <w:vAlign w:val="bottom"/>
            <w:hideMark/>
          </w:tcPr>
          <w:p w14:paraId="607B5791"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0957D32A"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tcPr>
          <w:p w14:paraId="52AC21C3" w14:textId="48908528"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2148F5">
              <w:rPr>
                <w:rFonts w:ascii="Sylfaen" w:eastAsia="Times New Roman" w:hAnsi="Sylfaen" w:cs="Arial"/>
                <w:color w:val="000000"/>
                <w:sz w:val="18"/>
                <w:szCs w:val="18"/>
                <w:lang w:val="ka-GE" w:eastAsia="ka-GE"/>
              </w:rPr>
              <w:t>12</w:t>
            </w:r>
          </w:p>
        </w:tc>
        <w:tc>
          <w:tcPr>
            <w:tcW w:w="4015" w:type="dxa"/>
            <w:tcBorders>
              <w:top w:val="nil"/>
              <w:left w:val="nil"/>
              <w:bottom w:val="nil"/>
              <w:right w:val="nil"/>
            </w:tcBorders>
            <w:shd w:val="clear" w:color="000000" w:fill="FFFFFF"/>
            <w:noWrap/>
            <w:vAlign w:val="bottom"/>
            <w:hideMark/>
          </w:tcPr>
          <w:p w14:paraId="30980E7B"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roofErr w:type="spellStart"/>
            <w:r w:rsidRPr="00801C39">
              <w:rPr>
                <w:rFonts w:ascii="Sylfaen" w:eastAsia="Times New Roman" w:hAnsi="Sylfaen" w:cs="Arial"/>
                <w:color w:val="000000"/>
                <w:sz w:val="18"/>
                <w:szCs w:val="18"/>
                <w:lang w:val="ka-GE" w:eastAsia="ka-GE"/>
              </w:rPr>
              <w:t>Tattelecom</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Public</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Joint-Stock</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Company</w:t>
            </w:r>
            <w:proofErr w:type="spellEnd"/>
            <w:r w:rsidRPr="00801C39">
              <w:rPr>
                <w:rFonts w:ascii="Sylfaen" w:eastAsia="Times New Roman" w:hAnsi="Sylfaen" w:cs="Arial"/>
                <w:color w:val="000000"/>
                <w:sz w:val="18"/>
                <w:szCs w:val="18"/>
                <w:lang w:val="ka-GE" w:eastAsia="ka-GE"/>
              </w:rPr>
              <w:t xml:space="preserve"> </w:t>
            </w:r>
          </w:p>
        </w:tc>
        <w:tc>
          <w:tcPr>
            <w:tcW w:w="1005" w:type="dxa"/>
            <w:tcBorders>
              <w:top w:val="nil"/>
              <w:left w:val="nil"/>
              <w:bottom w:val="nil"/>
              <w:right w:val="nil"/>
            </w:tcBorders>
            <w:shd w:val="clear" w:color="auto" w:fill="auto"/>
            <w:noWrap/>
            <w:vAlign w:val="bottom"/>
            <w:hideMark/>
          </w:tcPr>
          <w:p w14:paraId="547059F3" w14:textId="742AF888"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1.2 </w:t>
            </w:r>
          </w:p>
        </w:tc>
        <w:tc>
          <w:tcPr>
            <w:tcW w:w="1275" w:type="dxa"/>
            <w:tcBorders>
              <w:top w:val="nil"/>
              <w:left w:val="nil"/>
              <w:bottom w:val="nil"/>
              <w:right w:val="nil"/>
            </w:tcBorders>
            <w:shd w:val="clear" w:color="auto" w:fill="auto"/>
            <w:noWrap/>
            <w:vAlign w:val="bottom"/>
            <w:hideMark/>
          </w:tcPr>
          <w:p w14:paraId="750A76C0"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23.2% </w:t>
            </w:r>
          </w:p>
        </w:tc>
        <w:tc>
          <w:tcPr>
            <w:tcW w:w="912" w:type="dxa"/>
            <w:tcBorders>
              <w:top w:val="nil"/>
              <w:left w:val="nil"/>
              <w:bottom w:val="nil"/>
              <w:right w:val="nil"/>
            </w:tcBorders>
            <w:shd w:val="clear" w:color="auto" w:fill="auto"/>
            <w:noWrap/>
            <w:vAlign w:val="bottom"/>
            <w:hideMark/>
          </w:tcPr>
          <w:p w14:paraId="2D7AA7DA"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0.01% </w:t>
            </w:r>
          </w:p>
        </w:tc>
        <w:tc>
          <w:tcPr>
            <w:tcW w:w="315" w:type="dxa"/>
            <w:tcBorders>
              <w:top w:val="nil"/>
              <w:left w:val="nil"/>
              <w:bottom w:val="nil"/>
              <w:right w:val="nil"/>
            </w:tcBorders>
            <w:shd w:val="clear" w:color="000000" w:fill="FFFFFF"/>
            <w:noWrap/>
            <w:vAlign w:val="bottom"/>
            <w:hideMark/>
          </w:tcPr>
          <w:p w14:paraId="1386CDA4"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358BC3CD"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1.22</w:t>
            </w:r>
          </w:p>
        </w:tc>
        <w:tc>
          <w:tcPr>
            <w:tcW w:w="836" w:type="dxa"/>
            <w:tcBorders>
              <w:top w:val="nil"/>
              <w:left w:val="nil"/>
              <w:bottom w:val="nil"/>
              <w:right w:val="nil"/>
            </w:tcBorders>
            <w:shd w:val="clear" w:color="000000" w:fill="FFFFFF"/>
            <w:noWrap/>
            <w:vAlign w:val="bottom"/>
            <w:hideMark/>
          </w:tcPr>
          <w:p w14:paraId="4DE3644A"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0.68</w:t>
            </w:r>
          </w:p>
        </w:tc>
        <w:tc>
          <w:tcPr>
            <w:tcW w:w="836" w:type="dxa"/>
            <w:tcBorders>
              <w:top w:val="nil"/>
              <w:left w:val="nil"/>
              <w:bottom w:val="nil"/>
              <w:right w:val="nil"/>
            </w:tcBorders>
            <w:shd w:val="clear" w:color="000000" w:fill="FFFFFF"/>
            <w:noWrap/>
            <w:vAlign w:val="bottom"/>
            <w:hideMark/>
          </w:tcPr>
          <w:p w14:paraId="278B5C67"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1.24</w:t>
            </w:r>
          </w:p>
        </w:tc>
        <w:tc>
          <w:tcPr>
            <w:tcW w:w="671" w:type="dxa"/>
            <w:tcBorders>
              <w:top w:val="nil"/>
              <w:left w:val="nil"/>
              <w:bottom w:val="nil"/>
              <w:right w:val="nil"/>
            </w:tcBorders>
            <w:shd w:val="clear" w:color="000000" w:fill="FFFFFF"/>
            <w:noWrap/>
            <w:vAlign w:val="bottom"/>
            <w:hideMark/>
          </w:tcPr>
          <w:p w14:paraId="28649603"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000000" w:fill="FFFFFF"/>
            <w:noWrap/>
            <w:vAlign w:val="bottom"/>
            <w:hideMark/>
          </w:tcPr>
          <w:p w14:paraId="35DBCC94"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1004" w:type="dxa"/>
            <w:gridSpan w:val="2"/>
            <w:tcBorders>
              <w:top w:val="nil"/>
              <w:left w:val="nil"/>
              <w:bottom w:val="nil"/>
              <w:right w:val="nil"/>
            </w:tcBorders>
            <w:shd w:val="clear" w:color="000000" w:fill="FFFFFF"/>
            <w:noWrap/>
            <w:vAlign w:val="bottom"/>
            <w:hideMark/>
          </w:tcPr>
          <w:p w14:paraId="2788C1A5" w14:textId="213DEEBF"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43%</w:t>
            </w:r>
          </w:p>
        </w:tc>
        <w:tc>
          <w:tcPr>
            <w:tcW w:w="881" w:type="dxa"/>
            <w:gridSpan w:val="2"/>
            <w:tcBorders>
              <w:top w:val="nil"/>
              <w:left w:val="nil"/>
              <w:bottom w:val="nil"/>
              <w:right w:val="nil"/>
            </w:tcBorders>
            <w:shd w:val="clear" w:color="auto" w:fill="auto"/>
            <w:noWrap/>
            <w:vAlign w:val="bottom"/>
            <w:hideMark/>
          </w:tcPr>
          <w:p w14:paraId="4479A265"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3C05608D"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tcPr>
          <w:p w14:paraId="094C96E7" w14:textId="490A8BFD"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2148F5">
              <w:rPr>
                <w:rFonts w:ascii="Sylfaen" w:eastAsia="Times New Roman" w:hAnsi="Sylfaen" w:cs="Arial"/>
                <w:color w:val="000000"/>
                <w:sz w:val="18"/>
                <w:szCs w:val="18"/>
                <w:lang w:val="ka-GE" w:eastAsia="ka-GE"/>
              </w:rPr>
              <w:t>13</w:t>
            </w:r>
          </w:p>
        </w:tc>
        <w:tc>
          <w:tcPr>
            <w:tcW w:w="4015" w:type="dxa"/>
            <w:tcBorders>
              <w:top w:val="nil"/>
              <w:left w:val="nil"/>
              <w:bottom w:val="nil"/>
              <w:right w:val="nil"/>
            </w:tcBorders>
            <w:shd w:val="clear" w:color="000000" w:fill="FFFFFF"/>
            <w:noWrap/>
            <w:vAlign w:val="bottom"/>
            <w:hideMark/>
          </w:tcPr>
          <w:p w14:paraId="5A45C893"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roofErr w:type="spellStart"/>
            <w:r w:rsidRPr="00801C39">
              <w:rPr>
                <w:rFonts w:ascii="Sylfaen" w:eastAsia="Times New Roman" w:hAnsi="Sylfaen" w:cs="Arial"/>
                <w:color w:val="000000"/>
                <w:sz w:val="18"/>
                <w:szCs w:val="18"/>
                <w:lang w:val="ka-GE" w:eastAsia="ka-GE"/>
              </w:rPr>
              <w:t>Telia</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Company</w:t>
            </w:r>
            <w:proofErr w:type="spellEnd"/>
            <w:r w:rsidRPr="00801C39">
              <w:rPr>
                <w:rFonts w:ascii="Sylfaen" w:eastAsia="Times New Roman" w:hAnsi="Sylfaen" w:cs="Arial"/>
                <w:color w:val="000000"/>
                <w:sz w:val="18"/>
                <w:szCs w:val="18"/>
                <w:lang w:val="ka-GE" w:eastAsia="ka-GE"/>
              </w:rPr>
              <w:t xml:space="preserve"> AB (</w:t>
            </w:r>
            <w:proofErr w:type="spellStart"/>
            <w:r w:rsidRPr="00801C39">
              <w:rPr>
                <w:rFonts w:ascii="Sylfaen" w:eastAsia="Times New Roman" w:hAnsi="Sylfaen" w:cs="Arial"/>
                <w:color w:val="000000"/>
                <w:sz w:val="18"/>
                <w:szCs w:val="18"/>
                <w:lang w:val="ka-GE" w:eastAsia="ka-GE"/>
              </w:rPr>
              <w:t>publ</w:t>
            </w:r>
            <w:proofErr w:type="spellEnd"/>
            <w:r w:rsidRPr="00801C39">
              <w:rPr>
                <w:rFonts w:ascii="Sylfaen" w:eastAsia="Times New Roman" w:hAnsi="Sylfaen" w:cs="Arial"/>
                <w:color w:val="000000"/>
                <w:sz w:val="18"/>
                <w:szCs w:val="18"/>
                <w:lang w:val="ka-GE" w:eastAsia="ka-GE"/>
              </w:rPr>
              <w:t xml:space="preserve">) </w:t>
            </w:r>
          </w:p>
        </w:tc>
        <w:tc>
          <w:tcPr>
            <w:tcW w:w="1005" w:type="dxa"/>
            <w:tcBorders>
              <w:top w:val="nil"/>
              <w:left w:val="nil"/>
              <w:bottom w:val="nil"/>
              <w:right w:val="nil"/>
            </w:tcBorders>
            <w:shd w:val="clear" w:color="auto" w:fill="auto"/>
            <w:noWrap/>
            <w:vAlign w:val="bottom"/>
            <w:hideMark/>
          </w:tcPr>
          <w:p w14:paraId="422C9322" w14:textId="74A572A4"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0.5 </w:t>
            </w:r>
          </w:p>
        </w:tc>
        <w:tc>
          <w:tcPr>
            <w:tcW w:w="1275" w:type="dxa"/>
            <w:tcBorders>
              <w:top w:val="nil"/>
              <w:left w:val="nil"/>
              <w:bottom w:val="nil"/>
              <w:right w:val="nil"/>
            </w:tcBorders>
            <w:shd w:val="clear" w:color="auto" w:fill="auto"/>
            <w:noWrap/>
            <w:vAlign w:val="bottom"/>
            <w:hideMark/>
          </w:tcPr>
          <w:p w14:paraId="23AFAE20"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2.8% </w:t>
            </w:r>
          </w:p>
        </w:tc>
        <w:tc>
          <w:tcPr>
            <w:tcW w:w="912" w:type="dxa"/>
            <w:tcBorders>
              <w:top w:val="nil"/>
              <w:left w:val="nil"/>
              <w:bottom w:val="nil"/>
              <w:right w:val="nil"/>
            </w:tcBorders>
            <w:shd w:val="clear" w:color="auto" w:fill="auto"/>
            <w:noWrap/>
            <w:vAlign w:val="bottom"/>
            <w:hideMark/>
          </w:tcPr>
          <w:p w14:paraId="25B7B494"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20.15% </w:t>
            </w:r>
          </w:p>
        </w:tc>
        <w:tc>
          <w:tcPr>
            <w:tcW w:w="315" w:type="dxa"/>
            <w:tcBorders>
              <w:top w:val="nil"/>
              <w:left w:val="nil"/>
              <w:bottom w:val="nil"/>
              <w:right w:val="nil"/>
            </w:tcBorders>
            <w:shd w:val="clear" w:color="000000" w:fill="FFFFFF"/>
            <w:noWrap/>
            <w:vAlign w:val="bottom"/>
            <w:hideMark/>
          </w:tcPr>
          <w:p w14:paraId="303F0B0E"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7D97E3AF"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4706BB57"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684DE1BA"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671" w:type="dxa"/>
            <w:tcBorders>
              <w:top w:val="nil"/>
              <w:left w:val="nil"/>
              <w:bottom w:val="nil"/>
              <w:right w:val="nil"/>
            </w:tcBorders>
            <w:shd w:val="clear" w:color="000000" w:fill="FFFFFF"/>
            <w:noWrap/>
            <w:vAlign w:val="bottom"/>
            <w:hideMark/>
          </w:tcPr>
          <w:p w14:paraId="0ED996B5"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000000" w:fill="FFFFFF"/>
            <w:noWrap/>
            <w:vAlign w:val="bottom"/>
            <w:hideMark/>
          </w:tcPr>
          <w:p w14:paraId="4C775414"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1004" w:type="dxa"/>
            <w:gridSpan w:val="2"/>
            <w:tcBorders>
              <w:top w:val="nil"/>
              <w:left w:val="nil"/>
              <w:bottom w:val="nil"/>
              <w:right w:val="nil"/>
            </w:tcBorders>
            <w:shd w:val="clear" w:color="000000" w:fill="FFFFFF"/>
            <w:noWrap/>
            <w:vAlign w:val="bottom"/>
            <w:hideMark/>
          </w:tcPr>
          <w:p w14:paraId="269EB753" w14:textId="2532A53F"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3</w:t>
            </w:r>
            <w:r w:rsidRPr="002148F5">
              <w:rPr>
                <w:rFonts w:ascii="Sylfaen" w:eastAsia="Times New Roman" w:hAnsi="Sylfaen" w:cs="Arial"/>
                <w:color w:val="000000"/>
                <w:sz w:val="18"/>
                <w:szCs w:val="18"/>
                <w:lang w:val="en-GB" w:eastAsia="ka-GE"/>
              </w:rPr>
              <w:t>9</w:t>
            </w:r>
            <w:r w:rsidRPr="00801C39">
              <w:rPr>
                <w:rFonts w:ascii="Sylfaen" w:eastAsia="Times New Roman" w:hAnsi="Sylfaen" w:cs="Arial"/>
                <w:color w:val="000000"/>
                <w:sz w:val="18"/>
                <w:szCs w:val="18"/>
                <w:lang w:val="ka-GE" w:eastAsia="ka-GE"/>
              </w:rPr>
              <w:t>%</w:t>
            </w:r>
          </w:p>
        </w:tc>
        <w:tc>
          <w:tcPr>
            <w:tcW w:w="881" w:type="dxa"/>
            <w:gridSpan w:val="2"/>
            <w:tcBorders>
              <w:top w:val="nil"/>
              <w:left w:val="nil"/>
              <w:bottom w:val="nil"/>
              <w:right w:val="nil"/>
            </w:tcBorders>
            <w:shd w:val="clear" w:color="auto" w:fill="auto"/>
            <w:noWrap/>
            <w:vAlign w:val="bottom"/>
            <w:hideMark/>
          </w:tcPr>
          <w:p w14:paraId="31EBBED9"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00BD6E4B"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tcPr>
          <w:p w14:paraId="3555D345" w14:textId="287864EE"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2148F5">
              <w:rPr>
                <w:rFonts w:ascii="Sylfaen" w:eastAsia="Times New Roman" w:hAnsi="Sylfaen" w:cs="Arial"/>
                <w:color w:val="000000"/>
                <w:sz w:val="18"/>
                <w:szCs w:val="18"/>
                <w:lang w:val="ka-GE" w:eastAsia="ka-GE"/>
              </w:rPr>
              <w:t>14</w:t>
            </w:r>
          </w:p>
        </w:tc>
        <w:tc>
          <w:tcPr>
            <w:tcW w:w="4015" w:type="dxa"/>
            <w:tcBorders>
              <w:top w:val="nil"/>
              <w:left w:val="nil"/>
              <w:bottom w:val="nil"/>
              <w:right w:val="nil"/>
            </w:tcBorders>
            <w:shd w:val="clear" w:color="000000" w:fill="FFFFFF"/>
            <w:noWrap/>
            <w:vAlign w:val="bottom"/>
            <w:hideMark/>
          </w:tcPr>
          <w:p w14:paraId="3896D3EF"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BT </w:t>
            </w:r>
            <w:proofErr w:type="spellStart"/>
            <w:r w:rsidRPr="00801C39">
              <w:rPr>
                <w:rFonts w:ascii="Sylfaen" w:eastAsia="Times New Roman" w:hAnsi="Sylfaen" w:cs="Arial"/>
                <w:color w:val="000000"/>
                <w:sz w:val="18"/>
                <w:szCs w:val="18"/>
                <w:lang w:val="ka-GE" w:eastAsia="ka-GE"/>
              </w:rPr>
              <w:t>Group</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plc</w:t>
            </w:r>
            <w:proofErr w:type="spellEnd"/>
            <w:r w:rsidRPr="00801C39">
              <w:rPr>
                <w:rFonts w:ascii="Sylfaen" w:eastAsia="Times New Roman" w:hAnsi="Sylfaen" w:cs="Arial"/>
                <w:color w:val="000000"/>
                <w:sz w:val="18"/>
                <w:szCs w:val="18"/>
                <w:lang w:val="ka-GE" w:eastAsia="ka-GE"/>
              </w:rPr>
              <w:t xml:space="preserve"> </w:t>
            </w:r>
          </w:p>
        </w:tc>
        <w:tc>
          <w:tcPr>
            <w:tcW w:w="1005" w:type="dxa"/>
            <w:tcBorders>
              <w:top w:val="nil"/>
              <w:left w:val="nil"/>
              <w:bottom w:val="nil"/>
              <w:right w:val="nil"/>
            </w:tcBorders>
            <w:shd w:val="clear" w:color="auto" w:fill="auto"/>
            <w:noWrap/>
            <w:vAlign w:val="bottom"/>
            <w:hideMark/>
          </w:tcPr>
          <w:p w14:paraId="0D4D57D0" w14:textId="4031B8F0"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0.9 </w:t>
            </w:r>
          </w:p>
        </w:tc>
        <w:tc>
          <w:tcPr>
            <w:tcW w:w="1275" w:type="dxa"/>
            <w:tcBorders>
              <w:top w:val="nil"/>
              <w:left w:val="nil"/>
              <w:bottom w:val="nil"/>
              <w:right w:val="nil"/>
            </w:tcBorders>
            <w:shd w:val="clear" w:color="auto" w:fill="auto"/>
            <w:noWrap/>
            <w:vAlign w:val="bottom"/>
            <w:hideMark/>
          </w:tcPr>
          <w:p w14:paraId="6F381862"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16.3% </w:t>
            </w:r>
          </w:p>
        </w:tc>
        <w:tc>
          <w:tcPr>
            <w:tcW w:w="912" w:type="dxa"/>
            <w:tcBorders>
              <w:top w:val="nil"/>
              <w:left w:val="nil"/>
              <w:bottom w:val="nil"/>
              <w:right w:val="nil"/>
            </w:tcBorders>
            <w:shd w:val="clear" w:color="auto" w:fill="auto"/>
            <w:noWrap/>
            <w:vAlign w:val="bottom"/>
            <w:hideMark/>
          </w:tcPr>
          <w:p w14:paraId="560C549F"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0.14% </w:t>
            </w:r>
          </w:p>
        </w:tc>
        <w:tc>
          <w:tcPr>
            <w:tcW w:w="315" w:type="dxa"/>
            <w:tcBorders>
              <w:top w:val="nil"/>
              <w:left w:val="nil"/>
              <w:bottom w:val="nil"/>
              <w:right w:val="nil"/>
            </w:tcBorders>
            <w:shd w:val="clear" w:color="000000" w:fill="FFFFFF"/>
            <w:noWrap/>
            <w:vAlign w:val="bottom"/>
            <w:hideMark/>
          </w:tcPr>
          <w:p w14:paraId="40801F7A"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0E44689C"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0.86</w:t>
            </w:r>
          </w:p>
        </w:tc>
        <w:tc>
          <w:tcPr>
            <w:tcW w:w="836" w:type="dxa"/>
            <w:tcBorders>
              <w:top w:val="nil"/>
              <w:left w:val="nil"/>
              <w:bottom w:val="nil"/>
              <w:right w:val="nil"/>
            </w:tcBorders>
            <w:shd w:val="clear" w:color="000000" w:fill="FFFFFF"/>
            <w:noWrap/>
            <w:vAlign w:val="bottom"/>
            <w:hideMark/>
          </w:tcPr>
          <w:p w14:paraId="716DE19D"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0.48</w:t>
            </w:r>
          </w:p>
        </w:tc>
        <w:tc>
          <w:tcPr>
            <w:tcW w:w="836" w:type="dxa"/>
            <w:tcBorders>
              <w:top w:val="nil"/>
              <w:left w:val="nil"/>
              <w:bottom w:val="nil"/>
              <w:right w:val="nil"/>
            </w:tcBorders>
            <w:shd w:val="clear" w:color="000000" w:fill="FFFFFF"/>
            <w:noWrap/>
            <w:vAlign w:val="bottom"/>
            <w:hideMark/>
          </w:tcPr>
          <w:p w14:paraId="1F75460A"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0.89</w:t>
            </w:r>
          </w:p>
        </w:tc>
        <w:tc>
          <w:tcPr>
            <w:tcW w:w="671" w:type="dxa"/>
            <w:tcBorders>
              <w:top w:val="nil"/>
              <w:left w:val="nil"/>
              <w:bottom w:val="nil"/>
              <w:right w:val="nil"/>
            </w:tcBorders>
            <w:shd w:val="clear" w:color="000000" w:fill="FFFFFF"/>
            <w:noWrap/>
            <w:vAlign w:val="bottom"/>
            <w:hideMark/>
          </w:tcPr>
          <w:p w14:paraId="710CA6CD"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000000" w:fill="FFFFFF"/>
            <w:noWrap/>
            <w:vAlign w:val="bottom"/>
            <w:hideMark/>
          </w:tcPr>
          <w:p w14:paraId="0D67F705"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1004" w:type="dxa"/>
            <w:gridSpan w:val="2"/>
            <w:tcBorders>
              <w:top w:val="nil"/>
              <w:left w:val="nil"/>
              <w:bottom w:val="nil"/>
              <w:right w:val="nil"/>
            </w:tcBorders>
            <w:shd w:val="clear" w:color="000000" w:fill="FFFFFF"/>
            <w:noWrap/>
            <w:vAlign w:val="bottom"/>
            <w:hideMark/>
          </w:tcPr>
          <w:p w14:paraId="4AB1C02E" w14:textId="70CB519E"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2148F5">
              <w:rPr>
                <w:rFonts w:ascii="Sylfaen" w:eastAsia="Times New Roman" w:hAnsi="Sylfaen" w:cs="Arial"/>
                <w:color w:val="000000"/>
                <w:sz w:val="18"/>
                <w:szCs w:val="18"/>
                <w:lang w:val="en-GB" w:eastAsia="ka-GE"/>
              </w:rPr>
              <w:t>40</w:t>
            </w:r>
            <w:r w:rsidRPr="00801C39">
              <w:rPr>
                <w:rFonts w:ascii="Sylfaen" w:eastAsia="Times New Roman" w:hAnsi="Sylfaen" w:cs="Arial"/>
                <w:color w:val="000000"/>
                <w:sz w:val="18"/>
                <w:szCs w:val="18"/>
                <w:lang w:val="ka-GE" w:eastAsia="ka-GE"/>
              </w:rPr>
              <w:t>%</w:t>
            </w:r>
          </w:p>
        </w:tc>
        <w:tc>
          <w:tcPr>
            <w:tcW w:w="881" w:type="dxa"/>
            <w:gridSpan w:val="2"/>
            <w:tcBorders>
              <w:top w:val="nil"/>
              <w:left w:val="nil"/>
              <w:bottom w:val="nil"/>
              <w:right w:val="nil"/>
            </w:tcBorders>
            <w:shd w:val="clear" w:color="auto" w:fill="auto"/>
            <w:noWrap/>
            <w:vAlign w:val="bottom"/>
            <w:hideMark/>
          </w:tcPr>
          <w:p w14:paraId="202684B2"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6D1CB63A"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hideMark/>
          </w:tcPr>
          <w:p w14:paraId="7E3CED9D" w14:textId="5107B4F3"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 5 </w:t>
            </w:r>
          </w:p>
        </w:tc>
        <w:tc>
          <w:tcPr>
            <w:tcW w:w="4015" w:type="dxa"/>
            <w:tcBorders>
              <w:top w:val="nil"/>
              <w:left w:val="nil"/>
              <w:bottom w:val="nil"/>
              <w:right w:val="nil"/>
            </w:tcBorders>
            <w:shd w:val="clear" w:color="000000" w:fill="FFFFFF"/>
            <w:noWrap/>
            <w:vAlign w:val="bottom"/>
            <w:hideMark/>
          </w:tcPr>
          <w:p w14:paraId="02748CFC"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roofErr w:type="spellStart"/>
            <w:r w:rsidRPr="00801C39">
              <w:rPr>
                <w:rFonts w:ascii="Sylfaen" w:eastAsia="Times New Roman" w:hAnsi="Sylfaen" w:cs="Arial"/>
                <w:color w:val="000000"/>
                <w:sz w:val="18"/>
                <w:szCs w:val="18"/>
                <w:lang w:val="ka-GE" w:eastAsia="ka-GE"/>
              </w:rPr>
              <w:t>Türk</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Telekomünikasyon</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Anonim</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Sirketi</w:t>
            </w:r>
            <w:proofErr w:type="spellEnd"/>
            <w:r w:rsidRPr="00801C39">
              <w:rPr>
                <w:rFonts w:ascii="Sylfaen" w:eastAsia="Times New Roman" w:hAnsi="Sylfaen" w:cs="Arial"/>
                <w:color w:val="000000"/>
                <w:sz w:val="18"/>
                <w:szCs w:val="18"/>
                <w:lang w:val="ka-GE" w:eastAsia="ka-GE"/>
              </w:rPr>
              <w:t xml:space="preserve"> </w:t>
            </w:r>
          </w:p>
        </w:tc>
        <w:tc>
          <w:tcPr>
            <w:tcW w:w="1005" w:type="dxa"/>
            <w:tcBorders>
              <w:top w:val="nil"/>
              <w:left w:val="nil"/>
              <w:bottom w:val="nil"/>
              <w:right w:val="nil"/>
            </w:tcBorders>
            <w:shd w:val="clear" w:color="auto" w:fill="auto"/>
            <w:noWrap/>
            <w:vAlign w:val="bottom"/>
            <w:hideMark/>
          </w:tcPr>
          <w:p w14:paraId="4C51629B" w14:textId="470BABEC"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0.7 </w:t>
            </w:r>
          </w:p>
        </w:tc>
        <w:tc>
          <w:tcPr>
            <w:tcW w:w="1275" w:type="dxa"/>
            <w:tcBorders>
              <w:top w:val="nil"/>
              <w:left w:val="nil"/>
              <w:bottom w:val="nil"/>
              <w:right w:val="nil"/>
            </w:tcBorders>
            <w:shd w:val="clear" w:color="auto" w:fill="auto"/>
            <w:noWrap/>
            <w:vAlign w:val="bottom"/>
            <w:hideMark/>
          </w:tcPr>
          <w:p w14:paraId="74AA4AD8"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2.6% </w:t>
            </w:r>
          </w:p>
        </w:tc>
        <w:tc>
          <w:tcPr>
            <w:tcW w:w="912" w:type="dxa"/>
            <w:tcBorders>
              <w:top w:val="nil"/>
              <w:left w:val="nil"/>
              <w:bottom w:val="nil"/>
              <w:right w:val="nil"/>
            </w:tcBorders>
            <w:shd w:val="clear" w:color="auto" w:fill="auto"/>
            <w:noWrap/>
            <w:vAlign w:val="bottom"/>
            <w:hideMark/>
          </w:tcPr>
          <w:p w14:paraId="44062D31"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21.67% </w:t>
            </w:r>
          </w:p>
        </w:tc>
        <w:tc>
          <w:tcPr>
            <w:tcW w:w="315" w:type="dxa"/>
            <w:tcBorders>
              <w:top w:val="nil"/>
              <w:left w:val="nil"/>
              <w:bottom w:val="nil"/>
              <w:right w:val="nil"/>
            </w:tcBorders>
            <w:shd w:val="clear" w:color="000000" w:fill="FFFFFF"/>
            <w:noWrap/>
            <w:vAlign w:val="bottom"/>
            <w:hideMark/>
          </w:tcPr>
          <w:p w14:paraId="794FA437"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7F5BD421"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00E5E376"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0E53E7E2"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671" w:type="dxa"/>
            <w:tcBorders>
              <w:top w:val="nil"/>
              <w:left w:val="nil"/>
              <w:bottom w:val="nil"/>
              <w:right w:val="nil"/>
            </w:tcBorders>
            <w:shd w:val="clear" w:color="000000" w:fill="FFFFFF"/>
            <w:noWrap/>
            <w:vAlign w:val="bottom"/>
            <w:hideMark/>
          </w:tcPr>
          <w:p w14:paraId="43F37D8D"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000000" w:fill="FFFFFF"/>
            <w:noWrap/>
            <w:vAlign w:val="bottom"/>
            <w:hideMark/>
          </w:tcPr>
          <w:p w14:paraId="6F247541"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1004" w:type="dxa"/>
            <w:gridSpan w:val="2"/>
            <w:tcBorders>
              <w:top w:val="nil"/>
              <w:left w:val="nil"/>
              <w:bottom w:val="nil"/>
              <w:right w:val="nil"/>
            </w:tcBorders>
            <w:shd w:val="clear" w:color="000000" w:fill="FFFFFF"/>
            <w:noWrap/>
            <w:vAlign w:val="bottom"/>
            <w:hideMark/>
          </w:tcPr>
          <w:p w14:paraId="23B1BE8A" w14:textId="4BAAC9EC"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48%</w:t>
            </w:r>
          </w:p>
        </w:tc>
        <w:tc>
          <w:tcPr>
            <w:tcW w:w="881" w:type="dxa"/>
            <w:gridSpan w:val="2"/>
            <w:tcBorders>
              <w:top w:val="nil"/>
              <w:left w:val="nil"/>
              <w:bottom w:val="nil"/>
              <w:right w:val="nil"/>
            </w:tcBorders>
            <w:shd w:val="clear" w:color="auto" w:fill="auto"/>
            <w:noWrap/>
            <w:vAlign w:val="bottom"/>
            <w:hideMark/>
          </w:tcPr>
          <w:p w14:paraId="74E76BBA"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494F1A12"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hideMark/>
          </w:tcPr>
          <w:p w14:paraId="0187D26C" w14:textId="1AE22E89"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 6 </w:t>
            </w:r>
          </w:p>
        </w:tc>
        <w:tc>
          <w:tcPr>
            <w:tcW w:w="4015" w:type="dxa"/>
            <w:tcBorders>
              <w:top w:val="nil"/>
              <w:left w:val="nil"/>
              <w:bottom w:val="nil"/>
              <w:right w:val="nil"/>
            </w:tcBorders>
            <w:shd w:val="clear" w:color="000000" w:fill="FFFFFF"/>
            <w:noWrap/>
            <w:vAlign w:val="bottom"/>
            <w:hideMark/>
          </w:tcPr>
          <w:p w14:paraId="52A03CBE"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roofErr w:type="spellStart"/>
            <w:r w:rsidRPr="00801C39">
              <w:rPr>
                <w:rFonts w:ascii="Sylfaen" w:eastAsia="Times New Roman" w:hAnsi="Sylfaen" w:cs="Arial"/>
                <w:color w:val="000000"/>
                <w:sz w:val="18"/>
                <w:szCs w:val="18"/>
                <w:lang w:val="ka-GE" w:eastAsia="ka-GE"/>
              </w:rPr>
              <w:t>Telecom</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Italia</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S.p.A</w:t>
            </w:r>
            <w:proofErr w:type="spellEnd"/>
            <w:r w:rsidRPr="00801C39">
              <w:rPr>
                <w:rFonts w:ascii="Sylfaen" w:eastAsia="Times New Roman" w:hAnsi="Sylfaen" w:cs="Arial"/>
                <w:color w:val="000000"/>
                <w:sz w:val="18"/>
                <w:szCs w:val="18"/>
                <w:lang w:val="ka-GE" w:eastAsia="ka-GE"/>
              </w:rPr>
              <w:t xml:space="preserve">. </w:t>
            </w:r>
          </w:p>
        </w:tc>
        <w:tc>
          <w:tcPr>
            <w:tcW w:w="1005" w:type="dxa"/>
            <w:tcBorders>
              <w:top w:val="nil"/>
              <w:left w:val="nil"/>
              <w:bottom w:val="nil"/>
              <w:right w:val="nil"/>
            </w:tcBorders>
            <w:shd w:val="clear" w:color="auto" w:fill="auto"/>
            <w:noWrap/>
            <w:vAlign w:val="bottom"/>
            <w:hideMark/>
          </w:tcPr>
          <w:p w14:paraId="6847381D" w14:textId="284EB62F"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1.0 </w:t>
            </w:r>
          </w:p>
        </w:tc>
        <w:tc>
          <w:tcPr>
            <w:tcW w:w="1275" w:type="dxa"/>
            <w:tcBorders>
              <w:top w:val="nil"/>
              <w:left w:val="nil"/>
              <w:bottom w:val="nil"/>
              <w:right w:val="nil"/>
            </w:tcBorders>
            <w:shd w:val="clear" w:color="auto" w:fill="auto"/>
            <w:noWrap/>
            <w:vAlign w:val="bottom"/>
            <w:hideMark/>
          </w:tcPr>
          <w:p w14:paraId="3BC122C3"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16.3% </w:t>
            </w:r>
          </w:p>
        </w:tc>
        <w:tc>
          <w:tcPr>
            <w:tcW w:w="912" w:type="dxa"/>
            <w:tcBorders>
              <w:top w:val="nil"/>
              <w:left w:val="nil"/>
              <w:bottom w:val="nil"/>
              <w:right w:val="nil"/>
            </w:tcBorders>
            <w:shd w:val="clear" w:color="auto" w:fill="auto"/>
            <w:noWrap/>
            <w:vAlign w:val="bottom"/>
            <w:hideMark/>
          </w:tcPr>
          <w:p w14:paraId="7B5F5B84"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0.14% </w:t>
            </w:r>
          </w:p>
        </w:tc>
        <w:tc>
          <w:tcPr>
            <w:tcW w:w="315" w:type="dxa"/>
            <w:tcBorders>
              <w:top w:val="nil"/>
              <w:left w:val="nil"/>
              <w:bottom w:val="nil"/>
              <w:right w:val="nil"/>
            </w:tcBorders>
            <w:shd w:val="clear" w:color="000000" w:fill="FFFFFF"/>
            <w:noWrap/>
            <w:vAlign w:val="bottom"/>
            <w:hideMark/>
          </w:tcPr>
          <w:p w14:paraId="7DD29E9A"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141B6C70"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0.43</w:t>
            </w:r>
          </w:p>
        </w:tc>
        <w:tc>
          <w:tcPr>
            <w:tcW w:w="836" w:type="dxa"/>
            <w:tcBorders>
              <w:top w:val="nil"/>
              <w:left w:val="nil"/>
              <w:bottom w:val="nil"/>
              <w:right w:val="nil"/>
            </w:tcBorders>
            <w:shd w:val="clear" w:color="000000" w:fill="FFFFFF"/>
            <w:noWrap/>
            <w:vAlign w:val="bottom"/>
            <w:hideMark/>
          </w:tcPr>
          <w:p w14:paraId="7B1BCD24"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0.24</w:t>
            </w:r>
          </w:p>
        </w:tc>
        <w:tc>
          <w:tcPr>
            <w:tcW w:w="836" w:type="dxa"/>
            <w:tcBorders>
              <w:top w:val="nil"/>
              <w:left w:val="nil"/>
              <w:bottom w:val="nil"/>
              <w:right w:val="nil"/>
            </w:tcBorders>
            <w:shd w:val="clear" w:color="000000" w:fill="FFFFFF"/>
            <w:noWrap/>
            <w:vAlign w:val="bottom"/>
            <w:hideMark/>
          </w:tcPr>
          <w:p w14:paraId="7499D0B7"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0.95</w:t>
            </w:r>
          </w:p>
        </w:tc>
        <w:tc>
          <w:tcPr>
            <w:tcW w:w="671" w:type="dxa"/>
            <w:tcBorders>
              <w:top w:val="nil"/>
              <w:left w:val="nil"/>
              <w:bottom w:val="nil"/>
              <w:right w:val="nil"/>
            </w:tcBorders>
            <w:shd w:val="clear" w:color="000000" w:fill="FFFFFF"/>
            <w:noWrap/>
            <w:vAlign w:val="bottom"/>
            <w:hideMark/>
          </w:tcPr>
          <w:p w14:paraId="4BE8F963"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000000" w:fill="FFFFFF"/>
            <w:noWrap/>
            <w:vAlign w:val="bottom"/>
            <w:hideMark/>
          </w:tcPr>
          <w:p w14:paraId="43B41D03"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1004" w:type="dxa"/>
            <w:gridSpan w:val="2"/>
            <w:tcBorders>
              <w:top w:val="nil"/>
              <w:left w:val="nil"/>
              <w:bottom w:val="nil"/>
              <w:right w:val="nil"/>
            </w:tcBorders>
            <w:shd w:val="clear" w:color="000000" w:fill="FFFFFF"/>
            <w:noWrap/>
            <w:vAlign w:val="bottom"/>
            <w:hideMark/>
          </w:tcPr>
          <w:p w14:paraId="6C55672B" w14:textId="357E6310"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72%</w:t>
            </w:r>
          </w:p>
        </w:tc>
        <w:tc>
          <w:tcPr>
            <w:tcW w:w="881" w:type="dxa"/>
            <w:gridSpan w:val="2"/>
            <w:tcBorders>
              <w:top w:val="nil"/>
              <w:left w:val="nil"/>
              <w:bottom w:val="nil"/>
              <w:right w:val="nil"/>
            </w:tcBorders>
            <w:shd w:val="clear" w:color="auto" w:fill="auto"/>
            <w:noWrap/>
            <w:vAlign w:val="bottom"/>
            <w:hideMark/>
          </w:tcPr>
          <w:p w14:paraId="2363DE2D"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439C9FEC"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hideMark/>
          </w:tcPr>
          <w:p w14:paraId="7AA80771" w14:textId="25225C6C"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2148F5">
              <w:rPr>
                <w:rFonts w:ascii="Sylfaen" w:eastAsia="Times New Roman" w:hAnsi="Sylfaen" w:cs="Arial"/>
                <w:color w:val="000000"/>
                <w:sz w:val="18"/>
                <w:szCs w:val="18"/>
                <w:lang w:val="en-GB" w:eastAsia="ka-GE"/>
              </w:rPr>
              <w:t>1</w:t>
            </w:r>
            <w:r w:rsidRPr="00801C39">
              <w:rPr>
                <w:rFonts w:ascii="Sylfaen" w:eastAsia="Times New Roman" w:hAnsi="Sylfaen" w:cs="Arial"/>
                <w:color w:val="000000"/>
                <w:sz w:val="18"/>
                <w:szCs w:val="18"/>
                <w:lang w:val="ka-GE" w:eastAsia="ka-GE"/>
              </w:rPr>
              <w:t xml:space="preserve">7 </w:t>
            </w:r>
          </w:p>
        </w:tc>
        <w:tc>
          <w:tcPr>
            <w:tcW w:w="4015" w:type="dxa"/>
            <w:tcBorders>
              <w:top w:val="nil"/>
              <w:left w:val="nil"/>
              <w:bottom w:val="nil"/>
              <w:right w:val="nil"/>
            </w:tcBorders>
            <w:shd w:val="clear" w:color="000000" w:fill="FFFFFF"/>
            <w:noWrap/>
            <w:vAlign w:val="bottom"/>
            <w:hideMark/>
          </w:tcPr>
          <w:p w14:paraId="1B327144"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roofErr w:type="spellStart"/>
            <w:r w:rsidRPr="00801C39">
              <w:rPr>
                <w:rFonts w:ascii="Sylfaen" w:eastAsia="Times New Roman" w:hAnsi="Sylfaen" w:cs="Arial"/>
                <w:color w:val="000000"/>
                <w:sz w:val="18"/>
                <w:szCs w:val="18"/>
                <w:lang w:val="ka-GE" w:eastAsia="ka-GE"/>
              </w:rPr>
              <w:t>Telefónica</w:t>
            </w:r>
            <w:proofErr w:type="spellEnd"/>
            <w:r w:rsidRPr="00801C39">
              <w:rPr>
                <w:rFonts w:ascii="Sylfaen" w:eastAsia="Times New Roman" w:hAnsi="Sylfaen" w:cs="Arial"/>
                <w:color w:val="000000"/>
                <w:sz w:val="18"/>
                <w:szCs w:val="18"/>
                <w:lang w:val="ka-GE" w:eastAsia="ka-GE"/>
              </w:rPr>
              <w:t xml:space="preserve">, S.A. </w:t>
            </w:r>
          </w:p>
        </w:tc>
        <w:tc>
          <w:tcPr>
            <w:tcW w:w="1005" w:type="dxa"/>
            <w:tcBorders>
              <w:top w:val="nil"/>
              <w:left w:val="nil"/>
              <w:bottom w:val="nil"/>
              <w:right w:val="nil"/>
            </w:tcBorders>
            <w:shd w:val="clear" w:color="auto" w:fill="auto"/>
            <w:noWrap/>
            <w:vAlign w:val="bottom"/>
            <w:hideMark/>
          </w:tcPr>
          <w:p w14:paraId="792FF0E0" w14:textId="5434CE0A"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0.8 </w:t>
            </w:r>
          </w:p>
        </w:tc>
        <w:tc>
          <w:tcPr>
            <w:tcW w:w="1275" w:type="dxa"/>
            <w:tcBorders>
              <w:top w:val="nil"/>
              <w:left w:val="nil"/>
              <w:bottom w:val="nil"/>
              <w:right w:val="nil"/>
            </w:tcBorders>
            <w:shd w:val="clear" w:color="auto" w:fill="auto"/>
            <w:noWrap/>
            <w:vAlign w:val="bottom"/>
            <w:hideMark/>
          </w:tcPr>
          <w:p w14:paraId="7FC03893"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17.3% </w:t>
            </w:r>
          </w:p>
        </w:tc>
        <w:tc>
          <w:tcPr>
            <w:tcW w:w="912" w:type="dxa"/>
            <w:tcBorders>
              <w:top w:val="nil"/>
              <w:left w:val="nil"/>
              <w:bottom w:val="nil"/>
              <w:right w:val="nil"/>
            </w:tcBorders>
            <w:shd w:val="clear" w:color="auto" w:fill="auto"/>
            <w:noWrap/>
            <w:vAlign w:val="bottom"/>
            <w:hideMark/>
          </w:tcPr>
          <w:p w14:paraId="0C47606F"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0.09% </w:t>
            </w:r>
          </w:p>
        </w:tc>
        <w:tc>
          <w:tcPr>
            <w:tcW w:w="315" w:type="dxa"/>
            <w:tcBorders>
              <w:top w:val="nil"/>
              <w:left w:val="nil"/>
              <w:bottom w:val="nil"/>
              <w:right w:val="nil"/>
            </w:tcBorders>
            <w:shd w:val="clear" w:color="000000" w:fill="FFFFFF"/>
            <w:noWrap/>
            <w:vAlign w:val="bottom"/>
            <w:hideMark/>
          </w:tcPr>
          <w:p w14:paraId="4425591D"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67D877A3"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0.51</w:t>
            </w:r>
          </w:p>
        </w:tc>
        <w:tc>
          <w:tcPr>
            <w:tcW w:w="836" w:type="dxa"/>
            <w:tcBorders>
              <w:top w:val="nil"/>
              <w:left w:val="nil"/>
              <w:bottom w:val="nil"/>
              <w:right w:val="nil"/>
            </w:tcBorders>
            <w:shd w:val="clear" w:color="000000" w:fill="FFFFFF"/>
            <w:noWrap/>
            <w:vAlign w:val="bottom"/>
            <w:hideMark/>
          </w:tcPr>
          <w:p w14:paraId="76729AB4"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0.29</w:t>
            </w:r>
          </w:p>
        </w:tc>
        <w:tc>
          <w:tcPr>
            <w:tcW w:w="836" w:type="dxa"/>
            <w:tcBorders>
              <w:top w:val="nil"/>
              <w:left w:val="nil"/>
              <w:bottom w:val="nil"/>
              <w:right w:val="nil"/>
            </w:tcBorders>
            <w:shd w:val="clear" w:color="000000" w:fill="FFFFFF"/>
            <w:noWrap/>
            <w:vAlign w:val="bottom"/>
            <w:hideMark/>
          </w:tcPr>
          <w:p w14:paraId="25A5DA36"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0.82</w:t>
            </w:r>
          </w:p>
        </w:tc>
        <w:tc>
          <w:tcPr>
            <w:tcW w:w="671" w:type="dxa"/>
            <w:tcBorders>
              <w:top w:val="nil"/>
              <w:left w:val="nil"/>
              <w:bottom w:val="nil"/>
              <w:right w:val="nil"/>
            </w:tcBorders>
            <w:shd w:val="clear" w:color="000000" w:fill="FFFFFF"/>
            <w:noWrap/>
            <w:vAlign w:val="bottom"/>
            <w:hideMark/>
          </w:tcPr>
          <w:p w14:paraId="66B115F8"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000000" w:fill="FFFFFF"/>
            <w:noWrap/>
            <w:vAlign w:val="bottom"/>
            <w:hideMark/>
          </w:tcPr>
          <w:p w14:paraId="32A4A875"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1004" w:type="dxa"/>
            <w:gridSpan w:val="2"/>
            <w:tcBorders>
              <w:top w:val="nil"/>
              <w:left w:val="nil"/>
              <w:bottom w:val="nil"/>
              <w:right w:val="nil"/>
            </w:tcBorders>
            <w:shd w:val="clear" w:color="000000" w:fill="FFFFFF"/>
            <w:noWrap/>
            <w:vAlign w:val="bottom"/>
            <w:hideMark/>
          </w:tcPr>
          <w:p w14:paraId="56BB1544" w14:textId="5CC56485"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62%</w:t>
            </w:r>
          </w:p>
        </w:tc>
        <w:tc>
          <w:tcPr>
            <w:tcW w:w="881" w:type="dxa"/>
            <w:gridSpan w:val="2"/>
            <w:tcBorders>
              <w:top w:val="nil"/>
              <w:left w:val="nil"/>
              <w:bottom w:val="nil"/>
              <w:right w:val="nil"/>
            </w:tcBorders>
            <w:shd w:val="clear" w:color="auto" w:fill="auto"/>
            <w:noWrap/>
            <w:vAlign w:val="bottom"/>
            <w:hideMark/>
          </w:tcPr>
          <w:p w14:paraId="622BC11F"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0DDE456B"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hideMark/>
          </w:tcPr>
          <w:p w14:paraId="6AAFFC85" w14:textId="4B13EA39"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18 </w:t>
            </w:r>
          </w:p>
        </w:tc>
        <w:tc>
          <w:tcPr>
            <w:tcW w:w="4015" w:type="dxa"/>
            <w:tcBorders>
              <w:top w:val="nil"/>
              <w:left w:val="nil"/>
              <w:bottom w:val="nil"/>
              <w:right w:val="nil"/>
            </w:tcBorders>
            <w:shd w:val="clear" w:color="000000" w:fill="FFFFFF"/>
            <w:noWrap/>
            <w:vAlign w:val="bottom"/>
            <w:hideMark/>
          </w:tcPr>
          <w:p w14:paraId="7C7767B5"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roofErr w:type="spellStart"/>
            <w:r w:rsidRPr="00801C39">
              <w:rPr>
                <w:rFonts w:ascii="Sylfaen" w:eastAsia="Times New Roman" w:hAnsi="Sylfaen" w:cs="Arial"/>
                <w:color w:val="000000"/>
                <w:sz w:val="18"/>
                <w:szCs w:val="18"/>
                <w:lang w:val="ka-GE" w:eastAsia="ka-GE"/>
              </w:rPr>
              <w:t>Koninklijke</w:t>
            </w:r>
            <w:proofErr w:type="spellEnd"/>
            <w:r w:rsidRPr="00801C39">
              <w:rPr>
                <w:rFonts w:ascii="Sylfaen" w:eastAsia="Times New Roman" w:hAnsi="Sylfaen" w:cs="Arial"/>
                <w:color w:val="000000"/>
                <w:sz w:val="18"/>
                <w:szCs w:val="18"/>
                <w:lang w:val="ka-GE" w:eastAsia="ka-GE"/>
              </w:rPr>
              <w:t xml:space="preserve"> KPN N.V. </w:t>
            </w:r>
          </w:p>
        </w:tc>
        <w:tc>
          <w:tcPr>
            <w:tcW w:w="1005" w:type="dxa"/>
            <w:tcBorders>
              <w:top w:val="nil"/>
              <w:left w:val="nil"/>
              <w:bottom w:val="nil"/>
              <w:right w:val="nil"/>
            </w:tcBorders>
            <w:shd w:val="clear" w:color="auto" w:fill="auto"/>
            <w:noWrap/>
            <w:vAlign w:val="bottom"/>
            <w:hideMark/>
          </w:tcPr>
          <w:p w14:paraId="0BD29274" w14:textId="3B5EC54F"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0.4 </w:t>
            </w:r>
          </w:p>
        </w:tc>
        <w:tc>
          <w:tcPr>
            <w:tcW w:w="1275" w:type="dxa"/>
            <w:tcBorders>
              <w:top w:val="nil"/>
              <w:left w:val="nil"/>
              <w:bottom w:val="nil"/>
              <w:right w:val="nil"/>
            </w:tcBorders>
            <w:shd w:val="clear" w:color="auto" w:fill="auto"/>
            <w:noWrap/>
            <w:vAlign w:val="bottom"/>
            <w:hideMark/>
          </w:tcPr>
          <w:p w14:paraId="1809C52D"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0.6% </w:t>
            </w:r>
          </w:p>
        </w:tc>
        <w:tc>
          <w:tcPr>
            <w:tcW w:w="912" w:type="dxa"/>
            <w:tcBorders>
              <w:top w:val="nil"/>
              <w:left w:val="nil"/>
              <w:bottom w:val="nil"/>
              <w:right w:val="nil"/>
            </w:tcBorders>
            <w:shd w:val="clear" w:color="auto" w:fill="auto"/>
            <w:noWrap/>
            <w:vAlign w:val="bottom"/>
            <w:hideMark/>
          </w:tcPr>
          <w:p w14:paraId="49DE188D"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56.33% </w:t>
            </w:r>
          </w:p>
        </w:tc>
        <w:tc>
          <w:tcPr>
            <w:tcW w:w="315" w:type="dxa"/>
            <w:tcBorders>
              <w:top w:val="nil"/>
              <w:left w:val="nil"/>
              <w:bottom w:val="nil"/>
              <w:right w:val="nil"/>
            </w:tcBorders>
            <w:shd w:val="clear" w:color="000000" w:fill="FFFFFF"/>
            <w:noWrap/>
            <w:vAlign w:val="bottom"/>
            <w:hideMark/>
          </w:tcPr>
          <w:p w14:paraId="636B7FD5"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2E13FC86"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4FCB7AF8"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4C395136"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671" w:type="dxa"/>
            <w:tcBorders>
              <w:top w:val="nil"/>
              <w:left w:val="nil"/>
              <w:bottom w:val="nil"/>
              <w:right w:val="nil"/>
            </w:tcBorders>
            <w:shd w:val="clear" w:color="000000" w:fill="FFFFFF"/>
            <w:noWrap/>
            <w:vAlign w:val="bottom"/>
            <w:hideMark/>
          </w:tcPr>
          <w:p w14:paraId="4DED6BA5"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000000" w:fill="FFFFFF"/>
            <w:noWrap/>
            <w:vAlign w:val="bottom"/>
            <w:hideMark/>
          </w:tcPr>
          <w:p w14:paraId="2847696B"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1004" w:type="dxa"/>
            <w:gridSpan w:val="2"/>
            <w:tcBorders>
              <w:top w:val="nil"/>
              <w:left w:val="nil"/>
              <w:bottom w:val="nil"/>
              <w:right w:val="nil"/>
            </w:tcBorders>
            <w:shd w:val="clear" w:color="000000" w:fill="FFFFFF"/>
            <w:noWrap/>
            <w:vAlign w:val="bottom"/>
            <w:hideMark/>
          </w:tcPr>
          <w:p w14:paraId="7990F76D" w14:textId="32C06C38"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4</w:t>
            </w:r>
            <w:r w:rsidRPr="002148F5">
              <w:rPr>
                <w:rFonts w:ascii="Sylfaen" w:eastAsia="Times New Roman" w:hAnsi="Sylfaen" w:cs="Arial"/>
                <w:color w:val="000000"/>
                <w:sz w:val="18"/>
                <w:szCs w:val="18"/>
                <w:lang w:val="en-GB" w:eastAsia="ka-GE"/>
              </w:rPr>
              <w:t>2</w:t>
            </w:r>
            <w:r w:rsidRPr="00801C39">
              <w:rPr>
                <w:rFonts w:ascii="Sylfaen" w:eastAsia="Times New Roman" w:hAnsi="Sylfaen" w:cs="Arial"/>
                <w:color w:val="000000"/>
                <w:sz w:val="18"/>
                <w:szCs w:val="18"/>
                <w:lang w:val="ka-GE" w:eastAsia="ka-GE"/>
              </w:rPr>
              <w:t>%</w:t>
            </w:r>
          </w:p>
        </w:tc>
        <w:tc>
          <w:tcPr>
            <w:tcW w:w="881" w:type="dxa"/>
            <w:gridSpan w:val="2"/>
            <w:tcBorders>
              <w:top w:val="nil"/>
              <w:left w:val="nil"/>
              <w:bottom w:val="nil"/>
              <w:right w:val="nil"/>
            </w:tcBorders>
            <w:shd w:val="clear" w:color="auto" w:fill="auto"/>
            <w:noWrap/>
            <w:vAlign w:val="bottom"/>
            <w:hideMark/>
          </w:tcPr>
          <w:p w14:paraId="4970F7C6"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05A38AC2"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hideMark/>
          </w:tcPr>
          <w:p w14:paraId="2319CF39" w14:textId="606623FE"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19 </w:t>
            </w:r>
          </w:p>
        </w:tc>
        <w:tc>
          <w:tcPr>
            <w:tcW w:w="4015" w:type="dxa"/>
            <w:tcBorders>
              <w:top w:val="nil"/>
              <w:left w:val="nil"/>
              <w:bottom w:val="nil"/>
              <w:right w:val="nil"/>
            </w:tcBorders>
            <w:shd w:val="clear" w:color="000000" w:fill="FFFFFF"/>
            <w:noWrap/>
            <w:vAlign w:val="bottom"/>
            <w:hideMark/>
          </w:tcPr>
          <w:p w14:paraId="302F7DC6"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roofErr w:type="spellStart"/>
            <w:r w:rsidRPr="00801C39">
              <w:rPr>
                <w:rFonts w:ascii="Sylfaen" w:eastAsia="Times New Roman" w:hAnsi="Sylfaen" w:cs="Arial"/>
                <w:color w:val="000000"/>
                <w:sz w:val="18"/>
                <w:szCs w:val="18"/>
                <w:lang w:val="ka-GE" w:eastAsia="ka-GE"/>
              </w:rPr>
              <w:t>Deutsche</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Telekom</w:t>
            </w:r>
            <w:proofErr w:type="spellEnd"/>
            <w:r w:rsidRPr="00801C39">
              <w:rPr>
                <w:rFonts w:ascii="Sylfaen" w:eastAsia="Times New Roman" w:hAnsi="Sylfaen" w:cs="Arial"/>
                <w:color w:val="000000"/>
                <w:sz w:val="18"/>
                <w:szCs w:val="18"/>
                <w:lang w:val="ka-GE" w:eastAsia="ka-GE"/>
              </w:rPr>
              <w:t xml:space="preserve"> AG </w:t>
            </w:r>
          </w:p>
        </w:tc>
        <w:tc>
          <w:tcPr>
            <w:tcW w:w="1005" w:type="dxa"/>
            <w:tcBorders>
              <w:top w:val="nil"/>
              <w:left w:val="nil"/>
              <w:bottom w:val="nil"/>
              <w:right w:val="nil"/>
            </w:tcBorders>
            <w:shd w:val="clear" w:color="auto" w:fill="auto"/>
            <w:noWrap/>
            <w:vAlign w:val="bottom"/>
            <w:hideMark/>
          </w:tcPr>
          <w:p w14:paraId="28F8D405" w14:textId="2A8CAB3F"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0.8 </w:t>
            </w:r>
          </w:p>
        </w:tc>
        <w:tc>
          <w:tcPr>
            <w:tcW w:w="1275" w:type="dxa"/>
            <w:tcBorders>
              <w:top w:val="nil"/>
              <w:left w:val="nil"/>
              <w:bottom w:val="nil"/>
              <w:right w:val="nil"/>
            </w:tcBorders>
            <w:shd w:val="clear" w:color="auto" w:fill="auto"/>
            <w:noWrap/>
            <w:vAlign w:val="bottom"/>
            <w:hideMark/>
          </w:tcPr>
          <w:p w14:paraId="7F58CB94"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24.9% </w:t>
            </w:r>
          </w:p>
        </w:tc>
        <w:tc>
          <w:tcPr>
            <w:tcW w:w="912" w:type="dxa"/>
            <w:tcBorders>
              <w:top w:val="nil"/>
              <w:left w:val="nil"/>
              <w:bottom w:val="nil"/>
              <w:right w:val="nil"/>
            </w:tcBorders>
            <w:shd w:val="clear" w:color="auto" w:fill="auto"/>
            <w:noWrap/>
            <w:vAlign w:val="bottom"/>
            <w:hideMark/>
          </w:tcPr>
          <w:p w14:paraId="0C86F510"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0.00% </w:t>
            </w:r>
          </w:p>
        </w:tc>
        <w:tc>
          <w:tcPr>
            <w:tcW w:w="315" w:type="dxa"/>
            <w:tcBorders>
              <w:top w:val="nil"/>
              <w:left w:val="nil"/>
              <w:bottom w:val="nil"/>
              <w:right w:val="nil"/>
            </w:tcBorders>
            <w:shd w:val="clear" w:color="000000" w:fill="FFFFFF"/>
            <w:noWrap/>
            <w:vAlign w:val="bottom"/>
            <w:hideMark/>
          </w:tcPr>
          <w:p w14:paraId="73773FA7"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40D1DC3C"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0.66</w:t>
            </w:r>
          </w:p>
        </w:tc>
        <w:tc>
          <w:tcPr>
            <w:tcW w:w="836" w:type="dxa"/>
            <w:tcBorders>
              <w:top w:val="nil"/>
              <w:left w:val="nil"/>
              <w:bottom w:val="nil"/>
              <w:right w:val="nil"/>
            </w:tcBorders>
            <w:shd w:val="clear" w:color="000000" w:fill="FFFFFF"/>
            <w:noWrap/>
            <w:vAlign w:val="bottom"/>
            <w:hideMark/>
          </w:tcPr>
          <w:p w14:paraId="4DFAB94C"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0.37</w:t>
            </w:r>
          </w:p>
        </w:tc>
        <w:tc>
          <w:tcPr>
            <w:tcW w:w="836" w:type="dxa"/>
            <w:tcBorders>
              <w:top w:val="nil"/>
              <w:left w:val="nil"/>
              <w:bottom w:val="nil"/>
              <w:right w:val="nil"/>
            </w:tcBorders>
            <w:shd w:val="clear" w:color="000000" w:fill="FFFFFF"/>
            <w:noWrap/>
            <w:vAlign w:val="bottom"/>
            <w:hideMark/>
          </w:tcPr>
          <w:p w14:paraId="26A367BC"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0.79</w:t>
            </w:r>
          </w:p>
        </w:tc>
        <w:tc>
          <w:tcPr>
            <w:tcW w:w="671" w:type="dxa"/>
            <w:tcBorders>
              <w:top w:val="nil"/>
              <w:left w:val="nil"/>
              <w:bottom w:val="nil"/>
              <w:right w:val="nil"/>
            </w:tcBorders>
            <w:shd w:val="clear" w:color="000000" w:fill="FFFFFF"/>
            <w:noWrap/>
            <w:vAlign w:val="bottom"/>
            <w:hideMark/>
          </w:tcPr>
          <w:p w14:paraId="65CF69F1"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000000" w:fill="FFFFFF"/>
            <w:noWrap/>
            <w:vAlign w:val="bottom"/>
            <w:hideMark/>
          </w:tcPr>
          <w:p w14:paraId="612029CD"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1004" w:type="dxa"/>
            <w:gridSpan w:val="2"/>
            <w:tcBorders>
              <w:top w:val="nil"/>
              <w:left w:val="nil"/>
              <w:bottom w:val="nil"/>
              <w:right w:val="nil"/>
            </w:tcBorders>
            <w:shd w:val="clear" w:color="000000" w:fill="FFFFFF"/>
            <w:noWrap/>
            <w:vAlign w:val="bottom"/>
            <w:hideMark/>
          </w:tcPr>
          <w:p w14:paraId="6C4B46D8" w14:textId="6B291166"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51%</w:t>
            </w:r>
          </w:p>
        </w:tc>
        <w:tc>
          <w:tcPr>
            <w:tcW w:w="881" w:type="dxa"/>
            <w:gridSpan w:val="2"/>
            <w:tcBorders>
              <w:top w:val="nil"/>
              <w:left w:val="nil"/>
              <w:bottom w:val="nil"/>
              <w:right w:val="nil"/>
            </w:tcBorders>
            <w:shd w:val="clear" w:color="auto" w:fill="auto"/>
            <w:noWrap/>
            <w:vAlign w:val="bottom"/>
            <w:hideMark/>
          </w:tcPr>
          <w:p w14:paraId="1EE9AD21"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7A2BE436"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hideMark/>
          </w:tcPr>
          <w:p w14:paraId="6E0ED7B1" w14:textId="6A4AF506"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20 </w:t>
            </w:r>
          </w:p>
        </w:tc>
        <w:tc>
          <w:tcPr>
            <w:tcW w:w="4015" w:type="dxa"/>
            <w:tcBorders>
              <w:top w:val="nil"/>
              <w:left w:val="nil"/>
              <w:bottom w:val="nil"/>
              <w:right w:val="nil"/>
            </w:tcBorders>
            <w:shd w:val="clear" w:color="000000" w:fill="FFFFFF"/>
            <w:noWrap/>
            <w:vAlign w:val="bottom"/>
            <w:hideMark/>
          </w:tcPr>
          <w:p w14:paraId="4A758960"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roofErr w:type="spellStart"/>
            <w:r w:rsidRPr="00801C39">
              <w:rPr>
                <w:rFonts w:ascii="Sylfaen" w:eastAsia="Times New Roman" w:hAnsi="Sylfaen" w:cs="Arial"/>
                <w:color w:val="000000"/>
                <w:sz w:val="18"/>
                <w:szCs w:val="18"/>
                <w:lang w:val="ka-GE" w:eastAsia="ka-GE"/>
              </w:rPr>
              <w:t>Telenet</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Group</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Holding</w:t>
            </w:r>
            <w:proofErr w:type="spellEnd"/>
            <w:r w:rsidRPr="00801C39">
              <w:rPr>
                <w:rFonts w:ascii="Sylfaen" w:eastAsia="Times New Roman" w:hAnsi="Sylfaen" w:cs="Arial"/>
                <w:color w:val="000000"/>
                <w:sz w:val="18"/>
                <w:szCs w:val="18"/>
                <w:lang w:val="ka-GE" w:eastAsia="ka-GE"/>
              </w:rPr>
              <w:t xml:space="preserve"> NV </w:t>
            </w:r>
          </w:p>
        </w:tc>
        <w:tc>
          <w:tcPr>
            <w:tcW w:w="1005" w:type="dxa"/>
            <w:tcBorders>
              <w:top w:val="nil"/>
              <w:left w:val="nil"/>
              <w:bottom w:val="nil"/>
              <w:right w:val="nil"/>
            </w:tcBorders>
            <w:shd w:val="clear" w:color="auto" w:fill="auto"/>
            <w:noWrap/>
            <w:vAlign w:val="bottom"/>
            <w:hideMark/>
          </w:tcPr>
          <w:p w14:paraId="1A240D41" w14:textId="1F741100"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1.1 </w:t>
            </w:r>
          </w:p>
        </w:tc>
        <w:tc>
          <w:tcPr>
            <w:tcW w:w="1275" w:type="dxa"/>
            <w:tcBorders>
              <w:top w:val="nil"/>
              <w:left w:val="nil"/>
              <w:bottom w:val="nil"/>
              <w:right w:val="nil"/>
            </w:tcBorders>
            <w:shd w:val="clear" w:color="auto" w:fill="auto"/>
            <w:noWrap/>
            <w:vAlign w:val="bottom"/>
            <w:hideMark/>
          </w:tcPr>
          <w:p w14:paraId="2242B3B9"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29.6% </w:t>
            </w:r>
          </w:p>
        </w:tc>
        <w:tc>
          <w:tcPr>
            <w:tcW w:w="912" w:type="dxa"/>
            <w:tcBorders>
              <w:top w:val="nil"/>
              <w:left w:val="nil"/>
              <w:bottom w:val="nil"/>
              <w:right w:val="nil"/>
            </w:tcBorders>
            <w:shd w:val="clear" w:color="auto" w:fill="auto"/>
            <w:noWrap/>
            <w:vAlign w:val="bottom"/>
            <w:hideMark/>
          </w:tcPr>
          <w:p w14:paraId="73F57B79"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0.00% </w:t>
            </w:r>
          </w:p>
        </w:tc>
        <w:tc>
          <w:tcPr>
            <w:tcW w:w="315" w:type="dxa"/>
            <w:tcBorders>
              <w:top w:val="nil"/>
              <w:left w:val="nil"/>
              <w:bottom w:val="nil"/>
              <w:right w:val="nil"/>
            </w:tcBorders>
            <w:shd w:val="clear" w:color="000000" w:fill="FFFFFF"/>
            <w:noWrap/>
            <w:vAlign w:val="bottom"/>
            <w:hideMark/>
          </w:tcPr>
          <w:p w14:paraId="1F20990F"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409C8AD9"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0.98</w:t>
            </w:r>
          </w:p>
        </w:tc>
        <w:tc>
          <w:tcPr>
            <w:tcW w:w="836" w:type="dxa"/>
            <w:tcBorders>
              <w:top w:val="nil"/>
              <w:left w:val="nil"/>
              <w:bottom w:val="nil"/>
              <w:right w:val="nil"/>
            </w:tcBorders>
            <w:shd w:val="clear" w:color="000000" w:fill="FFFFFF"/>
            <w:noWrap/>
            <w:vAlign w:val="bottom"/>
            <w:hideMark/>
          </w:tcPr>
          <w:p w14:paraId="50877BBA"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0.55</w:t>
            </w:r>
          </w:p>
        </w:tc>
        <w:tc>
          <w:tcPr>
            <w:tcW w:w="836" w:type="dxa"/>
            <w:tcBorders>
              <w:top w:val="nil"/>
              <w:left w:val="nil"/>
              <w:bottom w:val="nil"/>
              <w:right w:val="nil"/>
            </w:tcBorders>
            <w:shd w:val="clear" w:color="000000" w:fill="FFFFFF"/>
            <w:noWrap/>
            <w:vAlign w:val="bottom"/>
            <w:hideMark/>
          </w:tcPr>
          <w:p w14:paraId="78A260B0"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1.11</w:t>
            </w:r>
          </w:p>
        </w:tc>
        <w:tc>
          <w:tcPr>
            <w:tcW w:w="671" w:type="dxa"/>
            <w:tcBorders>
              <w:top w:val="nil"/>
              <w:left w:val="nil"/>
              <w:bottom w:val="nil"/>
              <w:right w:val="nil"/>
            </w:tcBorders>
            <w:shd w:val="clear" w:color="000000" w:fill="FFFFFF"/>
            <w:noWrap/>
            <w:vAlign w:val="bottom"/>
            <w:hideMark/>
          </w:tcPr>
          <w:p w14:paraId="08644324"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auto" w:fill="auto"/>
            <w:noWrap/>
            <w:vAlign w:val="bottom"/>
            <w:hideMark/>
          </w:tcPr>
          <w:p w14:paraId="097071A8"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c>
          <w:tcPr>
            <w:tcW w:w="1004" w:type="dxa"/>
            <w:gridSpan w:val="2"/>
            <w:tcBorders>
              <w:top w:val="nil"/>
              <w:left w:val="nil"/>
              <w:bottom w:val="nil"/>
              <w:right w:val="nil"/>
            </w:tcBorders>
            <w:shd w:val="clear" w:color="000000" w:fill="FFFFFF"/>
            <w:noWrap/>
            <w:vAlign w:val="bottom"/>
            <w:hideMark/>
          </w:tcPr>
          <w:p w14:paraId="0D4D0FFB" w14:textId="1A67F80B"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49%</w:t>
            </w:r>
          </w:p>
        </w:tc>
        <w:tc>
          <w:tcPr>
            <w:tcW w:w="881" w:type="dxa"/>
            <w:gridSpan w:val="2"/>
            <w:tcBorders>
              <w:top w:val="nil"/>
              <w:left w:val="nil"/>
              <w:bottom w:val="nil"/>
              <w:right w:val="nil"/>
            </w:tcBorders>
            <w:shd w:val="clear" w:color="auto" w:fill="auto"/>
            <w:noWrap/>
            <w:vAlign w:val="bottom"/>
            <w:hideMark/>
          </w:tcPr>
          <w:p w14:paraId="606ABEF0"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7F274C81"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hideMark/>
          </w:tcPr>
          <w:p w14:paraId="00DEE275" w14:textId="43754D4C"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21 </w:t>
            </w:r>
          </w:p>
        </w:tc>
        <w:tc>
          <w:tcPr>
            <w:tcW w:w="4015" w:type="dxa"/>
            <w:tcBorders>
              <w:top w:val="nil"/>
              <w:left w:val="nil"/>
              <w:bottom w:val="nil"/>
              <w:right w:val="nil"/>
            </w:tcBorders>
            <w:shd w:val="clear" w:color="000000" w:fill="FFFFFF"/>
            <w:noWrap/>
            <w:vAlign w:val="bottom"/>
            <w:hideMark/>
          </w:tcPr>
          <w:p w14:paraId="01A25948"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roofErr w:type="spellStart"/>
            <w:r w:rsidRPr="00801C39">
              <w:rPr>
                <w:rFonts w:ascii="Sylfaen" w:eastAsia="Times New Roman" w:hAnsi="Sylfaen" w:cs="Arial"/>
                <w:color w:val="000000"/>
                <w:sz w:val="18"/>
                <w:szCs w:val="18"/>
                <w:lang w:val="ka-GE" w:eastAsia="ka-GE"/>
              </w:rPr>
              <w:t>Elisa</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Oyj</w:t>
            </w:r>
            <w:proofErr w:type="spellEnd"/>
            <w:r w:rsidRPr="00801C39">
              <w:rPr>
                <w:rFonts w:ascii="Sylfaen" w:eastAsia="Times New Roman" w:hAnsi="Sylfaen" w:cs="Arial"/>
                <w:color w:val="000000"/>
                <w:sz w:val="18"/>
                <w:szCs w:val="18"/>
                <w:lang w:val="ka-GE" w:eastAsia="ka-GE"/>
              </w:rPr>
              <w:t xml:space="preserve"> </w:t>
            </w:r>
          </w:p>
        </w:tc>
        <w:tc>
          <w:tcPr>
            <w:tcW w:w="1005" w:type="dxa"/>
            <w:tcBorders>
              <w:top w:val="nil"/>
              <w:left w:val="nil"/>
              <w:bottom w:val="nil"/>
              <w:right w:val="nil"/>
            </w:tcBorders>
            <w:shd w:val="clear" w:color="auto" w:fill="auto"/>
            <w:noWrap/>
            <w:vAlign w:val="bottom"/>
            <w:hideMark/>
          </w:tcPr>
          <w:p w14:paraId="4C47CA2A" w14:textId="45C97910"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0.3 </w:t>
            </w:r>
          </w:p>
        </w:tc>
        <w:tc>
          <w:tcPr>
            <w:tcW w:w="1275" w:type="dxa"/>
            <w:tcBorders>
              <w:top w:val="nil"/>
              <w:left w:val="nil"/>
              <w:bottom w:val="nil"/>
              <w:right w:val="nil"/>
            </w:tcBorders>
            <w:shd w:val="clear" w:color="auto" w:fill="auto"/>
            <w:noWrap/>
            <w:vAlign w:val="bottom"/>
            <w:hideMark/>
          </w:tcPr>
          <w:p w14:paraId="663CEF9B"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0.6% </w:t>
            </w:r>
          </w:p>
        </w:tc>
        <w:tc>
          <w:tcPr>
            <w:tcW w:w="912" w:type="dxa"/>
            <w:tcBorders>
              <w:top w:val="nil"/>
              <w:left w:val="nil"/>
              <w:bottom w:val="nil"/>
              <w:right w:val="nil"/>
            </w:tcBorders>
            <w:shd w:val="clear" w:color="auto" w:fill="auto"/>
            <w:noWrap/>
            <w:vAlign w:val="bottom"/>
            <w:hideMark/>
          </w:tcPr>
          <w:p w14:paraId="4AC0F7C8"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54.30% </w:t>
            </w:r>
          </w:p>
        </w:tc>
        <w:tc>
          <w:tcPr>
            <w:tcW w:w="315" w:type="dxa"/>
            <w:tcBorders>
              <w:top w:val="nil"/>
              <w:left w:val="nil"/>
              <w:bottom w:val="nil"/>
              <w:right w:val="nil"/>
            </w:tcBorders>
            <w:shd w:val="clear" w:color="000000" w:fill="FFFFFF"/>
            <w:noWrap/>
            <w:vAlign w:val="bottom"/>
            <w:hideMark/>
          </w:tcPr>
          <w:p w14:paraId="465AEB70"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2906FC5C"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0C0C12A4"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4633E06A"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671" w:type="dxa"/>
            <w:tcBorders>
              <w:top w:val="nil"/>
              <w:left w:val="nil"/>
              <w:bottom w:val="nil"/>
              <w:right w:val="nil"/>
            </w:tcBorders>
            <w:shd w:val="clear" w:color="000000" w:fill="FFFFFF"/>
            <w:noWrap/>
            <w:vAlign w:val="bottom"/>
            <w:hideMark/>
          </w:tcPr>
          <w:p w14:paraId="4F351D3F"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auto" w:fill="auto"/>
            <w:noWrap/>
            <w:vAlign w:val="bottom"/>
            <w:hideMark/>
          </w:tcPr>
          <w:p w14:paraId="43AFD274"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c>
          <w:tcPr>
            <w:tcW w:w="1004" w:type="dxa"/>
            <w:gridSpan w:val="2"/>
            <w:tcBorders>
              <w:top w:val="nil"/>
              <w:left w:val="nil"/>
              <w:bottom w:val="nil"/>
              <w:right w:val="nil"/>
            </w:tcBorders>
            <w:shd w:val="clear" w:color="000000" w:fill="FFFFFF"/>
            <w:noWrap/>
            <w:vAlign w:val="bottom"/>
            <w:hideMark/>
          </w:tcPr>
          <w:p w14:paraId="54AB55EA" w14:textId="1D7EDD11"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1</w:t>
            </w:r>
            <w:r w:rsidRPr="002148F5">
              <w:rPr>
                <w:rFonts w:ascii="Sylfaen" w:eastAsia="Times New Roman" w:hAnsi="Sylfaen" w:cs="Arial"/>
                <w:color w:val="000000"/>
                <w:sz w:val="18"/>
                <w:szCs w:val="18"/>
                <w:lang w:val="en-GB" w:eastAsia="ka-GE"/>
              </w:rPr>
              <w:t>7</w:t>
            </w:r>
            <w:r w:rsidRPr="00801C39">
              <w:rPr>
                <w:rFonts w:ascii="Sylfaen" w:eastAsia="Times New Roman" w:hAnsi="Sylfaen" w:cs="Arial"/>
                <w:color w:val="000000"/>
                <w:sz w:val="18"/>
                <w:szCs w:val="18"/>
                <w:lang w:val="ka-GE" w:eastAsia="ka-GE"/>
              </w:rPr>
              <w:t>%</w:t>
            </w:r>
          </w:p>
        </w:tc>
        <w:tc>
          <w:tcPr>
            <w:tcW w:w="881" w:type="dxa"/>
            <w:gridSpan w:val="2"/>
            <w:tcBorders>
              <w:top w:val="nil"/>
              <w:left w:val="nil"/>
              <w:bottom w:val="nil"/>
              <w:right w:val="nil"/>
            </w:tcBorders>
            <w:shd w:val="clear" w:color="auto" w:fill="auto"/>
            <w:noWrap/>
            <w:vAlign w:val="bottom"/>
            <w:hideMark/>
          </w:tcPr>
          <w:p w14:paraId="4C0BE399"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3DE20BA9"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hideMark/>
          </w:tcPr>
          <w:p w14:paraId="21AEEE98" w14:textId="31438798"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22 </w:t>
            </w:r>
          </w:p>
        </w:tc>
        <w:tc>
          <w:tcPr>
            <w:tcW w:w="4015" w:type="dxa"/>
            <w:tcBorders>
              <w:top w:val="nil"/>
              <w:left w:val="nil"/>
              <w:bottom w:val="nil"/>
              <w:right w:val="nil"/>
            </w:tcBorders>
            <w:shd w:val="clear" w:color="000000" w:fill="FFFFFF"/>
            <w:noWrap/>
            <w:vAlign w:val="bottom"/>
            <w:hideMark/>
          </w:tcPr>
          <w:p w14:paraId="4F040F44"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roofErr w:type="spellStart"/>
            <w:r w:rsidRPr="00801C39">
              <w:rPr>
                <w:rFonts w:ascii="Sylfaen" w:eastAsia="Times New Roman" w:hAnsi="Sylfaen" w:cs="Arial"/>
                <w:color w:val="000000"/>
                <w:sz w:val="18"/>
                <w:szCs w:val="18"/>
                <w:lang w:val="ka-GE" w:eastAsia="ka-GE"/>
              </w:rPr>
              <w:t>Kabel</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Deutschland</w:t>
            </w:r>
            <w:proofErr w:type="spellEnd"/>
            <w:r w:rsidRPr="00801C39">
              <w:rPr>
                <w:rFonts w:ascii="Sylfaen" w:eastAsia="Times New Roman" w:hAnsi="Sylfaen" w:cs="Arial"/>
                <w:color w:val="000000"/>
                <w:sz w:val="18"/>
                <w:szCs w:val="18"/>
                <w:lang w:val="ka-GE" w:eastAsia="ka-GE"/>
              </w:rPr>
              <w:t xml:space="preserve"> </w:t>
            </w:r>
            <w:proofErr w:type="spellStart"/>
            <w:r w:rsidRPr="00801C39">
              <w:rPr>
                <w:rFonts w:ascii="Sylfaen" w:eastAsia="Times New Roman" w:hAnsi="Sylfaen" w:cs="Arial"/>
                <w:color w:val="000000"/>
                <w:sz w:val="18"/>
                <w:szCs w:val="18"/>
                <w:lang w:val="ka-GE" w:eastAsia="ka-GE"/>
              </w:rPr>
              <w:t>Holding</w:t>
            </w:r>
            <w:proofErr w:type="spellEnd"/>
            <w:r w:rsidRPr="00801C39">
              <w:rPr>
                <w:rFonts w:ascii="Sylfaen" w:eastAsia="Times New Roman" w:hAnsi="Sylfaen" w:cs="Arial"/>
                <w:color w:val="000000"/>
                <w:sz w:val="18"/>
                <w:szCs w:val="18"/>
                <w:lang w:val="ka-GE" w:eastAsia="ka-GE"/>
              </w:rPr>
              <w:t xml:space="preserve"> AG </w:t>
            </w:r>
          </w:p>
        </w:tc>
        <w:tc>
          <w:tcPr>
            <w:tcW w:w="1005" w:type="dxa"/>
            <w:tcBorders>
              <w:top w:val="nil"/>
              <w:left w:val="nil"/>
              <w:bottom w:val="nil"/>
              <w:right w:val="nil"/>
            </w:tcBorders>
            <w:shd w:val="clear" w:color="auto" w:fill="auto"/>
            <w:noWrap/>
            <w:vAlign w:val="bottom"/>
            <w:hideMark/>
          </w:tcPr>
          <w:p w14:paraId="69CA7992" w14:textId="209B462F"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0.4 </w:t>
            </w:r>
          </w:p>
        </w:tc>
        <w:tc>
          <w:tcPr>
            <w:tcW w:w="1275" w:type="dxa"/>
            <w:tcBorders>
              <w:top w:val="nil"/>
              <w:left w:val="nil"/>
              <w:bottom w:val="nil"/>
              <w:right w:val="nil"/>
            </w:tcBorders>
            <w:shd w:val="clear" w:color="auto" w:fill="auto"/>
            <w:noWrap/>
            <w:vAlign w:val="bottom"/>
            <w:hideMark/>
          </w:tcPr>
          <w:p w14:paraId="71A1D1CD"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2.4% </w:t>
            </w:r>
          </w:p>
        </w:tc>
        <w:tc>
          <w:tcPr>
            <w:tcW w:w="912" w:type="dxa"/>
            <w:tcBorders>
              <w:top w:val="nil"/>
              <w:left w:val="nil"/>
              <w:bottom w:val="nil"/>
              <w:right w:val="nil"/>
            </w:tcBorders>
            <w:shd w:val="clear" w:color="auto" w:fill="auto"/>
            <w:noWrap/>
            <w:vAlign w:val="bottom"/>
            <w:hideMark/>
          </w:tcPr>
          <w:p w14:paraId="67FAAC91"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26.22% </w:t>
            </w:r>
          </w:p>
        </w:tc>
        <w:tc>
          <w:tcPr>
            <w:tcW w:w="315" w:type="dxa"/>
            <w:tcBorders>
              <w:top w:val="nil"/>
              <w:left w:val="nil"/>
              <w:bottom w:val="nil"/>
              <w:right w:val="nil"/>
            </w:tcBorders>
            <w:shd w:val="clear" w:color="000000" w:fill="FFFFFF"/>
            <w:noWrap/>
            <w:vAlign w:val="bottom"/>
            <w:hideMark/>
          </w:tcPr>
          <w:p w14:paraId="24554885"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76CBDC85"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05D7E217"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460944ED"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671" w:type="dxa"/>
            <w:tcBorders>
              <w:top w:val="nil"/>
              <w:left w:val="nil"/>
              <w:bottom w:val="nil"/>
              <w:right w:val="nil"/>
            </w:tcBorders>
            <w:shd w:val="clear" w:color="000000" w:fill="FFFFFF"/>
            <w:noWrap/>
            <w:vAlign w:val="bottom"/>
            <w:hideMark/>
          </w:tcPr>
          <w:p w14:paraId="6CA61741"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auto" w:fill="auto"/>
            <w:noWrap/>
            <w:vAlign w:val="bottom"/>
            <w:hideMark/>
          </w:tcPr>
          <w:p w14:paraId="3AD70CAE"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c>
          <w:tcPr>
            <w:tcW w:w="1004" w:type="dxa"/>
            <w:gridSpan w:val="2"/>
            <w:tcBorders>
              <w:top w:val="nil"/>
              <w:left w:val="nil"/>
              <w:bottom w:val="nil"/>
              <w:right w:val="nil"/>
            </w:tcBorders>
            <w:shd w:val="clear" w:color="000000" w:fill="FFFFFF"/>
            <w:noWrap/>
            <w:vAlign w:val="bottom"/>
            <w:hideMark/>
          </w:tcPr>
          <w:p w14:paraId="6AE70829" w14:textId="5ECEEB92"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2</w:t>
            </w:r>
            <w:r w:rsidRPr="002148F5">
              <w:rPr>
                <w:rFonts w:ascii="Sylfaen" w:eastAsia="Times New Roman" w:hAnsi="Sylfaen" w:cs="Arial"/>
                <w:color w:val="000000"/>
                <w:sz w:val="18"/>
                <w:szCs w:val="18"/>
                <w:lang w:val="en-GB" w:eastAsia="ka-GE"/>
              </w:rPr>
              <w:t>1</w:t>
            </w:r>
            <w:r w:rsidRPr="00801C39">
              <w:rPr>
                <w:rFonts w:ascii="Sylfaen" w:eastAsia="Times New Roman" w:hAnsi="Sylfaen" w:cs="Arial"/>
                <w:color w:val="000000"/>
                <w:sz w:val="18"/>
                <w:szCs w:val="18"/>
                <w:lang w:val="ka-GE" w:eastAsia="ka-GE"/>
              </w:rPr>
              <w:t>%</w:t>
            </w:r>
          </w:p>
        </w:tc>
        <w:tc>
          <w:tcPr>
            <w:tcW w:w="881" w:type="dxa"/>
            <w:gridSpan w:val="2"/>
            <w:tcBorders>
              <w:top w:val="nil"/>
              <w:left w:val="nil"/>
              <w:bottom w:val="nil"/>
              <w:right w:val="nil"/>
            </w:tcBorders>
            <w:shd w:val="clear" w:color="auto" w:fill="auto"/>
            <w:noWrap/>
            <w:vAlign w:val="bottom"/>
            <w:hideMark/>
          </w:tcPr>
          <w:p w14:paraId="3C30F98B"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70E0B9C7"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hideMark/>
          </w:tcPr>
          <w:p w14:paraId="23E614C8" w14:textId="31408EB1"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23 </w:t>
            </w:r>
          </w:p>
        </w:tc>
        <w:tc>
          <w:tcPr>
            <w:tcW w:w="4015" w:type="dxa"/>
            <w:tcBorders>
              <w:top w:val="nil"/>
              <w:left w:val="nil"/>
              <w:bottom w:val="nil"/>
              <w:right w:val="nil"/>
            </w:tcBorders>
            <w:shd w:val="clear" w:color="000000" w:fill="FFFFFF"/>
            <w:noWrap/>
            <w:vAlign w:val="bottom"/>
            <w:hideMark/>
          </w:tcPr>
          <w:p w14:paraId="4CB813F2"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roofErr w:type="spellStart"/>
            <w:r w:rsidRPr="00801C39">
              <w:rPr>
                <w:rFonts w:ascii="Sylfaen" w:eastAsia="Times New Roman" w:hAnsi="Sylfaen" w:cs="Arial"/>
                <w:color w:val="000000"/>
                <w:sz w:val="18"/>
                <w:szCs w:val="18"/>
                <w:lang w:val="ka-GE" w:eastAsia="ka-GE"/>
              </w:rPr>
              <w:t>Telenor</w:t>
            </w:r>
            <w:proofErr w:type="spellEnd"/>
            <w:r w:rsidRPr="00801C39">
              <w:rPr>
                <w:rFonts w:ascii="Sylfaen" w:eastAsia="Times New Roman" w:hAnsi="Sylfaen" w:cs="Arial"/>
                <w:color w:val="000000"/>
                <w:sz w:val="18"/>
                <w:szCs w:val="18"/>
                <w:lang w:val="ka-GE" w:eastAsia="ka-GE"/>
              </w:rPr>
              <w:t xml:space="preserve"> ASA </w:t>
            </w:r>
          </w:p>
        </w:tc>
        <w:tc>
          <w:tcPr>
            <w:tcW w:w="1005" w:type="dxa"/>
            <w:tcBorders>
              <w:top w:val="nil"/>
              <w:left w:val="nil"/>
              <w:bottom w:val="nil"/>
              <w:right w:val="nil"/>
            </w:tcBorders>
            <w:shd w:val="clear" w:color="auto" w:fill="auto"/>
            <w:noWrap/>
            <w:vAlign w:val="bottom"/>
            <w:hideMark/>
          </w:tcPr>
          <w:p w14:paraId="4CE21C35" w14:textId="35930EC3"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0.6 </w:t>
            </w:r>
          </w:p>
        </w:tc>
        <w:tc>
          <w:tcPr>
            <w:tcW w:w="1275" w:type="dxa"/>
            <w:tcBorders>
              <w:top w:val="nil"/>
              <w:left w:val="nil"/>
              <w:bottom w:val="nil"/>
              <w:right w:val="nil"/>
            </w:tcBorders>
            <w:shd w:val="clear" w:color="auto" w:fill="auto"/>
            <w:noWrap/>
            <w:vAlign w:val="bottom"/>
            <w:hideMark/>
          </w:tcPr>
          <w:p w14:paraId="35E33D30"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10.5% </w:t>
            </w:r>
          </w:p>
        </w:tc>
        <w:tc>
          <w:tcPr>
            <w:tcW w:w="912" w:type="dxa"/>
            <w:tcBorders>
              <w:top w:val="nil"/>
              <w:left w:val="nil"/>
              <w:bottom w:val="nil"/>
              <w:right w:val="nil"/>
            </w:tcBorders>
            <w:shd w:val="clear" w:color="auto" w:fill="auto"/>
            <w:noWrap/>
            <w:vAlign w:val="bottom"/>
            <w:hideMark/>
          </w:tcPr>
          <w:p w14:paraId="69AF2AD5"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1.14% </w:t>
            </w:r>
          </w:p>
        </w:tc>
        <w:tc>
          <w:tcPr>
            <w:tcW w:w="315" w:type="dxa"/>
            <w:tcBorders>
              <w:top w:val="nil"/>
              <w:left w:val="nil"/>
              <w:bottom w:val="nil"/>
              <w:right w:val="nil"/>
            </w:tcBorders>
            <w:shd w:val="clear" w:color="000000" w:fill="FFFFFF"/>
            <w:noWrap/>
            <w:vAlign w:val="bottom"/>
            <w:hideMark/>
          </w:tcPr>
          <w:p w14:paraId="474DE565"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12663F71"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0.72</w:t>
            </w:r>
          </w:p>
        </w:tc>
        <w:tc>
          <w:tcPr>
            <w:tcW w:w="836" w:type="dxa"/>
            <w:tcBorders>
              <w:top w:val="nil"/>
              <w:left w:val="nil"/>
              <w:bottom w:val="nil"/>
              <w:right w:val="nil"/>
            </w:tcBorders>
            <w:shd w:val="clear" w:color="000000" w:fill="FFFFFF"/>
            <w:noWrap/>
            <w:vAlign w:val="bottom"/>
            <w:hideMark/>
          </w:tcPr>
          <w:p w14:paraId="779C9ACE"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0.40</w:t>
            </w:r>
          </w:p>
        </w:tc>
        <w:tc>
          <w:tcPr>
            <w:tcW w:w="836" w:type="dxa"/>
            <w:tcBorders>
              <w:top w:val="nil"/>
              <w:left w:val="nil"/>
              <w:bottom w:val="nil"/>
              <w:right w:val="nil"/>
            </w:tcBorders>
            <w:shd w:val="clear" w:color="000000" w:fill="FFFFFF"/>
            <w:noWrap/>
            <w:vAlign w:val="bottom"/>
            <w:hideMark/>
          </w:tcPr>
          <w:p w14:paraId="4DEBB8FC"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0.59</w:t>
            </w:r>
          </w:p>
        </w:tc>
        <w:tc>
          <w:tcPr>
            <w:tcW w:w="671" w:type="dxa"/>
            <w:tcBorders>
              <w:top w:val="nil"/>
              <w:left w:val="nil"/>
              <w:bottom w:val="nil"/>
              <w:right w:val="nil"/>
            </w:tcBorders>
            <w:shd w:val="clear" w:color="000000" w:fill="FFFFFF"/>
            <w:noWrap/>
            <w:vAlign w:val="bottom"/>
            <w:hideMark/>
          </w:tcPr>
          <w:p w14:paraId="672487F7"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auto" w:fill="auto"/>
            <w:noWrap/>
            <w:vAlign w:val="bottom"/>
            <w:hideMark/>
          </w:tcPr>
          <w:p w14:paraId="7F81088F"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c>
          <w:tcPr>
            <w:tcW w:w="1004" w:type="dxa"/>
            <w:gridSpan w:val="2"/>
            <w:tcBorders>
              <w:top w:val="nil"/>
              <w:left w:val="nil"/>
              <w:bottom w:val="nil"/>
              <w:right w:val="nil"/>
            </w:tcBorders>
            <w:shd w:val="clear" w:color="000000" w:fill="FFFFFF"/>
            <w:noWrap/>
            <w:vAlign w:val="bottom"/>
            <w:hideMark/>
          </w:tcPr>
          <w:p w14:paraId="3DD40088" w14:textId="5F1FC0A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3</w:t>
            </w:r>
            <w:r w:rsidRPr="002148F5">
              <w:rPr>
                <w:rFonts w:ascii="Sylfaen" w:eastAsia="Times New Roman" w:hAnsi="Sylfaen" w:cs="Arial"/>
                <w:color w:val="000000"/>
                <w:sz w:val="18"/>
                <w:szCs w:val="18"/>
                <w:lang w:val="en-GB" w:eastAsia="ka-GE"/>
              </w:rPr>
              <w:t>1</w:t>
            </w:r>
            <w:r w:rsidRPr="00801C39">
              <w:rPr>
                <w:rFonts w:ascii="Sylfaen" w:eastAsia="Times New Roman" w:hAnsi="Sylfaen" w:cs="Arial"/>
                <w:color w:val="000000"/>
                <w:sz w:val="18"/>
                <w:szCs w:val="18"/>
                <w:lang w:val="ka-GE" w:eastAsia="ka-GE"/>
              </w:rPr>
              <w:t>%</w:t>
            </w:r>
          </w:p>
        </w:tc>
        <w:tc>
          <w:tcPr>
            <w:tcW w:w="881" w:type="dxa"/>
            <w:gridSpan w:val="2"/>
            <w:tcBorders>
              <w:top w:val="nil"/>
              <w:left w:val="nil"/>
              <w:bottom w:val="nil"/>
              <w:right w:val="nil"/>
            </w:tcBorders>
            <w:shd w:val="clear" w:color="auto" w:fill="auto"/>
            <w:noWrap/>
            <w:vAlign w:val="bottom"/>
            <w:hideMark/>
          </w:tcPr>
          <w:p w14:paraId="092523F2"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25166045"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hideMark/>
          </w:tcPr>
          <w:p w14:paraId="7843F057" w14:textId="405D7859"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24 </w:t>
            </w:r>
          </w:p>
        </w:tc>
        <w:tc>
          <w:tcPr>
            <w:tcW w:w="4015" w:type="dxa"/>
            <w:tcBorders>
              <w:top w:val="nil"/>
              <w:left w:val="nil"/>
              <w:bottom w:val="nil"/>
              <w:right w:val="nil"/>
            </w:tcBorders>
            <w:shd w:val="clear" w:color="000000" w:fill="FFFFFF"/>
            <w:noWrap/>
            <w:vAlign w:val="bottom"/>
            <w:hideMark/>
          </w:tcPr>
          <w:p w14:paraId="61682CEB"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NOS, S.G.P.S., S.A. </w:t>
            </w:r>
          </w:p>
        </w:tc>
        <w:tc>
          <w:tcPr>
            <w:tcW w:w="1005" w:type="dxa"/>
            <w:tcBorders>
              <w:top w:val="nil"/>
              <w:left w:val="nil"/>
              <w:bottom w:val="nil"/>
              <w:right w:val="nil"/>
            </w:tcBorders>
            <w:shd w:val="clear" w:color="auto" w:fill="auto"/>
            <w:noWrap/>
            <w:vAlign w:val="bottom"/>
            <w:hideMark/>
          </w:tcPr>
          <w:p w14:paraId="74902230" w14:textId="7CAAEA30"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0.9 </w:t>
            </w:r>
          </w:p>
        </w:tc>
        <w:tc>
          <w:tcPr>
            <w:tcW w:w="1275" w:type="dxa"/>
            <w:tcBorders>
              <w:top w:val="nil"/>
              <w:left w:val="nil"/>
              <w:bottom w:val="nil"/>
              <w:right w:val="nil"/>
            </w:tcBorders>
            <w:shd w:val="clear" w:color="auto" w:fill="auto"/>
            <w:noWrap/>
            <w:vAlign w:val="bottom"/>
            <w:hideMark/>
          </w:tcPr>
          <w:p w14:paraId="3AFD9BCF"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21.6% </w:t>
            </w:r>
          </w:p>
        </w:tc>
        <w:tc>
          <w:tcPr>
            <w:tcW w:w="912" w:type="dxa"/>
            <w:tcBorders>
              <w:top w:val="nil"/>
              <w:left w:val="nil"/>
              <w:bottom w:val="nil"/>
              <w:right w:val="nil"/>
            </w:tcBorders>
            <w:shd w:val="clear" w:color="auto" w:fill="auto"/>
            <w:noWrap/>
            <w:vAlign w:val="bottom"/>
            <w:hideMark/>
          </w:tcPr>
          <w:p w14:paraId="2E4F262C"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0.02% </w:t>
            </w:r>
          </w:p>
        </w:tc>
        <w:tc>
          <w:tcPr>
            <w:tcW w:w="315" w:type="dxa"/>
            <w:tcBorders>
              <w:top w:val="nil"/>
              <w:left w:val="nil"/>
              <w:bottom w:val="nil"/>
              <w:right w:val="nil"/>
            </w:tcBorders>
            <w:shd w:val="clear" w:color="000000" w:fill="FFFFFF"/>
            <w:noWrap/>
            <w:vAlign w:val="bottom"/>
            <w:hideMark/>
          </w:tcPr>
          <w:p w14:paraId="7791A634"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29A20C82"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1.09</w:t>
            </w:r>
          </w:p>
        </w:tc>
        <w:tc>
          <w:tcPr>
            <w:tcW w:w="836" w:type="dxa"/>
            <w:tcBorders>
              <w:top w:val="nil"/>
              <w:left w:val="nil"/>
              <w:bottom w:val="nil"/>
              <w:right w:val="nil"/>
            </w:tcBorders>
            <w:shd w:val="clear" w:color="000000" w:fill="FFFFFF"/>
            <w:noWrap/>
            <w:vAlign w:val="bottom"/>
            <w:hideMark/>
          </w:tcPr>
          <w:p w14:paraId="48C69531"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0.61</w:t>
            </w:r>
          </w:p>
        </w:tc>
        <w:tc>
          <w:tcPr>
            <w:tcW w:w="836" w:type="dxa"/>
            <w:tcBorders>
              <w:top w:val="nil"/>
              <w:left w:val="nil"/>
              <w:bottom w:val="nil"/>
              <w:right w:val="nil"/>
            </w:tcBorders>
            <w:shd w:val="clear" w:color="000000" w:fill="FFFFFF"/>
            <w:noWrap/>
            <w:vAlign w:val="bottom"/>
            <w:hideMark/>
          </w:tcPr>
          <w:p w14:paraId="05565AF6"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0.91</w:t>
            </w:r>
          </w:p>
        </w:tc>
        <w:tc>
          <w:tcPr>
            <w:tcW w:w="671" w:type="dxa"/>
            <w:tcBorders>
              <w:top w:val="nil"/>
              <w:left w:val="nil"/>
              <w:bottom w:val="nil"/>
              <w:right w:val="nil"/>
            </w:tcBorders>
            <w:shd w:val="clear" w:color="000000" w:fill="FFFFFF"/>
            <w:noWrap/>
            <w:vAlign w:val="bottom"/>
            <w:hideMark/>
          </w:tcPr>
          <w:p w14:paraId="5CEC40E5"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auto" w:fill="auto"/>
            <w:noWrap/>
            <w:vAlign w:val="bottom"/>
            <w:hideMark/>
          </w:tcPr>
          <w:p w14:paraId="6E826D80"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c>
          <w:tcPr>
            <w:tcW w:w="1004" w:type="dxa"/>
            <w:gridSpan w:val="2"/>
            <w:tcBorders>
              <w:top w:val="nil"/>
              <w:left w:val="nil"/>
              <w:bottom w:val="nil"/>
              <w:right w:val="nil"/>
            </w:tcBorders>
            <w:shd w:val="clear" w:color="000000" w:fill="FFFFFF"/>
            <w:noWrap/>
            <w:vAlign w:val="bottom"/>
            <w:hideMark/>
          </w:tcPr>
          <w:p w14:paraId="6B15FA6E" w14:textId="18FD6E75"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3</w:t>
            </w:r>
            <w:r w:rsidRPr="002148F5">
              <w:rPr>
                <w:rFonts w:ascii="Sylfaen" w:eastAsia="Times New Roman" w:hAnsi="Sylfaen" w:cs="Arial"/>
                <w:color w:val="000000"/>
                <w:sz w:val="18"/>
                <w:szCs w:val="18"/>
                <w:lang w:val="en-GB" w:eastAsia="ka-GE"/>
              </w:rPr>
              <w:t>3</w:t>
            </w:r>
            <w:r w:rsidRPr="00801C39">
              <w:rPr>
                <w:rFonts w:ascii="Sylfaen" w:eastAsia="Times New Roman" w:hAnsi="Sylfaen" w:cs="Arial"/>
                <w:color w:val="000000"/>
                <w:sz w:val="18"/>
                <w:szCs w:val="18"/>
                <w:lang w:val="ka-GE" w:eastAsia="ka-GE"/>
              </w:rPr>
              <w:t>%</w:t>
            </w:r>
          </w:p>
        </w:tc>
        <w:tc>
          <w:tcPr>
            <w:tcW w:w="881" w:type="dxa"/>
            <w:gridSpan w:val="2"/>
            <w:tcBorders>
              <w:top w:val="nil"/>
              <w:left w:val="nil"/>
              <w:bottom w:val="nil"/>
              <w:right w:val="nil"/>
            </w:tcBorders>
            <w:shd w:val="clear" w:color="auto" w:fill="auto"/>
            <w:noWrap/>
            <w:vAlign w:val="bottom"/>
            <w:hideMark/>
          </w:tcPr>
          <w:p w14:paraId="453533F0"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326E2FDD" w14:textId="77777777" w:rsidTr="0062518D">
        <w:trPr>
          <w:gridAfter w:val="1"/>
          <w:wAfter w:w="237" w:type="dxa"/>
          <w:trHeight w:val="234"/>
        </w:trPr>
        <w:tc>
          <w:tcPr>
            <w:tcW w:w="500" w:type="dxa"/>
            <w:tcBorders>
              <w:top w:val="nil"/>
              <w:left w:val="nil"/>
              <w:bottom w:val="nil"/>
              <w:right w:val="nil"/>
            </w:tcBorders>
            <w:shd w:val="clear" w:color="000000" w:fill="FFFFFF"/>
            <w:noWrap/>
            <w:vAlign w:val="bottom"/>
            <w:hideMark/>
          </w:tcPr>
          <w:p w14:paraId="667807FD" w14:textId="79E8507C"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2148F5">
              <w:rPr>
                <w:rFonts w:ascii="Sylfaen" w:eastAsia="Times New Roman" w:hAnsi="Sylfaen" w:cs="Arial"/>
                <w:color w:val="000000"/>
                <w:sz w:val="18"/>
                <w:szCs w:val="18"/>
                <w:lang w:val="ka-GE" w:eastAsia="ka-GE"/>
              </w:rPr>
              <w:t>25</w:t>
            </w:r>
            <w:r w:rsidRPr="00801C39">
              <w:rPr>
                <w:rFonts w:ascii="Sylfaen" w:eastAsia="Times New Roman" w:hAnsi="Sylfaen" w:cs="Arial"/>
                <w:color w:val="000000"/>
                <w:sz w:val="18"/>
                <w:szCs w:val="18"/>
                <w:lang w:val="ka-GE" w:eastAsia="ka-GE"/>
              </w:rPr>
              <w:t xml:space="preserve"> </w:t>
            </w:r>
          </w:p>
        </w:tc>
        <w:tc>
          <w:tcPr>
            <w:tcW w:w="4015" w:type="dxa"/>
            <w:tcBorders>
              <w:top w:val="nil"/>
              <w:left w:val="nil"/>
              <w:bottom w:val="nil"/>
              <w:right w:val="nil"/>
            </w:tcBorders>
            <w:shd w:val="clear" w:color="000000" w:fill="FFFFFF"/>
            <w:noWrap/>
            <w:vAlign w:val="bottom"/>
            <w:hideMark/>
          </w:tcPr>
          <w:p w14:paraId="25D75558"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Tele2 AB (</w:t>
            </w:r>
            <w:proofErr w:type="spellStart"/>
            <w:r w:rsidRPr="00801C39">
              <w:rPr>
                <w:rFonts w:ascii="Sylfaen" w:eastAsia="Times New Roman" w:hAnsi="Sylfaen" w:cs="Arial"/>
                <w:color w:val="000000"/>
                <w:sz w:val="18"/>
                <w:szCs w:val="18"/>
                <w:lang w:val="ka-GE" w:eastAsia="ka-GE"/>
              </w:rPr>
              <w:t>publ</w:t>
            </w:r>
            <w:proofErr w:type="spellEnd"/>
            <w:r w:rsidRPr="00801C39">
              <w:rPr>
                <w:rFonts w:ascii="Sylfaen" w:eastAsia="Times New Roman" w:hAnsi="Sylfaen" w:cs="Arial"/>
                <w:color w:val="000000"/>
                <w:sz w:val="18"/>
                <w:szCs w:val="18"/>
                <w:lang w:val="ka-GE" w:eastAsia="ka-GE"/>
              </w:rPr>
              <w:t xml:space="preserve">) </w:t>
            </w:r>
          </w:p>
        </w:tc>
        <w:tc>
          <w:tcPr>
            <w:tcW w:w="1005" w:type="dxa"/>
            <w:tcBorders>
              <w:top w:val="nil"/>
              <w:left w:val="nil"/>
              <w:bottom w:val="nil"/>
              <w:right w:val="nil"/>
            </w:tcBorders>
            <w:shd w:val="clear" w:color="auto" w:fill="auto"/>
            <w:noWrap/>
            <w:vAlign w:val="bottom"/>
            <w:hideMark/>
          </w:tcPr>
          <w:p w14:paraId="50F1E20A" w14:textId="5241991A"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0.6 </w:t>
            </w:r>
          </w:p>
        </w:tc>
        <w:tc>
          <w:tcPr>
            <w:tcW w:w="1275" w:type="dxa"/>
            <w:tcBorders>
              <w:top w:val="nil"/>
              <w:left w:val="nil"/>
              <w:bottom w:val="nil"/>
              <w:right w:val="nil"/>
            </w:tcBorders>
            <w:shd w:val="clear" w:color="auto" w:fill="auto"/>
            <w:noWrap/>
            <w:vAlign w:val="bottom"/>
            <w:hideMark/>
          </w:tcPr>
          <w:p w14:paraId="53635731"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8.2% </w:t>
            </w:r>
          </w:p>
        </w:tc>
        <w:tc>
          <w:tcPr>
            <w:tcW w:w="912" w:type="dxa"/>
            <w:tcBorders>
              <w:top w:val="nil"/>
              <w:left w:val="nil"/>
              <w:bottom w:val="nil"/>
              <w:right w:val="nil"/>
            </w:tcBorders>
            <w:shd w:val="clear" w:color="auto" w:fill="auto"/>
            <w:noWrap/>
            <w:vAlign w:val="bottom"/>
            <w:hideMark/>
          </w:tcPr>
          <w:p w14:paraId="2514E1EC"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xml:space="preserve">2.69% </w:t>
            </w:r>
          </w:p>
        </w:tc>
        <w:tc>
          <w:tcPr>
            <w:tcW w:w="315" w:type="dxa"/>
            <w:tcBorders>
              <w:top w:val="nil"/>
              <w:left w:val="nil"/>
              <w:bottom w:val="nil"/>
              <w:right w:val="nil"/>
            </w:tcBorders>
            <w:shd w:val="clear" w:color="000000" w:fill="FFFFFF"/>
            <w:noWrap/>
            <w:vAlign w:val="bottom"/>
            <w:hideMark/>
          </w:tcPr>
          <w:p w14:paraId="06B7C697"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nil"/>
              <w:right w:val="nil"/>
            </w:tcBorders>
            <w:shd w:val="clear" w:color="000000" w:fill="FFFFFF"/>
            <w:noWrap/>
            <w:vAlign w:val="bottom"/>
            <w:hideMark/>
          </w:tcPr>
          <w:p w14:paraId="534A5463"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65944962"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nil"/>
              <w:right w:val="nil"/>
            </w:tcBorders>
            <w:shd w:val="clear" w:color="000000" w:fill="FFFFFF"/>
            <w:noWrap/>
            <w:vAlign w:val="bottom"/>
            <w:hideMark/>
          </w:tcPr>
          <w:p w14:paraId="04D01244"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671" w:type="dxa"/>
            <w:tcBorders>
              <w:top w:val="nil"/>
              <w:left w:val="nil"/>
              <w:bottom w:val="nil"/>
              <w:right w:val="nil"/>
            </w:tcBorders>
            <w:shd w:val="clear" w:color="000000" w:fill="FFFFFF"/>
            <w:noWrap/>
            <w:vAlign w:val="bottom"/>
            <w:hideMark/>
          </w:tcPr>
          <w:p w14:paraId="3D597021"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nil"/>
              <w:right w:val="nil"/>
            </w:tcBorders>
            <w:shd w:val="clear" w:color="auto" w:fill="auto"/>
            <w:noWrap/>
            <w:vAlign w:val="bottom"/>
            <w:hideMark/>
          </w:tcPr>
          <w:p w14:paraId="2B2F6906"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c>
          <w:tcPr>
            <w:tcW w:w="1004" w:type="dxa"/>
            <w:gridSpan w:val="2"/>
            <w:tcBorders>
              <w:top w:val="nil"/>
              <w:left w:val="nil"/>
              <w:bottom w:val="nil"/>
              <w:right w:val="nil"/>
            </w:tcBorders>
            <w:shd w:val="clear" w:color="000000" w:fill="FFFFFF"/>
            <w:noWrap/>
            <w:vAlign w:val="bottom"/>
            <w:hideMark/>
          </w:tcPr>
          <w:p w14:paraId="51AD3619" w14:textId="67B8AB1D"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24%</w:t>
            </w:r>
          </w:p>
        </w:tc>
        <w:tc>
          <w:tcPr>
            <w:tcW w:w="881" w:type="dxa"/>
            <w:gridSpan w:val="2"/>
            <w:tcBorders>
              <w:top w:val="nil"/>
              <w:left w:val="nil"/>
              <w:bottom w:val="nil"/>
              <w:right w:val="nil"/>
            </w:tcBorders>
            <w:shd w:val="clear" w:color="auto" w:fill="auto"/>
            <w:noWrap/>
            <w:vAlign w:val="bottom"/>
            <w:hideMark/>
          </w:tcPr>
          <w:p w14:paraId="7D01357E" w14:textId="77777777" w:rsidR="0062518D" w:rsidRPr="00801C39" w:rsidRDefault="0062518D" w:rsidP="00646F3A">
            <w:pPr>
              <w:spacing w:after="0" w:line="240" w:lineRule="auto"/>
              <w:jc w:val="right"/>
              <w:rPr>
                <w:rFonts w:ascii="Sylfaen" w:eastAsia="Times New Roman" w:hAnsi="Sylfaen" w:cs="Arial"/>
                <w:color w:val="000000"/>
                <w:sz w:val="18"/>
                <w:szCs w:val="18"/>
                <w:lang w:val="ka-GE" w:eastAsia="ka-GE"/>
              </w:rPr>
            </w:pPr>
          </w:p>
        </w:tc>
      </w:tr>
      <w:tr w:rsidR="0062518D" w:rsidRPr="002148F5" w14:paraId="446AE7AF" w14:textId="77777777" w:rsidTr="0062518D">
        <w:trPr>
          <w:gridAfter w:val="1"/>
          <w:wAfter w:w="237" w:type="dxa"/>
          <w:trHeight w:val="234"/>
        </w:trPr>
        <w:tc>
          <w:tcPr>
            <w:tcW w:w="500" w:type="dxa"/>
            <w:tcBorders>
              <w:top w:val="nil"/>
              <w:left w:val="nil"/>
              <w:bottom w:val="single" w:sz="4" w:space="0" w:color="7D7D7D"/>
              <w:right w:val="nil"/>
            </w:tcBorders>
            <w:shd w:val="clear" w:color="auto" w:fill="auto"/>
            <w:noWrap/>
            <w:vAlign w:val="bottom"/>
            <w:hideMark/>
          </w:tcPr>
          <w:p w14:paraId="482F0C53"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4015" w:type="dxa"/>
            <w:tcBorders>
              <w:top w:val="nil"/>
              <w:left w:val="nil"/>
              <w:bottom w:val="single" w:sz="4" w:space="0" w:color="7D7D7D"/>
              <w:right w:val="nil"/>
            </w:tcBorders>
            <w:shd w:val="clear" w:color="auto" w:fill="auto"/>
            <w:noWrap/>
            <w:vAlign w:val="bottom"/>
            <w:hideMark/>
          </w:tcPr>
          <w:p w14:paraId="4FF89A3A"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1005" w:type="dxa"/>
            <w:tcBorders>
              <w:top w:val="nil"/>
              <w:left w:val="nil"/>
              <w:bottom w:val="single" w:sz="4" w:space="0" w:color="7D7D7D"/>
              <w:right w:val="nil"/>
            </w:tcBorders>
            <w:shd w:val="clear" w:color="auto" w:fill="auto"/>
            <w:noWrap/>
            <w:vAlign w:val="bottom"/>
            <w:hideMark/>
          </w:tcPr>
          <w:p w14:paraId="0F418741"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1275" w:type="dxa"/>
            <w:tcBorders>
              <w:top w:val="nil"/>
              <w:left w:val="nil"/>
              <w:bottom w:val="single" w:sz="4" w:space="0" w:color="7D7D7D"/>
              <w:right w:val="nil"/>
            </w:tcBorders>
            <w:shd w:val="clear" w:color="auto" w:fill="auto"/>
            <w:noWrap/>
            <w:vAlign w:val="bottom"/>
            <w:hideMark/>
          </w:tcPr>
          <w:p w14:paraId="5A43B9BA"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912" w:type="dxa"/>
            <w:tcBorders>
              <w:top w:val="nil"/>
              <w:left w:val="nil"/>
              <w:bottom w:val="single" w:sz="4" w:space="0" w:color="7D7D7D"/>
              <w:right w:val="nil"/>
            </w:tcBorders>
            <w:shd w:val="clear" w:color="auto" w:fill="auto"/>
            <w:noWrap/>
            <w:vAlign w:val="bottom"/>
            <w:hideMark/>
          </w:tcPr>
          <w:p w14:paraId="7338F021"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315" w:type="dxa"/>
            <w:tcBorders>
              <w:top w:val="nil"/>
              <w:left w:val="nil"/>
              <w:bottom w:val="single" w:sz="4" w:space="0" w:color="7D7D7D"/>
              <w:right w:val="nil"/>
            </w:tcBorders>
            <w:shd w:val="clear" w:color="auto" w:fill="auto"/>
            <w:noWrap/>
            <w:vAlign w:val="bottom"/>
            <w:hideMark/>
          </w:tcPr>
          <w:p w14:paraId="2B35C5E1"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06" w:type="dxa"/>
            <w:tcBorders>
              <w:top w:val="nil"/>
              <w:left w:val="nil"/>
              <w:bottom w:val="single" w:sz="4" w:space="0" w:color="7D7D7D"/>
              <w:right w:val="nil"/>
            </w:tcBorders>
            <w:shd w:val="clear" w:color="auto" w:fill="auto"/>
            <w:noWrap/>
            <w:vAlign w:val="bottom"/>
            <w:hideMark/>
          </w:tcPr>
          <w:p w14:paraId="48F5002F"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single" w:sz="4" w:space="0" w:color="7D7D7D"/>
              <w:right w:val="nil"/>
            </w:tcBorders>
            <w:shd w:val="clear" w:color="auto" w:fill="auto"/>
            <w:noWrap/>
            <w:vAlign w:val="bottom"/>
            <w:hideMark/>
          </w:tcPr>
          <w:p w14:paraId="7A14F4CB"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36" w:type="dxa"/>
            <w:tcBorders>
              <w:top w:val="nil"/>
              <w:left w:val="nil"/>
              <w:bottom w:val="single" w:sz="4" w:space="0" w:color="7D7D7D"/>
              <w:right w:val="nil"/>
            </w:tcBorders>
            <w:shd w:val="clear" w:color="auto" w:fill="auto"/>
            <w:noWrap/>
            <w:vAlign w:val="bottom"/>
            <w:hideMark/>
          </w:tcPr>
          <w:p w14:paraId="11001B44"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671" w:type="dxa"/>
            <w:tcBorders>
              <w:top w:val="nil"/>
              <w:left w:val="nil"/>
              <w:bottom w:val="nil"/>
              <w:right w:val="nil"/>
            </w:tcBorders>
            <w:shd w:val="clear" w:color="auto" w:fill="auto"/>
            <w:noWrap/>
            <w:vAlign w:val="bottom"/>
            <w:hideMark/>
          </w:tcPr>
          <w:p w14:paraId="4C22BB92"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
        </w:tc>
        <w:tc>
          <w:tcPr>
            <w:tcW w:w="315" w:type="dxa"/>
            <w:tcBorders>
              <w:top w:val="nil"/>
              <w:left w:val="nil"/>
              <w:bottom w:val="nil"/>
              <w:right w:val="nil"/>
            </w:tcBorders>
            <w:shd w:val="clear" w:color="auto" w:fill="auto"/>
            <w:noWrap/>
            <w:vAlign w:val="bottom"/>
            <w:hideMark/>
          </w:tcPr>
          <w:p w14:paraId="6B82AEE5"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1004" w:type="dxa"/>
            <w:gridSpan w:val="2"/>
            <w:tcBorders>
              <w:top w:val="nil"/>
              <w:left w:val="nil"/>
              <w:bottom w:val="single" w:sz="4" w:space="0" w:color="7D7D7D"/>
              <w:right w:val="nil"/>
            </w:tcBorders>
            <w:shd w:val="clear" w:color="auto" w:fill="auto"/>
            <w:noWrap/>
            <w:vAlign w:val="bottom"/>
            <w:hideMark/>
          </w:tcPr>
          <w:p w14:paraId="535B7A82"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r w:rsidRPr="00801C39">
              <w:rPr>
                <w:rFonts w:ascii="Sylfaen" w:eastAsia="Times New Roman" w:hAnsi="Sylfaen" w:cs="Arial"/>
                <w:color w:val="000000"/>
                <w:sz w:val="18"/>
                <w:szCs w:val="18"/>
                <w:lang w:val="ka-GE" w:eastAsia="ka-GE"/>
              </w:rPr>
              <w:t> </w:t>
            </w:r>
          </w:p>
        </w:tc>
        <w:tc>
          <w:tcPr>
            <w:tcW w:w="881" w:type="dxa"/>
            <w:gridSpan w:val="2"/>
            <w:tcBorders>
              <w:top w:val="nil"/>
              <w:left w:val="nil"/>
              <w:bottom w:val="nil"/>
              <w:right w:val="nil"/>
            </w:tcBorders>
            <w:shd w:val="clear" w:color="auto" w:fill="auto"/>
            <w:noWrap/>
            <w:vAlign w:val="bottom"/>
            <w:hideMark/>
          </w:tcPr>
          <w:p w14:paraId="7777A7BD" w14:textId="77777777" w:rsidR="0062518D" w:rsidRPr="00801C39" w:rsidRDefault="0062518D" w:rsidP="00646F3A">
            <w:pPr>
              <w:spacing w:after="0" w:line="240" w:lineRule="auto"/>
              <w:rPr>
                <w:rFonts w:ascii="Sylfaen" w:eastAsia="Times New Roman" w:hAnsi="Sylfaen" w:cs="Arial"/>
                <w:color w:val="000000"/>
                <w:sz w:val="18"/>
                <w:szCs w:val="18"/>
                <w:lang w:val="ka-GE" w:eastAsia="ka-GE"/>
              </w:rPr>
            </w:pPr>
          </w:p>
        </w:tc>
      </w:tr>
      <w:tr w:rsidR="0062518D" w:rsidRPr="002148F5" w14:paraId="172D8C89" w14:textId="77777777" w:rsidTr="0062518D">
        <w:trPr>
          <w:gridAfter w:val="1"/>
          <w:wAfter w:w="237" w:type="dxa"/>
          <w:trHeight w:val="131"/>
        </w:trPr>
        <w:tc>
          <w:tcPr>
            <w:tcW w:w="500" w:type="dxa"/>
            <w:tcBorders>
              <w:top w:val="nil"/>
              <w:left w:val="nil"/>
              <w:bottom w:val="nil"/>
              <w:right w:val="nil"/>
            </w:tcBorders>
            <w:shd w:val="clear" w:color="auto" w:fill="auto"/>
            <w:noWrap/>
            <w:vAlign w:val="bottom"/>
            <w:hideMark/>
          </w:tcPr>
          <w:p w14:paraId="5446FF50"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4015" w:type="dxa"/>
            <w:tcBorders>
              <w:top w:val="nil"/>
              <w:left w:val="nil"/>
              <w:bottom w:val="nil"/>
              <w:right w:val="nil"/>
            </w:tcBorders>
            <w:shd w:val="clear" w:color="auto" w:fill="auto"/>
            <w:noWrap/>
            <w:vAlign w:val="bottom"/>
            <w:hideMark/>
          </w:tcPr>
          <w:p w14:paraId="42BD78A1"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1005" w:type="dxa"/>
            <w:tcBorders>
              <w:top w:val="nil"/>
              <w:left w:val="nil"/>
              <w:bottom w:val="nil"/>
              <w:right w:val="nil"/>
            </w:tcBorders>
            <w:shd w:val="clear" w:color="auto" w:fill="auto"/>
            <w:noWrap/>
            <w:vAlign w:val="bottom"/>
            <w:hideMark/>
          </w:tcPr>
          <w:p w14:paraId="79C986C9"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1275" w:type="dxa"/>
            <w:tcBorders>
              <w:top w:val="nil"/>
              <w:left w:val="nil"/>
              <w:bottom w:val="nil"/>
              <w:right w:val="nil"/>
            </w:tcBorders>
            <w:shd w:val="clear" w:color="auto" w:fill="auto"/>
            <w:noWrap/>
            <w:vAlign w:val="bottom"/>
            <w:hideMark/>
          </w:tcPr>
          <w:p w14:paraId="4070C1AA"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912" w:type="dxa"/>
            <w:tcBorders>
              <w:top w:val="nil"/>
              <w:left w:val="nil"/>
              <w:bottom w:val="nil"/>
              <w:right w:val="nil"/>
            </w:tcBorders>
            <w:shd w:val="clear" w:color="auto" w:fill="auto"/>
            <w:noWrap/>
            <w:vAlign w:val="bottom"/>
            <w:hideMark/>
          </w:tcPr>
          <w:p w14:paraId="40C27804"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315" w:type="dxa"/>
            <w:tcBorders>
              <w:top w:val="nil"/>
              <w:left w:val="nil"/>
              <w:bottom w:val="nil"/>
              <w:right w:val="nil"/>
            </w:tcBorders>
            <w:shd w:val="clear" w:color="auto" w:fill="auto"/>
            <w:noWrap/>
            <w:vAlign w:val="bottom"/>
            <w:hideMark/>
          </w:tcPr>
          <w:p w14:paraId="6001DD2D"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806" w:type="dxa"/>
            <w:tcBorders>
              <w:top w:val="nil"/>
              <w:left w:val="nil"/>
              <w:bottom w:val="nil"/>
              <w:right w:val="nil"/>
            </w:tcBorders>
            <w:shd w:val="clear" w:color="auto" w:fill="auto"/>
            <w:noWrap/>
            <w:vAlign w:val="bottom"/>
            <w:hideMark/>
          </w:tcPr>
          <w:p w14:paraId="428EFAAA"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836" w:type="dxa"/>
            <w:tcBorders>
              <w:top w:val="nil"/>
              <w:left w:val="nil"/>
              <w:bottom w:val="nil"/>
              <w:right w:val="nil"/>
            </w:tcBorders>
            <w:shd w:val="clear" w:color="auto" w:fill="auto"/>
            <w:noWrap/>
            <w:vAlign w:val="bottom"/>
            <w:hideMark/>
          </w:tcPr>
          <w:p w14:paraId="02331425"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836" w:type="dxa"/>
            <w:tcBorders>
              <w:top w:val="nil"/>
              <w:left w:val="nil"/>
              <w:bottom w:val="nil"/>
              <w:right w:val="nil"/>
            </w:tcBorders>
            <w:shd w:val="clear" w:color="auto" w:fill="auto"/>
            <w:noWrap/>
            <w:vAlign w:val="bottom"/>
            <w:hideMark/>
          </w:tcPr>
          <w:p w14:paraId="7C986E62"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671" w:type="dxa"/>
            <w:tcBorders>
              <w:top w:val="nil"/>
              <w:left w:val="nil"/>
              <w:bottom w:val="nil"/>
              <w:right w:val="nil"/>
            </w:tcBorders>
            <w:shd w:val="clear" w:color="auto" w:fill="auto"/>
            <w:noWrap/>
            <w:vAlign w:val="bottom"/>
            <w:hideMark/>
          </w:tcPr>
          <w:p w14:paraId="7ECFA67A"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315" w:type="dxa"/>
            <w:tcBorders>
              <w:top w:val="nil"/>
              <w:left w:val="nil"/>
              <w:bottom w:val="nil"/>
              <w:right w:val="nil"/>
            </w:tcBorders>
            <w:shd w:val="clear" w:color="auto" w:fill="auto"/>
            <w:noWrap/>
            <w:vAlign w:val="bottom"/>
            <w:hideMark/>
          </w:tcPr>
          <w:p w14:paraId="7F32976B"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1004" w:type="dxa"/>
            <w:gridSpan w:val="2"/>
            <w:tcBorders>
              <w:top w:val="nil"/>
              <w:left w:val="nil"/>
              <w:bottom w:val="nil"/>
              <w:right w:val="nil"/>
            </w:tcBorders>
            <w:shd w:val="clear" w:color="auto" w:fill="auto"/>
            <w:noWrap/>
            <w:vAlign w:val="bottom"/>
            <w:hideMark/>
          </w:tcPr>
          <w:p w14:paraId="66C0FE89"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881" w:type="dxa"/>
            <w:gridSpan w:val="2"/>
            <w:tcBorders>
              <w:top w:val="nil"/>
              <w:left w:val="nil"/>
              <w:bottom w:val="nil"/>
              <w:right w:val="nil"/>
            </w:tcBorders>
            <w:shd w:val="clear" w:color="auto" w:fill="auto"/>
            <w:noWrap/>
            <w:vAlign w:val="bottom"/>
            <w:hideMark/>
          </w:tcPr>
          <w:p w14:paraId="14F1B15A"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r>
      <w:tr w:rsidR="0062518D" w:rsidRPr="002148F5" w14:paraId="611EC9E4" w14:textId="77777777" w:rsidTr="0062518D">
        <w:trPr>
          <w:gridAfter w:val="1"/>
          <w:wAfter w:w="237" w:type="dxa"/>
          <w:trHeight w:val="234"/>
        </w:trPr>
        <w:tc>
          <w:tcPr>
            <w:tcW w:w="500" w:type="dxa"/>
            <w:tcBorders>
              <w:top w:val="nil"/>
              <w:left w:val="nil"/>
              <w:bottom w:val="nil"/>
              <w:right w:val="nil"/>
            </w:tcBorders>
            <w:shd w:val="clear" w:color="auto" w:fill="auto"/>
            <w:noWrap/>
            <w:vAlign w:val="bottom"/>
            <w:hideMark/>
          </w:tcPr>
          <w:p w14:paraId="49751825"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4015" w:type="dxa"/>
            <w:tcBorders>
              <w:top w:val="nil"/>
              <w:left w:val="nil"/>
              <w:bottom w:val="nil"/>
              <w:right w:val="nil"/>
            </w:tcBorders>
            <w:shd w:val="clear" w:color="auto" w:fill="auto"/>
            <w:noWrap/>
            <w:vAlign w:val="bottom"/>
            <w:hideMark/>
          </w:tcPr>
          <w:p w14:paraId="2C2C1C02" w14:textId="6F7E830B" w:rsidR="0062518D" w:rsidRPr="00801C39" w:rsidRDefault="0062518D" w:rsidP="00646F3A">
            <w:pPr>
              <w:spacing w:after="0" w:line="240" w:lineRule="auto"/>
              <w:rPr>
                <w:rFonts w:ascii="Sylfaen" w:eastAsia="Times New Roman" w:hAnsi="Sylfaen" w:cs="Arial"/>
                <w:b/>
                <w:bCs/>
                <w:color w:val="000000"/>
                <w:sz w:val="18"/>
                <w:szCs w:val="18"/>
                <w:lang w:val="ka-GE" w:eastAsia="ka-GE"/>
              </w:rPr>
            </w:pPr>
            <w:r>
              <w:rPr>
                <w:rFonts w:ascii="Sylfaen" w:eastAsia="Times New Roman" w:hAnsi="Sylfaen" w:cs="Arial"/>
                <w:b/>
                <w:bCs/>
                <w:color w:val="000000"/>
                <w:sz w:val="18"/>
                <w:szCs w:val="18"/>
                <w:lang w:val="ka-GE" w:eastAsia="ka-GE"/>
              </w:rPr>
              <w:t>მედიანა</w:t>
            </w:r>
            <w:r w:rsidRPr="00801C39">
              <w:rPr>
                <w:rFonts w:ascii="Sylfaen" w:eastAsia="Times New Roman" w:hAnsi="Sylfaen" w:cs="Arial"/>
                <w:b/>
                <w:bCs/>
                <w:color w:val="000000"/>
                <w:sz w:val="18"/>
                <w:szCs w:val="18"/>
                <w:lang w:val="ka-GE" w:eastAsia="ka-GE"/>
              </w:rPr>
              <w:t xml:space="preserve"> </w:t>
            </w:r>
          </w:p>
        </w:tc>
        <w:tc>
          <w:tcPr>
            <w:tcW w:w="1005" w:type="dxa"/>
            <w:tcBorders>
              <w:top w:val="nil"/>
              <w:left w:val="nil"/>
              <w:bottom w:val="nil"/>
              <w:right w:val="nil"/>
            </w:tcBorders>
            <w:shd w:val="clear" w:color="auto" w:fill="auto"/>
            <w:noWrap/>
            <w:vAlign w:val="bottom"/>
            <w:hideMark/>
          </w:tcPr>
          <w:p w14:paraId="333B4707" w14:textId="77777777" w:rsidR="0062518D" w:rsidRPr="00801C39" w:rsidRDefault="0062518D" w:rsidP="00646F3A">
            <w:pPr>
              <w:spacing w:after="0" w:line="240" w:lineRule="auto"/>
              <w:rPr>
                <w:rFonts w:ascii="Sylfaen" w:eastAsia="Times New Roman" w:hAnsi="Sylfaen" w:cs="Arial"/>
                <w:b/>
                <w:bCs/>
                <w:color w:val="000000"/>
                <w:sz w:val="18"/>
                <w:szCs w:val="18"/>
                <w:lang w:val="ka-GE" w:eastAsia="ka-GE"/>
              </w:rPr>
            </w:pPr>
          </w:p>
        </w:tc>
        <w:tc>
          <w:tcPr>
            <w:tcW w:w="1275" w:type="dxa"/>
            <w:tcBorders>
              <w:top w:val="nil"/>
              <w:left w:val="nil"/>
              <w:bottom w:val="nil"/>
              <w:right w:val="nil"/>
            </w:tcBorders>
            <w:shd w:val="clear" w:color="auto" w:fill="auto"/>
            <w:noWrap/>
            <w:vAlign w:val="bottom"/>
            <w:hideMark/>
          </w:tcPr>
          <w:p w14:paraId="7430BA8E"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912" w:type="dxa"/>
            <w:tcBorders>
              <w:top w:val="nil"/>
              <w:left w:val="nil"/>
              <w:bottom w:val="nil"/>
              <w:right w:val="nil"/>
            </w:tcBorders>
            <w:shd w:val="clear" w:color="auto" w:fill="auto"/>
            <w:noWrap/>
            <w:vAlign w:val="bottom"/>
            <w:hideMark/>
          </w:tcPr>
          <w:p w14:paraId="0C71E136"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315" w:type="dxa"/>
            <w:tcBorders>
              <w:top w:val="nil"/>
              <w:left w:val="nil"/>
              <w:bottom w:val="nil"/>
              <w:right w:val="nil"/>
            </w:tcBorders>
            <w:shd w:val="clear" w:color="auto" w:fill="auto"/>
            <w:noWrap/>
            <w:vAlign w:val="bottom"/>
            <w:hideMark/>
          </w:tcPr>
          <w:p w14:paraId="3DF96165" w14:textId="77777777" w:rsidR="0062518D" w:rsidRPr="00801C39" w:rsidRDefault="0062518D" w:rsidP="00646F3A">
            <w:pPr>
              <w:spacing w:after="0" w:line="240" w:lineRule="auto"/>
              <w:rPr>
                <w:rFonts w:ascii="Sylfaen" w:eastAsia="Times New Roman" w:hAnsi="Sylfaen" w:cs="Times New Roman"/>
                <w:sz w:val="18"/>
                <w:szCs w:val="18"/>
                <w:lang w:val="ka-GE" w:eastAsia="ka-GE"/>
              </w:rPr>
            </w:pPr>
          </w:p>
        </w:tc>
        <w:tc>
          <w:tcPr>
            <w:tcW w:w="806" w:type="dxa"/>
            <w:tcBorders>
              <w:top w:val="nil"/>
              <w:left w:val="nil"/>
              <w:bottom w:val="nil"/>
              <w:right w:val="nil"/>
            </w:tcBorders>
            <w:shd w:val="clear" w:color="auto" w:fill="auto"/>
            <w:noWrap/>
            <w:vAlign w:val="bottom"/>
            <w:hideMark/>
          </w:tcPr>
          <w:p w14:paraId="231A2467" w14:textId="77777777" w:rsidR="0062518D" w:rsidRPr="00801C39" w:rsidRDefault="0062518D" w:rsidP="00646F3A">
            <w:pPr>
              <w:spacing w:after="0" w:line="240" w:lineRule="auto"/>
              <w:jc w:val="right"/>
              <w:rPr>
                <w:rFonts w:ascii="Sylfaen" w:eastAsia="Times New Roman" w:hAnsi="Sylfaen" w:cs="Arial"/>
                <w:b/>
                <w:bCs/>
                <w:color w:val="000000"/>
                <w:sz w:val="18"/>
                <w:szCs w:val="18"/>
                <w:lang w:val="ka-GE" w:eastAsia="ka-GE"/>
              </w:rPr>
            </w:pPr>
            <w:r w:rsidRPr="00801C39">
              <w:rPr>
                <w:rFonts w:ascii="Sylfaen" w:eastAsia="Times New Roman" w:hAnsi="Sylfaen" w:cs="Arial"/>
                <w:b/>
                <w:bCs/>
                <w:color w:val="000000"/>
                <w:sz w:val="18"/>
                <w:szCs w:val="18"/>
                <w:lang w:val="ka-GE" w:eastAsia="ka-GE"/>
              </w:rPr>
              <w:t>0.75</w:t>
            </w:r>
          </w:p>
        </w:tc>
        <w:tc>
          <w:tcPr>
            <w:tcW w:w="836" w:type="dxa"/>
            <w:tcBorders>
              <w:top w:val="single" w:sz="4" w:space="0" w:color="auto"/>
              <w:left w:val="single" w:sz="4" w:space="0" w:color="auto"/>
              <w:bottom w:val="single" w:sz="4" w:space="0" w:color="auto"/>
              <w:right w:val="single" w:sz="4" w:space="0" w:color="auto"/>
            </w:tcBorders>
            <w:shd w:val="clear" w:color="000000" w:fill="FFE9C8"/>
            <w:noWrap/>
            <w:vAlign w:val="bottom"/>
            <w:hideMark/>
          </w:tcPr>
          <w:p w14:paraId="3CF34C8C" w14:textId="77777777" w:rsidR="0062518D" w:rsidRPr="00801C39" w:rsidRDefault="0062518D" w:rsidP="00646F3A">
            <w:pPr>
              <w:spacing w:after="0" w:line="240" w:lineRule="auto"/>
              <w:jc w:val="right"/>
              <w:rPr>
                <w:rFonts w:ascii="Sylfaen" w:eastAsia="Times New Roman" w:hAnsi="Sylfaen" w:cs="Arial"/>
                <w:b/>
                <w:bCs/>
                <w:color w:val="000000"/>
                <w:sz w:val="18"/>
                <w:szCs w:val="18"/>
                <w:lang w:val="ka-GE" w:eastAsia="ka-GE"/>
              </w:rPr>
            </w:pPr>
            <w:r w:rsidRPr="00801C39">
              <w:rPr>
                <w:rFonts w:ascii="Sylfaen" w:eastAsia="Times New Roman" w:hAnsi="Sylfaen" w:cs="Arial"/>
                <w:b/>
                <w:bCs/>
                <w:color w:val="000000"/>
                <w:sz w:val="18"/>
                <w:szCs w:val="18"/>
                <w:lang w:val="ka-GE" w:eastAsia="ka-GE"/>
              </w:rPr>
              <w:t>0.42</w:t>
            </w:r>
          </w:p>
        </w:tc>
        <w:tc>
          <w:tcPr>
            <w:tcW w:w="836" w:type="dxa"/>
            <w:tcBorders>
              <w:top w:val="nil"/>
              <w:left w:val="nil"/>
              <w:bottom w:val="nil"/>
              <w:right w:val="nil"/>
            </w:tcBorders>
            <w:shd w:val="clear" w:color="auto" w:fill="auto"/>
            <w:noWrap/>
            <w:vAlign w:val="bottom"/>
            <w:hideMark/>
          </w:tcPr>
          <w:p w14:paraId="5CCC7B7D" w14:textId="77777777" w:rsidR="0062518D" w:rsidRPr="00801C39" w:rsidRDefault="0062518D" w:rsidP="00646F3A">
            <w:pPr>
              <w:spacing w:after="0" w:line="240" w:lineRule="auto"/>
              <w:jc w:val="right"/>
              <w:rPr>
                <w:rFonts w:ascii="Sylfaen" w:eastAsia="Times New Roman" w:hAnsi="Sylfaen" w:cs="Arial"/>
                <w:b/>
                <w:bCs/>
                <w:color w:val="000000"/>
                <w:sz w:val="18"/>
                <w:szCs w:val="18"/>
                <w:lang w:val="ka-GE" w:eastAsia="ka-GE"/>
              </w:rPr>
            </w:pPr>
            <w:r w:rsidRPr="00801C39">
              <w:rPr>
                <w:rFonts w:ascii="Sylfaen" w:eastAsia="Times New Roman" w:hAnsi="Sylfaen" w:cs="Arial"/>
                <w:b/>
                <w:bCs/>
                <w:color w:val="000000"/>
                <w:sz w:val="18"/>
                <w:szCs w:val="18"/>
                <w:lang w:val="ka-GE" w:eastAsia="ka-GE"/>
              </w:rPr>
              <w:t>0.89</w:t>
            </w:r>
          </w:p>
        </w:tc>
        <w:tc>
          <w:tcPr>
            <w:tcW w:w="671" w:type="dxa"/>
            <w:tcBorders>
              <w:top w:val="single" w:sz="4" w:space="0" w:color="auto"/>
              <w:left w:val="single" w:sz="4" w:space="0" w:color="auto"/>
              <w:bottom w:val="single" w:sz="4" w:space="0" w:color="auto"/>
              <w:right w:val="single" w:sz="4" w:space="0" w:color="auto"/>
            </w:tcBorders>
            <w:shd w:val="clear" w:color="000000" w:fill="FFE9C8"/>
            <w:noWrap/>
            <w:vAlign w:val="bottom"/>
            <w:hideMark/>
          </w:tcPr>
          <w:p w14:paraId="2BAA4214" w14:textId="77777777" w:rsidR="0062518D" w:rsidRPr="00801C39" w:rsidRDefault="0062518D" w:rsidP="00646F3A">
            <w:pPr>
              <w:spacing w:after="0" w:line="240" w:lineRule="auto"/>
              <w:jc w:val="right"/>
              <w:rPr>
                <w:rFonts w:ascii="Sylfaen" w:eastAsia="Times New Roman" w:hAnsi="Sylfaen" w:cs="Arial"/>
                <w:b/>
                <w:bCs/>
                <w:color w:val="000000"/>
                <w:sz w:val="18"/>
                <w:szCs w:val="18"/>
                <w:lang w:val="ka-GE" w:eastAsia="ka-GE"/>
              </w:rPr>
            </w:pPr>
            <w:r w:rsidRPr="00801C39">
              <w:rPr>
                <w:rFonts w:ascii="Sylfaen" w:eastAsia="Times New Roman" w:hAnsi="Sylfaen" w:cs="Arial"/>
                <w:b/>
                <w:bCs/>
                <w:color w:val="000000"/>
                <w:sz w:val="18"/>
                <w:szCs w:val="18"/>
                <w:lang w:val="ka-GE" w:eastAsia="ka-GE"/>
              </w:rPr>
              <w:t>0.72</w:t>
            </w:r>
          </w:p>
        </w:tc>
        <w:tc>
          <w:tcPr>
            <w:tcW w:w="315" w:type="dxa"/>
            <w:tcBorders>
              <w:top w:val="nil"/>
              <w:left w:val="nil"/>
              <w:bottom w:val="nil"/>
              <w:right w:val="nil"/>
            </w:tcBorders>
            <w:shd w:val="clear" w:color="auto" w:fill="auto"/>
            <w:noWrap/>
            <w:vAlign w:val="bottom"/>
            <w:hideMark/>
          </w:tcPr>
          <w:p w14:paraId="3DB5C0AC" w14:textId="77777777" w:rsidR="0062518D" w:rsidRPr="00801C39" w:rsidRDefault="0062518D" w:rsidP="00646F3A">
            <w:pPr>
              <w:spacing w:after="0" w:line="240" w:lineRule="auto"/>
              <w:jc w:val="right"/>
              <w:rPr>
                <w:rFonts w:ascii="Sylfaen" w:eastAsia="Times New Roman" w:hAnsi="Sylfaen" w:cs="Arial"/>
                <w:b/>
                <w:bCs/>
                <w:color w:val="000000"/>
                <w:sz w:val="18"/>
                <w:szCs w:val="18"/>
                <w:lang w:val="ka-GE" w:eastAsia="ka-GE"/>
              </w:rPr>
            </w:pPr>
          </w:p>
        </w:tc>
        <w:tc>
          <w:tcPr>
            <w:tcW w:w="1004" w:type="dxa"/>
            <w:gridSpan w:val="2"/>
            <w:tcBorders>
              <w:top w:val="single" w:sz="4" w:space="0" w:color="auto"/>
              <w:left w:val="single" w:sz="4" w:space="0" w:color="auto"/>
              <w:bottom w:val="single" w:sz="4" w:space="0" w:color="auto"/>
              <w:right w:val="single" w:sz="4" w:space="0" w:color="auto"/>
            </w:tcBorders>
            <w:shd w:val="clear" w:color="000000" w:fill="FFE9C8"/>
            <w:noWrap/>
            <w:vAlign w:val="bottom"/>
            <w:hideMark/>
          </w:tcPr>
          <w:p w14:paraId="7FB04FB9" w14:textId="5340C5F8" w:rsidR="0062518D" w:rsidRPr="00801C39" w:rsidRDefault="0062518D" w:rsidP="00646F3A">
            <w:pPr>
              <w:spacing w:after="0" w:line="240" w:lineRule="auto"/>
              <w:jc w:val="right"/>
              <w:rPr>
                <w:rFonts w:ascii="Sylfaen" w:eastAsia="Times New Roman" w:hAnsi="Sylfaen" w:cs="Arial"/>
                <w:b/>
                <w:bCs/>
                <w:color w:val="000000"/>
                <w:sz w:val="18"/>
                <w:szCs w:val="18"/>
                <w:lang w:val="ka-GE" w:eastAsia="ka-GE"/>
              </w:rPr>
            </w:pPr>
            <w:r w:rsidRPr="00801C39">
              <w:rPr>
                <w:rFonts w:ascii="Sylfaen" w:eastAsia="Times New Roman" w:hAnsi="Sylfaen" w:cs="Arial"/>
                <w:b/>
                <w:bCs/>
                <w:color w:val="000000"/>
                <w:sz w:val="18"/>
                <w:szCs w:val="18"/>
                <w:lang w:val="ka-GE" w:eastAsia="ka-GE"/>
              </w:rPr>
              <w:t>42.</w:t>
            </w:r>
            <w:r w:rsidRPr="002148F5">
              <w:rPr>
                <w:rFonts w:ascii="Sylfaen" w:eastAsia="Times New Roman" w:hAnsi="Sylfaen" w:cs="Arial"/>
                <w:b/>
                <w:bCs/>
                <w:color w:val="000000"/>
                <w:sz w:val="18"/>
                <w:szCs w:val="18"/>
                <w:lang w:val="en-GB" w:eastAsia="ka-GE"/>
              </w:rPr>
              <w:t>0</w:t>
            </w:r>
            <w:r w:rsidRPr="00801C39">
              <w:rPr>
                <w:rFonts w:ascii="Sylfaen" w:eastAsia="Times New Roman" w:hAnsi="Sylfaen" w:cs="Arial"/>
                <w:b/>
                <w:bCs/>
                <w:color w:val="000000"/>
                <w:sz w:val="18"/>
                <w:szCs w:val="18"/>
                <w:lang w:val="ka-GE" w:eastAsia="ka-GE"/>
              </w:rPr>
              <w:t xml:space="preserve">% </w:t>
            </w:r>
          </w:p>
        </w:tc>
        <w:tc>
          <w:tcPr>
            <w:tcW w:w="881" w:type="dxa"/>
            <w:gridSpan w:val="2"/>
            <w:tcBorders>
              <w:top w:val="single" w:sz="4" w:space="0" w:color="auto"/>
              <w:left w:val="nil"/>
              <w:bottom w:val="single" w:sz="4" w:space="0" w:color="auto"/>
              <w:right w:val="single" w:sz="4" w:space="0" w:color="auto"/>
            </w:tcBorders>
            <w:shd w:val="clear" w:color="000000" w:fill="FFE9C8"/>
            <w:noWrap/>
            <w:vAlign w:val="bottom"/>
            <w:hideMark/>
          </w:tcPr>
          <w:p w14:paraId="29EF6C69" w14:textId="77777777" w:rsidR="0062518D" w:rsidRPr="00801C39" w:rsidRDefault="0062518D" w:rsidP="00646F3A">
            <w:pPr>
              <w:spacing w:after="0" w:line="240" w:lineRule="auto"/>
              <w:jc w:val="right"/>
              <w:rPr>
                <w:rFonts w:ascii="Sylfaen" w:eastAsia="Times New Roman" w:hAnsi="Sylfaen" w:cs="Arial"/>
                <w:b/>
                <w:bCs/>
                <w:color w:val="000000"/>
                <w:sz w:val="18"/>
                <w:szCs w:val="18"/>
                <w:lang w:val="ka-GE" w:eastAsia="ka-GE"/>
              </w:rPr>
            </w:pPr>
            <w:r w:rsidRPr="00801C39">
              <w:rPr>
                <w:rFonts w:ascii="Sylfaen" w:eastAsia="Times New Roman" w:hAnsi="Sylfaen" w:cs="Arial"/>
                <w:b/>
                <w:bCs/>
                <w:color w:val="000000"/>
                <w:sz w:val="18"/>
                <w:szCs w:val="18"/>
                <w:lang w:val="ka-GE" w:eastAsia="ka-GE"/>
              </w:rPr>
              <w:t xml:space="preserve">72.3% </w:t>
            </w:r>
          </w:p>
        </w:tc>
      </w:tr>
    </w:tbl>
    <w:p w14:paraId="0705BB5A" w14:textId="41CF232B" w:rsidR="001910FC" w:rsidRPr="00FC2351" w:rsidRDefault="00144FD2" w:rsidP="00646F3A">
      <w:pPr>
        <w:rPr>
          <w:lang w:val="en-GB"/>
        </w:rPr>
        <w:sectPr w:rsidR="001910FC" w:rsidRPr="00FC2351" w:rsidSect="001910FC">
          <w:pgSz w:w="15840" w:h="12240" w:orient="landscape"/>
          <w:pgMar w:top="902" w:right="1440" w:bottom="1440" w:left="1440" w:header="720" w:footer="720" w:gutter="0"/>
          <w:cols w:space="720"/>
          <w:docGrid w:linePitch="360"/>
        </w:sectPr>
      </w:pPr>
      <w:r w:rsidRPr="00FC2351">
        <w:rPr>
          <w:lang w:val="ka-GE"/>
        </w:rPr>
        <w:t>წყარო:</w:t>
      </w:r>
      <w:r w:rsidR="00FC2351">
        <w:rPr>
          <w:lang w:val="ka-GE"/>
        </w:rPr>
        <w:t xml:space="preserve"> </w:t>
      </w:r>
      <w:r w:rsidR="00FC2351">
        <w:rPr>
          <w:lang w:val="en-GB"/>
        </w:rPr>
        <w:t xml:space="preserve">PWC,  </w:t>
      </w:r>
      <w:r w:rsidR="00FC2351" w:rsidRPr="00FC2351">
        <w:rPr>
          <w:rFonts w:ascii="Sylfaen" w:hAnsi="Sylfaen"/>
          <w:lang w:val="ka-GE"/>
        </w:rPr>
        <w:t>„</w:t>
      </w:r>
      <w:r w:rsidR="00FC2351" w:rsidRPr="00FC2351">
        <w:rPr>
          <w:rFonts w:ascii="Sylfaen" w:hAnsi="Sylfaen"/>
        </w:rPr>
        <w:t>WACC</w:t>
      </w:r>
      <w:r w:rsidR="00FC2351" w:rsidRPr="00FC2351">
        <w:rPr>
          <w:rFonts w:ascii="Sylfaen" w:hAnsi="Sylfaen"/>
          <w:lang w:val="ka-GE"/>
        </w:rPr>
        <w:t xml:space="preserve"> მეთოდოლოგ</w:t>
      </w:r>
      <w:r w:rsidR="00FC2351">
        <w:rPr>
          <w:rFonts w:ascii="Sylfaen" w:hAnsi="Sylfaen"/>
          <w:lang w:val="ka-GE"/>
        </w:rPr>
        <w:t>ია</w:t>
      </w:r>
      <w:r w:rsidR="00FC2351" w:rsidRPr="00FC2351">
        <w:rPr>
          <w:rFonts w:ascii="Sylfaen" w:hAnsi="Sylfaen"/>
          <w:lang w:val="ka-GE"/>
        </w:rPr>
        <w:t xml:space="preserve"> და წინასწარი შედეგებ</w:t>
      </w:r>
      <w:r w:rsidR="00FC2351">
        <w:rPr>
          <w:rFonts w:ascii="Sylfaen" w:hAnsi="Sylfaen"/>
          <w:lang w:val="ka-GE"/>
        </w:rPr>
        <w:t>ი</w:t>
      </w:r>
      <w:r w:rsidR="00FC2351" w:rsidRPr="00FC2351">
        <w:rPr>
          <w:rFonts w:ascii="Sylfaen" w:hAnsi="Sylfaen"/>
          <w:lang w:val="ka-GE"/>
        </w:rPr>
        <w:t>“</w:t>
      </w:r>
    </w:p>
    <w:bookmarkEnd w:id="0"/>
    <w:p w14:paraId="139A8F7F" w14:textId="04013770" w:rsidR="00A83AF4" w:rsidRDefault="00BA6C01" w:rsidP="00646F3A">
      <w:pPr>
        <w:jc w:val="both"/>
        <w:rPr>
          <w:rFonts w:ascii="Sylfaen" w:hAnsi="Sylfaen"/>
          <w:lang w:val="ka-GE"/>
        </w:rPr>
      </w:pPr>
      <w:r w:rsidRPr="00FC2351">
        <w:rPr>
          <w:rFonts w:ascii="Sylfaen" w:hAnsi="Sylfaen"/>
          <w:lang w:val="ka-GE"/>
        </w:rPr>
        <w:t xml:space="preserve">PWC-ს </w:t>
      </w:r>
      <w:r w:rsidR="00DD687E" w:rsidRPr="00FC2351">
        <w:rPr>
          <w:rFonts w:ascii="Sylfaen" w:hAnsi="Sylfaen"/>
          <w:lang w:val="ka-GE"/>
        </w:rPr>
        <w:t xml:space="preserve">ს მიერ წარმოდგენილი </w:t>
      </w:r>
      <w:r w:rsidR="00966E29" w:rsidRPr="00FC2351">
        <w:rPr>
          <w:rFonts w:ascii="Sylfaen" w:hAnsi="Sylfaen"/>
        </w:rPr>
        <w:t>WACC</w:t>
      </w:r>
      <w:r w:rsidR="00966E29" w:rsidRPr="00FC2351">
        <w:rPr>
          <w:rFonts w:ascii="Sylfaen" w:hAnsi="Sylfaen"/>
          <w:lang w:val="ka-GE"/>
        </w:rPr>
        <w:t xml:space="preserve"> მეთოდოლოგიისა და </w:t>
      </w:r>
      <w:r w:rsidR="004D746D" w:rsidRPr="00FC2351">
        <w:rPr>
          <w:rFonts w:ascii="Sylfaen" w:hAnsi="Sylfaen"/>
          <w:lang w:val="ka-GE"/>
        </w:rPr>
        <w:t xml:space="preserve">წინასწარი </w:t>
      </w:r>
      <w:r w:rsidR="00966E29" w:rsidRPr="00FC2351">
        <w:rPr>
          <w:rFonts w:ascii="Sylfaen" w:hAnsi="Sylfaen"/>
          <w:lang w:val="ka-GE"/>
        </w:rPr>
        <w:t xml:space="preserve">შედეგების </w:t>
      </w:r>
      <w:r w:rsidR="000D1D7B" w:rsidRPr="00FC2351">
        <w:rPr>
          <w:rFonts w:ascii="Sylfaen" w:hAnsi="Sylfaen"/>
          <w:lang w:val="ka-GE"/>
        </w:rPr>
        <w:t>დოკუმენტის მიხედვით</w:t>
      </w:r>
      <w:r w:rsidRPr="00FC2351">
        <w:rPr>
          <w:rFonts w:ascii="Sylfaen" w:hAnsi="Sylfaen"/>
          <w:lang w:val="ka-GE"/>
        </w:rPr>
        <w:t xml:space="preserve"> კაპიტალის საშუალო შეწონილი ღირებულების გაანგარიშება ითვალისწინებს კაპიტალის საშუალო შეწონილი ღირებულების დადგენას ცალკეულად მობილური </w:t>
      </w:r>
      <w:r w:rsidR="00B61230" w:rsidRPr="00FC2351">
        <w:rPr>
          <w:rFonts w:ascii="Sylfaen" w:hAnsi="Sylfaen"/>
          <w:lang w:val="ka-GE"/>
        </w:rPr>
        <w:t xml:space="preserve">და შემდგომი თაობის ქსელებთან დაშვების </w:t>
      </w:r>
      <w:r w:rsidR="005B566B" w:rsidRPr="00FC2351">
        <w:rPr>
          <w:rFonts w:ascii="Sylfaen" w:hAnsi="Sylfaen"/>
          <w:lang w:val="ka-GE"/>
        </w:rPr>
        <w:t xml:space="preserve"> (NGA) </w:t>
      </w:r>
      <w:r w:rsidR="00B61230" w:rsidRPr="00FC2351">
        <w:rPr>
          <w:rFonts w:ascii="Sylfaen" w:hAnsi="Sylfaen"/>
          <w:lang w:val="ka-GE"/>
        </w:rPr>
        <w:t>სეგმენტებისთვის</w:t>
      </w:r>
      <w:r w:rsidR="005B566B" w:rsidRPr="00FC2351">
        <w:rPr>
          <w:rFonts w:ascii="Sylfaen" w:hAnsi="Sylfaen"/>
          <w:lang w:val="ka-GE"/>
        </w:rPr>
        <w:t xml:space="preserve"> </w:t>
      </w:r>
      <w:r w:rsidR="007D6DE7" w:rsidRPr="00FC2351">
        <w:rPr>
          <w:rFonts w:ascii="Sylfaen" w:hAnsi="Sylfaen"/>
          <w:lang w:val="ka-GE"/>
        </w:rPr>
        <w:t>(რაც ჩვენს შემთხვევაში გულისხმობს ოპტიკურ-ბოჭკოვანი ტექნოლოგიით მომსახურება</w:t>
      </w:r>
      <w:r w:rsidR="001D3E12" w:rsidRPr="00FC2351">
        <w:rPr>
          <w:rFonts w:ascii="Sylfaen" w:hAnsi="Sylfaen"/>
          <w:lang w:val="ka-GE"/>
        </w:rPr>
        <w:t>ს</w:t>
      </w:r>
      <w:r w:rsidR="005B566B" w:rsidRPr="00FC2351">
        <w:rPr>
          <w:rFonts w:ascii="Sylfaen" w:hAnsi="Sylfaen"/>
          <w:lang w:val="ka-GE"/>
        </w:rPr>
        <w:t>).</w:t>
      </w:r>
      <w:r w:rsidR="007D6DE7" w:rsidRPr="00FC2351">
        <w:rPr>
          <w:rFonts w:ascii="Sylfaen" w:hAnsi="Sylfaen"/>
          <w:lang w:val="ka-GE"/>
        </w:rPr>
        <w:t xml:space="preserve"> ამასთან </w:t>
      </w:r>
      <w:r w:rsidR="00406686" w:rsidRPr="00FC2351">
        <w:rPr>
          <w:rFonts w:ascii="Sylfaen" w:hAnsi="Sylfaen"/>
          <w:lang w:val="ka-GE"/>
        </w:rPr>
        <w:t xml:space="preserve">ოპტიკურ-ბოჭკოვანი ტექნოლოგიის ფიქსირებული </w:t>
      </w:r>
      <w:proofErr w:type="spellStart"/>
      <w:r w:rsidR="00406686" w:rsidRPr="00FC2351">
        <w:rPr>
          <w:rFonts w:ascii="Sylfaen" w:hAnsi="Sylfaen"/>
          <w:lang w:val="ka-GE"/>
        </w:rPr>
        <w:t>ფართოზოლოვანი</w:t>
      </w:r>
      <w:proofErr w:type="spellEnd"/>
      <w:r w:rsidR="00406686" w:rsidRPr="00FC2351">
        <w:rPr>
          <w:rFonts w:ascii="Sylfaen" w:hAnsi="Sylfaen"/>
          <w:lang w:val="ka-GE"/>
        </w:rPr>
        <w:t xml:space="preserve"> საბითუმო ინტერნეტ მომსახურების სეგმენტზე</w:t>
      </w:r>
      <w:r w:rsidR="00770392" w:rsidRPr="00FC2351">
        <w:rPr>
          <w:rFonts w:ascii="Sylfaen" w:hAnsi="Sylfaen"/>
          <w:lang w:val="ka-GE"/>
        </w:rPr>
        <w:t xml:space="preserve"> </w:t>
      </w:r>
      <w:r w:rsidR="006247AB" w:rsidRPr="00FC2351">
        <w:rPr>
          <w:rFonts w:ascii="Sylfaen" w:hAnsi="Sylfaen"/>
          <w:lang w:val="ka-GE"/>
        </w:rPr>
        <w:t xml:space="preserve">WACC განაკვეთს </w:t>
      </w:r>
      <w:r w:rsidR="0064239F" w:rsidRPr="00FC2351">
        <w:rPr>
          <w:rFonts w:ascii="Sylfaen" w:hAnsi="Sylfaen"/>
          <w:lang w:val="ka-GE"/>
        </w:rPr>
        <w:t>შეიძლება</w:t>
      </w:r>
      <w:r w:rsidR="00014864" w:rsidRPr="00FC2351">
        <w:rPr>
          <w:rFonts w:ascii="Sylfaen" w:hAnsi="Sylfaen"/>
          <w:lang w:val="ka-GE"/>
        </w:rPr>
        <w:t xml:space="preserve"> </w:t>
      </w:r>
      <w:r w:rsidR="0064239F" w:rsidRPr="00FC2351">
        <w:rPr>
          <w:rFonts w:ascii="Sylfaen" w:hAnsi="Sylfaen"/>
          <w:lang w:val="ka-GE"/>
        </w:rPr>
        <w:t xml:space="preserve">დაემატოს </w:t>
      </w:r>
      <w:r w:rsidR="00770392" w:rsidRPr="00FC2351">
        <w:rPr>
          <w:rFonts w:ascii="Sylfaen" w:hAnsi="Sylfaen"/>
          <w:lang w:val="ka-GE"/>
        </w:rPr>
        <w:t xml:space="preserve">NGA რისკის პრემიუმი, რომელიც </w:t>
      </w:r>
      <w:r w:rsidR="001B1760" w:rsidRPr="00FC2351">
        <w:rPr>
          <w:rFonts w:ascii="Sylfaen" w:hAnsi="Sylfaen"/>
          <w:lang w:val="ka-GE"/>
        </w:rPr>
        <w:t xml:space="preserve">გამოიყენება იმ შემთხვევაში თუ </w:t>
      </w:r>
      <w:r w:rsidR="00C23DFE" w:rsidRPr="00FC2351">
        <w:rPr>
          <w:rFonts w:ascii="Sylfaen" w:hAnsi="Sylfaen"/>
          <w:lang w:val="ka-GE"/>
        </w:rPr>
        <w:t xml:space="preserve"> </w:t>
      </w:r>
      <w:r w:rsidR="00770392" w:rsidRPr="00FC2351">
        <w:rPr>
          <w:rFonts w:ascii="Sylfaen" w:hAnsi="Sylfaen"/>
          <w:lang w:val="ka-GE"/>
        </w:rPr>
        <w:t xml:space="preserve">NGA </w:t>
      </w:r>
      <w:r w:rsidR="00AC562E" w:rsidRPr="00FC2351">
        <w:rPr>
          <w:rFonts w:ascii="Sylfaen" w:hAnsi="Sylfaen"/>
          <w:lang w:val="ka-GE"/>
        </w:rPr>
        <w:t xml:space="preserve">სეგმენტში </w:t>
      </w:r>
      <w:r w:rsidR="00770392" w:rsidRPr="00FC2351">
        <w:rPr>
          <w:rFonts w:ascii="Sylfaen" w:hAnsi="Sylfaen"/>
          <w:lang w:val="ka-GE"/>
        </w:rPr>
        <w:t>ინვესტიციების</w:t>
      </w:r>
      <w:r w:rsidR="00C23DFE" w:rsidRPr="00FC2351">
        <w:rPr>
          <w:rFonts w:ascii="Sylfaen" w:hAnsi="Sylfaen"/>
          <w:lang w:val="ka-GE"/>
        </w:rPr>
        <w:t>თვის</w:t>
      </w:r>
      <w:r w:rsidR="00770392" w:rsidRPr="00FC2351">
        <w:rPr>
          <w:rFonts w:ascii="Sylfaen" w:hAnsi="Sylfaen"/>
          <w:lang w:val="ka-GE"/>
        </w:rPr>
        <w:t xml:space="preserve"> </w:t>
      </w:r>
      <w:r w:rsidR="00AC562E" w:rsidRPr="00FC2351">
        <w:rPr>
          <w:rFonts w:ascii="Sylfaen" w:hAnsi="Sylfaen"/>
          <w:lang w:val="ka-GE"/>
        </w:rPr>
        <w:t xml:space="preserve">სახეზეა </w:t>
      </w:r>
      <w:r w:rsidR="00C23DFE" w:rsidRPr="00FC2351">
        <w:rPr>
          <w:rFonts w:ascii="Sylfaen" w:hAnsi="Sylfaen"/>
          <w:lang w:val="ka-GE"/>
        </w:rPr>
        <w:t xml:space="preserve">დამატებითი </w:t>
      </w:r>
      <w:r w:rsidR="00770392" w:rsidRPr="00FC2351">
        <w:rPr>
          <w:rFonts w:ascii="Sylfaen" w:hAnsi="Sylfaen"/>
          <w:lang w:val="ka-GE"/>
        </w:rPr>
        <w:t xml:space="preserve">სისტემური რისკის </w:t>
      </w:r>
      <w:r w:rsidR="00C23DFE" w:rsidRPr="00FC2351">
        <w:rPr>
          <w:rFonts w:ascii="Sylfaen" w:hAnsi="Sylfaen"/>
          <w:lang w:val="ka-GE"/>
        </w:rPr>
        <w:t>არსებობის მტკიცებულება</w:t>
      </w:r>
      <w:r w:rsidR="00C12A57" w:rsidRPr="00FC2351">
        <w:rPr>
          <w:rFonts w:ascii="Sylfaen" w:hAnsi="Sylfaen"/>
          <w:lang w:val="ka-GE"/>
        </w:rPr>
        <w:t>.</w:t>
      </w:r>
      <w:r w:rsidR="00C23DFE" w:rsidRPr="00FC2351">
        <w:rPr>
          <w:rFonts w:ascii="Sylfaen" w:hAnsi="Sylfaen"/>
          <w:lang w:val="ka-GE"/>
        </w:rPr>
        <w:t xml:space="preserve"> </w:t>
      </w:r>
      <w:r w:rsidR="00AC562E" w:rsidRPr="00FC2351">
        <w:rPr>
          <w:rFonts w:ascii="Sylfaen" w:hAnsi="Sylfaen"/>
          <w:lang w:val="ka-GE"/>
        </w:rPr>
        <w:t xml:space="preserve">აღნიშნულთან </w:t>
      </w:r>
      <w:r w:rsidR="00C23DFE" w:rsidRPr="00FC2351">
        <w:rPr>
          <w:rFonts w:ascii="Sylfaen" w:hAnsi="Sylfaen"/>
          <w:lang w:val="ka-GE"/>
        </w:rPr>
        <w:t xml:space="preserve">დაკავშირებით </w:t>
      </w:r>
      <w:r w:rsidR="00C23DFE" w:rsidRPr="00FC2351">
        <w:rPr>
          <w:rFonts w:ascii="Sylfaen" w:hAnsi="Sylfaen"/>
          <w:lang w:val="en-GB"/>
        </w:rPr>
        <w:t>PWC</w:t>
      </w:r>
      <w:r w:rsidR="00AC562E" w:rsidRPr="00FC2351">
        <w:rPr>
          <w:rFonts w:ascii="Sylfaen" w:hAnsi="Sylfaen"/>
          <w:lang w:val="en-GB"/>
        </w:rPr>
        <w:t>-</w:t>
      </w:r>
      <w:r w:rsidR="00AC562E" w:rsidRPr="00FC2351">
        <w:rPr>
          <w:rFonts w:ascii="Sylfaen" w:hAnsi="Sylfaen"/>
          <w:lang w:val="ka-GE"/>
        </w:rPr>
        <w:t>ს</w:t>
      </w:r>
      <w:r w:rsidR="00C23DFE" w:rsidRPr="00FC2351">
        <w:rPr>
          <w:rFonts w:ascii="Sylfaen" w:hAnsi="Sylfaen"/>
          <w:lang w:val="en-GB"/>
        </w:rPr>
        <w:t xml:space="preserve"> </w:t>
      </w:r>
      <w:r w:rsidR="00C23DFE" w:rsidRPr="00FC2351">
        <w:rPr>
          <w:rFonts w:ascii="Sylfaen" w:hAnsi="Sylfaen"/>
          <w:lang w:val="ka-GE"/>
        </w:rPr>
        <w:t>სარეკომენდაციო დოკუმენტში აღნიშნავს, რომ ევროკავშირის რიგი ქვეყნების მსგავსად შესაძლოა საქართ</w:t>
      </w:r>
      <w:r w:rsidR="008D46C4" w:rsidRPr="00FC2351">
        <w:rPr>
          <w:rFonts w:ascii="Sylfaen" w:hAnsi="Sylfaen"/>
          <w:lang w:val="ka-GE"/>
        </w:rPr>
        <w:t>ვ</w:t>
      </w:r>
      <w:r w:rsidR="00C23DFE" w:rsidRPr="00FC2351">
        <w:rPr>
          <w:rFonts w:ascii="Sylfaen" w:hAnsi="Sylfaen"/>
          <w:lang w:val="ka-GE"/>
        </w:rPr>
        <w:t xml:space="preserve">ელოში ოპტიკურ-ბოჭკოვანი ტექნოლოგიით მომსახურება არ უკავშირდებოდეს მაღალ სისტემურ რისკს. თუმცა ამისი ემპირიული დასაბუთება გართულებულია „წმინდა“ </w:t>
      </w:r>
      <w:r w:rsidR="00427B61" w:rsidRPr="00FC2351">
        <w:rPr>
          <w:rFonts w:ascii="Sylfaen" w:hAnsi="Sylfaen"/>
          <w:lang w:val="ka-GE"/>
        </w:rPr>
        <w:t xml:space="preserve"> NGA</w:t>
      </w:r>
      <w:r w:rsidR="00C23DFE" w:rsidRPr="00FC2351">
        <w:rPr>
          <w:rFonts w:ascii="Sylfaen" w:hAnsi="Sylfaen"/>
          <w:lang w:val="ka-GE"/>
        </w:rPr>
        <w:t xml:space="preserve"> ქსელის ოპერატორის არ არსებობის გამო.</w:t>
      </w:r>
      <w:r w:rsidR="008D46C4" w:rsidRPr="00FC2351">
        <w:rPr>
          <w:rFonts w:ascii="Sylfaen" w:hAnsi="Sylfaen"/>
          <w:lang w:val="ka-GE"/>
        </w:rPr>
        <w:t xml:space="preserve"> PWC რეკომენდაციის მიხედვით, </w:t>
      </w:r>
      <w:r w:rsidR="00C96103" w:rsidRPr="00FC2351">
        <w:rPr>
          <w:rFonts w:ascii="Sylfaen" w:hAnsi="Sylfaen"/>
          <w:lang w:val="ka-GE"/>
        </w:rPr>
        <w:t xml:space="preserve">კომისიის დამატებითი ანალიზის საფუძველზე თუ გამოიკვეთებოდა საქართველოში NGA ტექნოლოგიაში </w:t>
      </w:r>
      <w:proofErr w:type="spellStart"/>
      <w:r w:rsidR="00C96103" w:rsidRPr="00FC2351">
        <w:rPr>
          <w:rFonts w:ascii="Sylfaen" w:hAnsi="Sylfaen"/>
          <w:lang w:val="ka-GE"/>
        </w:rPr>
        <w:t>ინვესტირებასთან</w:t>
      </w:r>
      <w:proofErr w:type="spellEnd"/>
      <w:r w:rsidR="00C96103" w:rsidRPr="00FC2351">
        <w:rPr>
          <w:rFonts w:ascii="Sylfaen" w:hAnsi="Sylfaen"/>
          <w:lang w:val="ka-GE"/>
        </w:rPr>
        <w:t xml:space="preserve"> დაკავშირებული რისკები, მაშინ შესაძლოა ძირითად WACC-ს ოპტიკურ-ბოჭკოვანი მომსახურებისთვის დაემატოს NGA რისკის პრემიუმი. კომისიის</w:t>
      </w:r>
      <w:r w:rsidR="00427B61" w:rsidRPr="00FC2351">
        <w:rPr>
          <w:rFonts w:ascii="Sylfaen" w:hAnsi="Sylfaen"/>
          <w:lang w:val="ka-GE"/>
        </w:rPr>
        <w:t xml:space="preserve"> </w:t>
      </w:r>
      <w:r w:rsidR="00C23DFE" w:rsidRPr="00FC2351">
        <w:rPr>
          <w:rFonts w:ascii="Sylfaen" w:hAnsi="Sylfaen"/>
          <w:lang w:val="ka-GE"/>
        </w:rPr>
        <w:t xml:space="preserve">დამატებითი ანალიზის საფუძველზე კი გამოიკვეთა, რომ </w:t>
      </w:r>
      <w:r w:rsidR="008D46C4" w:rsidRPr="00FC2351">
        <w:rPr>
          <w:rFonts w:ascii="Sylfaen" w:hAnsi="Sylfaen"/>
          <w:lang w:val="ka-GE"/>
        </w:rPr>
        <w:t xml:space="preserve">NGA </w:t>
      </w:r>
      <w:r w:rsidR="00427B61" w:rsidRPr="00FC2351">
        <w:rPr>
          <w:rFonts w:ascii="Sylfaen" w:hAnsi="Sylfaen"/>
          <w:lang w:val="ka-GE"/>
        </w:rPr>
        <w:t xml:space="preserve">რისკის პრემიუმი </w:t>
      </w:r>
      <w:r w:rsidR="00832C45" w:rsidRPr="00FC2351">
        <w:rPr>
          <w:rFonts w:ascii="Sylfaen" w:hAnsi="Sylfaen"/>
          <w:lang w:val="ka-GE"/>
        </w:rPr>
        <w:t>ძირითად იმ ქვეყნებში გამოიყენება, სადაც NGA ქსელები განვითარების საწყის სტადიაზეა და ჯერ კიდევ ტრადიციული ქსელები დომინირებს.</w:t>
      </w:r>
      <w:r w:rsidR="00C12A57" w:rsidRPr="00A93D2C">
        <w:rPr>
          <w:rFonts w:ascii="Sylfaen" w:hAnsi="Sylfaen"/>
          <w:lang w:val="ka-GE"/>
        </w:rPr>
        <w:t xml:space="preserve"> </w:t>
      </w:r>
      <w:r w:rsidR="00427B61" w:rsidRPr="00A93D2C">
        <w:rPr>
          <w:rFonts w:ascii="Sylfaen" w:hAnsi="Sylfaen"/>
          <w:lang w:val="ka-GE"/>
        </w:rPr>
        <w:t xml:space="preserve">საქართველოში </w:t>
      </w:r>
      <w:r w:rsidR="00C12A57" w:rsidRPr="00A93D2C">
        <w:rPr>
          <w:rFonts w:ascii="Sylfaen" w:hAnsi="Sylfaen"/>
          <w:lang w:val="ka-GE"/>
        </w:rPr>
        <w:t>NGA რისკის პრემიუმი</w:t>
      </w:r>
      <w:r w:rsidR="00427B61" w:rsidRPr="00A93D2C">
        <w:rPr>
          <w:rFonts w:ascii="Sylfaen" w:hAnsi="Sylfaen"/>
          <w:lang w:val="ka-GE"/>
        </w:rPr>
        <w:t>ს გამოყენების მიზანშეწონილობის შესახებ მსჯელობა მოცემულია ქვეთავში „</w:t>
      </w:r>
      <w:r w:rsidR="004F7B16" w:rsidRPr="00A93D2C">
        <w:rPr>
          <w:rFonts w:ascii="Sylfaen" w:hAnsi="Sylfaen"/>
          <w:lang w:val="ka-GE"/>
        </w:rPr>
        <w:fldChar w:fldCharType="begin"/>
      </w:r>
      <w:r w:rsidR="004F7B16" w:rsidRPr="00A93D2C">
        <w:rPr>
          <w:rFonts w:ascii="Sylfaen" w:hAnsi="Sylfaen"/>
          <w:lang w:val="ka-GE"/>
        </w:rPr>
        <w:instrText xml:space="preserve"> REF _Ref92908644 \h </w:instrText>
      </w:r>
      <w:r w:rsidR="00A93D2C">
        <w:rPr>
          <w:rFonts w:ascii="Sylfaen" w:hAnsi="Sylfaen"/>
          <w:lang w:val="ka-GE"/>
        </w:rPr>
        <w:instrText xml:space="preserve"> \* MERGEFORMAT </w:instrText>
      </w:r>
      <w:r w:rsidR="004F7B16" w:rsidRPr="00A93D2C">
        <w:rPr>
          <w:rFonts w:ascii="Sylfaen" w:hAnsi="Sylfaen"/>
          <w:lang w:val="ka-GE"/>
        </w:rPr>
      </w:r>
      <w:r w:rsidR="004F7B16" w:rsidRPr="00A93D2C">
        <w:rPr>
          <w:rFonts w:ascii="Sylfaen" w:hAnsi="Sylfaen"/>
          <w:lang w:val="ka-GE"/>
        </w:rPr>
        <w:fldChar w:fldCharType="separate"/>
      </w:r>
      <w:r w:rsidR="004F7B16" w:rsidRPr="00A93D2C">
        <w:rPr>
          <w:rFonts w:ascii="Sylfaen" w:hAnsi="Sylfaen"/>
          <w:lang w:val="ka-GE"/>
        </w:rPr>
        <w:t>NGA რისკის პრემიუმი</w:t>
      </w:r>
      <w:r w:rsidR="004F7B16" w:rsidRPr="00A93D2C">
        <w:rPr>
          <w:rFonts w:ascii="Sylfaen" w:hAnsi="Sylfaen"/>
          <w:lang w:val="ka-GE"/>
        </w:rPr>
        <w:fldChar w:fldCharType="end"/>
      </w:r>
      <w:r w:rsidR="004F7B16" w:rsidRPr="00A93D2C">
        <w:rPr>
          <w:rFonts w:ascii="Sylfaen" w:hAnsi="Sylfaen"/>
          <w:lang w:val="ka-GE"/>
        </w:rPr>
        <w:t>“</w:t>
      </w:r>
      <w:r w:rsidR="00427B61" w:rsidRPr="00A93D2C">
        <w:rPr>
          <w:rFonts w:ascii="Sylfaen" w:hAnsi="Sylfaen"/>
          <w:lang w:val="ka-GE"/>
        </w:rPr>
        <w:t>.</w:t>
      </w:r>
    </w:p>
    <w:p w14:paraId="71C2BBAE" w14:textId="3BB62AB3" w:rsidR="008D46C4" w:rsidRPr="008D46C4" w:rsidRDefault="008D46C4" w:rsidP="00646F3A">
      <w:pPr>
        <w:jc w:val="both"/>
        <w:rPr>
          <w:rFonts w:ascii="Sylfaen" w:hAnsi="Sylfaen"/>
          <w:lang w:val="ka-GE"/>
        </w:rPr>
      </w:pPr>
      <w:r>
        <w:rPr>
          <w:rFonts w:ascii="Sylfaen" w:hAnsi="Sylfaen"/>
          <w:lang w:val="ka-GE"/>
        </w:rPr>
        <w:t>შესაბამისად, აღნიშნული N</w:t>
      </w:r>
      <w:r w:rsidRPr="0010506D">
        <w:rPr>
          <w:rFonts w:ascii="Sylfaen" w:hAnsi="Sylfaen"/>
          <w:lang w:val="ka-GE"/>
        </w:rPr>
        <w:t xml:space="preserve">GA </w:t>
      </w:r>
      <w:r>
        <w:rPr>
          <w:rFonts w:ascii="Sylfaen" w:hAnsi="Sylfaen"/>
          <w:lang w:val="ka-GE"/>
        </w:rPr>
        <w:t>რისკის პრემიუმის</w:t>
      </w:r>
      <w:r w:rsidRPr="0010506D">
        <w:rPr>
          <w:rFonts w:ascii="Sylfaen" w:hAnsi="Sylfaen"/>
          <w:lang w:val="ka-GE"/>
        </w:rPr>
        <w:t xml:space="preserve"> </w:t>
      </w:r>
      <w:r>
        <w:rPr>
          <w:rFonts w:ascii="Sylfaen" w:hAnsi="Sylfaen"/>
          <w:lang w:val="ka-GE"/>
        </w:rPr>
        <w:t>დადგენამდე</w:t>
      </w:r>
      <w:r w:rsidRPr="0010506D">
        <w:rPr>
          <w:rFonts w:ascii="Sylfaen" w:hAnsi="Sylfaen"/>
          <w:lang w:val="ka-GE"/>
        </w:rPr>
        <w:t xml:space="preserve"> </w:t>
      </w:r>
      <w:r>
        <w:rPr>
          <w:rFonts w:ascii="Sylfaen" w:hAnsi="Sylfaen"/>
          <w:lang w:val="ka-GE"/>
        </w:rPr>
        <w:t>კაპიტალის საშუალო შეწონილი ღირებულების განაკვეთმა წარმოდგენილი დაანგარიშებების მიხედვით 14,49% შე</w:t>
      </w:r>
      <w:r w:rsidR="00471629">
        <w:rPr>
          <w:rFonts w:ascii="Sylfaen" w:hAnsi="Sylfaen"/>
          <w:lang w:val="ka-GE"/>
        </w:rPr>
        <w:t>ა</w:t>
      </w:r>
      <w:r>
        <w:rPr>
          <w:rFonts w:ascii="Sylfaen" w:hAnsi="Sylfaen"/>
          <w:lang w:val="ka-GE"/>
        </w:rPr>
        <w:t xml:space="preserve">დგინა. </w:t>
      </w:r>
      <w:r w:rsidRPr="0010506D">
        <w:rPr>
          <w:rFonts w:ascii="Sylfaen" w:hAnsi="Sylfaen"/>
          <w:lang w:val="ka-GE"/>
        </w:rPr>
        <w:t xml:space="preserve">WACC </w:t>
      </w:r>
      <w:r>
        <w:rPr>
          <w:rFonts w:ascii="Sylfaen" w:hAnsi="Sylfaen"/>
          <w:lang w:val="ka-GE"/>
        </w:rPr>
        <w:t>კალკულაციის დეტალები მოცემულია „</w:t>
      </w:r>
      <w:r>
        <w:rPr>
          <w:rFonts w:ascii="Sylfaen" w:hAnsi="Sylfaen"/>
          <w:lang w:val="ka-GE"/>
        </w:rPr>
        <w:fldChar w:fldCharType="begin"/>
      </w:r>
      <w:r>
        <w:rPr>
          <w:rFonts w:ascii="Sylfaen" w:hAnsi="Sylfaen"/>
          <w:lang w:val="ka-GE"/>
        </w:rPr>
        <w:instrText xml:space="preserve"> REF _Ref92909197 \h </w:instrText>
      </w:r>
      <w:r w:rsidR="00646F3A">
        <w:rPr>
          <w:rFonts w:ascii="Sylfaen" w:hAnsi="Sylfaen"/>
          <w:lang w:val="ka-GE"/>
        </w:rPr>
        <w:instrText xml:space="preserve"> \* MERGEFORMAT </w:instrText>
      </w:r>
      <w:r>
        <w:rPr>
          <w:rFonts w:ascii="Sylfaen" w:hAnsi="Sylfaen"/>
          <w:lang w:val="ka-GE"/>
        </w:rPr>
      </w:r>
      <w:r>
        <w:rPr>
          <w:rFonts w:ascii="Sylfaen" w:hAnsi="Sylfaen"/>
          <w:lang w:val="ka-GE"/>
        </w:rPr>
        <w:fldChar w:fldCharType="separate"/>
      </w:r>
      <w:r w:rsidRPr="0010506D">
        <w:rPr>
          <w:rFonts w:ascii="Sylfaen" w:hAnsi="Sylfaen"/>
          <w:lang w:val="ka-GE"/>
        </w:rPr>
        <w:t xml:space="preserve">ცხრილი </w:t>
      </w:r>
      <w:r w:rsidRPr="0010506D">
        <w:rPr>
          <w:rFonts w:ascii="Sylfaen" w:hAnsi="Sylfaen"/>
          <w:noProof/>
          <w:lang w:val="ka-GE"/>
        </w:rPr>
        <w:t>2</w:t>
      </w:r>
      <w:r>
        <w:rPr>
          <w:rFonts w:ascii="Sylfaen" w:hAnsi="Sylfaen"/>
          <w:lang w:val="ka-GE"/>
        </w:rPr>
        <w:fldChar w:fldCharType="end"/>
      </w:r>
      <w:r>
        <w:rPr>
          <w:rFonts w:ascii="Sylfaen" w:hAnsi="Sylfaen"/>
          <w:lang w:val="ka-GE"/>
        </w:rPr>
        <w:t>“-ში.</w:t>
      </w:r>
    </w:p>
    <w:p w14:paraId="30E72DD2" w14:textId="4100D274" w:rsidR="007033E8" w:rsidRPr="009F0904" w:rsidRDefault="007033E8" w:rsidP="00646F3A">
      <w:pPr>
        <w:pStyle w:val="Caption"/>
        <w:keepNext/>
        <w:rPr>
          <w:rFonts w:ascii="Sylfaen" w:hAnsi="Sylfaen"/>
        </w:rPr>
      </w:pPr>
      <w:bookmarkStart w:id="1" w:name="_Ref92909197"/>
      <w:proofErr w:type="spellStart"/>
      <w:r w:rsidRPr="009F0904">
        <w:rPr>
          <w:rFonts w:ascii="Sylfaen" w:hAnsi="Sylfaen"/>
          <w:sz w:val="22"/>
          <w:szCs w:val="22"/>
        </w:rPr>
        <w:t>ცხრილი</w:t>
      </w:r>
      <w:proofErr w:type="spellEnd"/>
      <w:r w:rsidRPr="009F0904">
        <w:rPr>
          <w:rFonts w:ascii="Sylfaen" w:hAnsi="Sylfaen"/>
          <w:sz w:val="22"/>
          <w:szCs w:val="22"/>
        </w:rPr>
        <w:t xml:space="preserve"> </w:t>
      </w:r>
      <w:r w:rsidRPr="009F0904">
        <w:rPr>
          <w:rFonts w:ascii="Sylfaen" w:hAnsi="Sylfaen"/>
          <w:sz w:val="22"/>
          <w:szCs w:val="22"/>
        </w:rPr>
        <w:fldChar w:fldCharType="begin"/>
      </w:r>
      <w:r w:rsidRPr="009F0904">
        <w:rPr>
          <w:rFonts w:ascii="Sylfaen" w:hAnsi="Sylfaen"/>
          <w:sz w:val="22"/>
          <w:szCs w:val="22"/>
        </w:rPr>
        <w:instrText xml:space="preserve"> SEQ ცხრილი \* ARABIC </w:instrText>
      </w:r>
      <w:r w:rsidRPr="009F0904">
        <w:rPr>
          <w:rFonts w:ascii="Sylfaen" w:hAnsi="Sylfaen"/>
          <w:sz w:val="22"/>
          <w:szCs w:val="22"/>
        </w:rPr>
        <w:fldChar w:fldCharType="separate"/>
      </w:r>
      <w:r w:rsidR="001B1760">
        <w:rPr>
          <w:rFonts w:ascii="Sylfaen" w:hAnsi="Sylfaen"/>
          <w:noProof/>
          <w:sz w:val="22"/>
          <w:szCs w:val="22"/>
        </w:rPr>
        <w:t>2</w:t>
      </w:r>
      <w:r w:rsidRPr="009F0904">
        <w:rPr>
          <w:rFonts w:ascii="Sylfaen" w:hAnsi="Sylfaen"/>
          <w:sz w:val="22"/>
          <w:szCs w:val="22"/>
        </w:rPr>
        <w:fldChar w:fldCharType="end"/>
      </w:r>
      <w:bookmarkEnd w:id="1"/>
    </w:p>
    <w:tbl>
      <w:tblPr>
        <w:tblStyle w:val="PlainTable4"/>
        <w:tblW w:w="9898" w:type="dxa"/>
        <w:tblLook w:val="04A0" w:firstRow="1" w:lastRow="0" w:firstColumn="1" w:lastColumn="0" w:noHBand="0" w:noVBand="1"/>
      </w:tblPr>
      <w:tblGrid>
        <w:gridCol w:w="5500"/>
        <w:gridCol w:w="2199"/>
        <w:gridCol w:w="2199"/>
      </w:tblGrid>
      <w:tr w:rsidR="00A83AF4" w:rsidRPr="007D01AA" w:rsidDel="00630300" w14:paraId="3B703212" w14:textId="77777777" w:rsidTr="00FC2351">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E8347A9" w14:textId="77777777" w:rsidR="00A83AF4" w:rsidRPr="00935FAB" w:rsidDel="00630300" w:rsidRDefault="00A83AF4" w:rsidP="00646F3A">
            <w:pPr>
              <w:jc w:val="center"/>
              <w:rPr>
                <w:rFonts w:ascii="Sylfaen" w:eastAsia="Times New Roman" w:hAnsi="Sylfaen" w:cs="Times New Roman"/>
                <w:color w:val="000000"/>
                <w:sz w:val="20"/>
                <w:szCs w:val="20"/>
                <w:lang w:val="ka-GE" w:eastAsia="ka-GE"/>
              </w:rPr>
            </w:pPr>
          </w:p>
        </w:tc>
        <w:tc>
          <w:tcPr>
            <w:tcW w:w="2199" w:type="dxa"/>
            <w:noWrap/>
            <w:hideMark/>
          </w:tcPr>
          <w:p w14:paraId="7D60E918" w14:textId="77777777" w:rsidR="00A83AF4" w:rsidRPr="00935FAB" w:rsidDel="00630300" w:rsidRDefault="00A83AF4" w:rsidP="00646F3A">
            <w:pPr>
              <w:jc w:val="right"/>
              <w:cnfStyle w:val="100000000000" w:firstRow="1" w:lastRow="0" w:firstColumn="0" w:lastColumn="0" w:oddVBand="0" w:evenVBand="0" w:oddHBand="0" w:evenHBand="0" w:firstRowFirstColumn="0" w:firstRowLastColumn="0" w:lastRowFirstColumn="0" w:lastRowLastColumn="0"/>
              <w:rPr>
                <w:rFonts w:ascii="Sylfaen" w:eastAsia="Times New Roman" w:hAnsi="Sylfaen" w:cs="Times New Roman"/>
                <w:b w:val="0"/>
                <w:bCs w:val="0"/>
                <w:color w:val="000000"/>
                <w:sz w:val="20"/>
                <w:szCs w:val="20"/>
                <w:lang w:val="ka-GE" w:eastAsia="ka-GE"/>
              </w:rPr>
            </w:pPr>
            <w:r w:rsidRPr="00935FAB" w:rsidDel="00630300">
              <w:rPr>
                <w:rFonts w:ascii="Sylfaen" w:eastAsia="Times New Roman" w:hAnsi="Sylfaen" w:cs="Times New Roman"/>
                <w:color w:val="000000"/>
                <w:sz w:val="20"/>
                <w:szCs w:val="20"/>
                <w:lang w:val="ka-GE" w:eastAsia="ka-GE"/>
              </w:rPr>
              <w:t>2018</w:t>
            </w:r>
          </w:p>
        </w:tc>
        <w:tc>
          <w:tcPr>
            <w:tcW w:w="2199" w:type="dxa"/>
            <w:shd w:val="clear" w:color="auto" w:fill="FFFFFF" w:themeFill="background1"/>
            <w:noWrap/>
            <w:hideMark/>
          </w:tcPr>
          <w:p w14:paraId="09DB4199" w14:textId="77777777" w:rsidR="00A83AF4" w:rsidRPr="00FC2351" w:rsidDel="00630300" w:rsidRDefault="00A83AF4" w:rsidP="00646F3A">
            <w:pPr>
              <w:jc w:val="right"/>
              <w:cnfStyle w:val="100000000000" w:firstRow="1" w:lastRow="0" w:firstColumn="0" w:lastColumn="0" w:oddVBand="0" w:evenVBand="0" w:oddHBand="0" w:evenHBand="0" w:firstRowFirstColumn="0" w:firstRowLastColumn="0" w:lastRowFirstColumn="0" w:lastRowLastColumn="0"/>
              <w:rPr>
                <w:rFonts w:ascii="Sylfaen" w:eastAsia="Times New Roman" w:hAnsi="Sylfaen" w:cs="Times New Roman"/>
                <w:b w:val="0"/>
                <w:bCs w:val="0"/>
                <w:color w:val="000000"/>
                <w:sz w:val="20"/>
                <w:szCs w:val="20"/>
                <w:lang w:val="ka-GE" w:eastAsia="ka-GE"/>
              </w:rPr>
            </w:pPr>
            <w:r w:rsidRPr="00FC2351" w:rsidDel="00630300">
              <w:rPr>
                <w:rFonts w:ascii="Sylfaen" w:eastAsia="Times New Roman" w:hAnsi="Sylfaen" w:cs="Times New Roman"/>
                <w:color w:val="000000"/>
                <w:sz w:val="20"/>
                <w:szCs w:val="20"/>
                <w:lang w:val="ka-GE" w:eastAsia="ka-GE"/>
              </w:rPr>
              <w:t>2020</w:t>
            </w:r>
          </w:p>
        </w:tc>
      </w:tr>
      <w:tr w:rsidR="00A83AF4" w:rsidRPr="007D01AA" w:rsidDel="00630300" w14:paraId="5CC866E7" w14:textId="77777777" w:rsidTr="00577A21">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500" w:type="dxa"/>
            <w:noWrap/>
            <w:hideMark/>
          </w:tcPr>
          <w:p w14:paraId="5A3DABD0" w14:textId="77777777" w:rsidR="00A83AF4" w:rsidRPr="00935FAB" w:rsidDel="00630300" w:rsidRDefault="00A83AF4" w:rsidP="00646F3A">
            <w:pPr>
              <w:rPr>
                <w:rFonts w:ascii="Arial" w:eastAsia="Times New Roman" w:hAnsi="Arial" w:cs="Arial"/>
                <w:b w:val="0"/>
                <w:bCs w:val="0"/>
                <w:sz w:val="20"/>
                <w:szCs w:val="20"/>
                <w:lang w:val="ka-GE" w:eastAsia="ka-GE"/>
              </w:rPr>
            </w:pPr>
            <w:r w:rsidRPr="00935FAB" w:rsidDel="00630300">
              <w:rPr>
                <w:rFonts w:ascii="Sylfaen" w:eastAsia="Times New Roman" w:hAnsi="Sylfaen" w:cs="Sylfaen"/>
                <w:sz w:val="20"/>
                <w:szCs w:val="20"/>
                <w:lang w:val="ka-GE" w:eastAsia="ka-GE"/>
              </w:rPr>
              <w:t>ურისკო</w:t>
            </w:r>
            <w:r w:rsidRPr="00935FAB" w:rsidDel="00630300">
              <w:rPr>
                <w:rFonts w:ascii="Arial" w:eastAsia="Times New Roman" w:hAnsi="Arial" w:cs="Arial"/>
                <w:sz w:val="20"/>
                <w:szCs w:val="20"/>
                <w:lang w:val="ka-GE" w:eastAsia="ka-GE"/>
              </w:rPr>
              <w:t xml:space="preserve"> </w:t>
            </w:r>
            <w:r w:rsidRPr="00935FAB" w:rsidDel="00630300">
              <w:rPr>
                <w:rFonts w:ascii="Sylfaen" w:eastAsia="Times New Roman" w:hAnsi="Sylfaen" w:cs="Sylfaen"/>
                <w:sz w:val="20"/>
                <w:szCs w:val="20"/>
                <w:lang w:val="ka-GE" w:eastAsia="ka-GE"/>
              </w:rPr>
              <w:t>საპროცენტო</w:t>
            </w:r>
            <w:r w:rsidRPr="00935FAB" w:rsidDel="00630300">
              <w:rPr>
                <w:rFonts w:ascii="Arial" w:eastAsia="Times New Roman" w:hAnsi="Arial" w:cs="Arial"/>
                <w:sz w:val="20"/>
                <w:szCs w:val="20"/>
                <w:lang w:val="ka-GE" w:eastAsia="ka-GE"/>
              </w:rPr>
              <w:t xml:space="preserve"> </w:t>
            </w:r>
            <w:r w:rsidRPr="00935FAB" w:rsidDel="00630300">
              <w:rPr>
                <w:rFonts w:ascii="Sylfaen" w:eastAsia="Times New Roman" w:hAnsi="Sylfaen" w:cs="Sylfaen"/>
                <w:sz w:val="20"/>
                <w:szCs w:val="20"/>
                <w:lang w:val="ka-GE" w:eastAsia="ka-GE"/>
              </w:rPr>
              <w:t>განაკვეთი</w:t>
            </w:r>
            <w:r w:rsidRPr="00935FAB" w:rsidDel="00630300">
              <w:rPr>
                <w:rFonts w:ascii="Arial" w:eastAsia="Times New Roman" w:hAnsi="Arial" w:cs="Arial"/>
                <w:sz w:val="20"/>
                <w:szCs w:val="20"/>
                <w:lang w:val="ka-GE" w:eastAsia="ka-GE"/>
              </w:rPr>
              <w:t xml:space="preserve"> </w:t>
            </w:r>
          </w:p>
        </w:tc>
        <w:tc>
          <w:tcPr>
            <w:tcW w:w="2199" w:type="dxa"/>
            <w:noWrap/>
            <w:hideMark/>
          </w:tcPr>
          <w:p w14:paraId="0AF52B26" w14:textId="77777777" w:rsidR="00A83AF4" w:rsidRPr="00935FAB" w:rsidDel="00630300" w:rsidRDefault="00A83AF4" w:rsidP="00646F3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ka-GE" w:eastAsia="ka-GE"/>
              </w:rPr>
            </w:pPr>
            <w:r w:rsidRPr="00935FAB" w:rsidDel="00630300">
              <w:rPr>
                <w:rFonts w:ascii="Arial" w:eastAsia="Times New Roman" w:hAnsi="Arial" w:cs="Arial"/>
                <w:sz w:val="20"/>
                <w:szCs w:val="20"/>
                <w:lang w:val="ka-GE" w:eastAsia="ka-GE"/>
              </w:rPr>
              <w:t>9.92%</w:t>
            </w:r>
          </w:p>
        </w:tc>
        <w:tc>
          <w:tcPr>
            <w:tcW w:w="2199" w:type="dxa"/>
            <w:noWrap/>
            <w:hideMark/>
          </w:tcPr>
          <w:p w14:paraId="7A850972" w14:textId="77777777" w:rsidR="00A83AF4" w:rsidRPr="00935FAB" w:rsidDel="00630300" w:rsidRDefault="00A83AF4" w:rsidP="00646F3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ka-GE" w:eastAsia="ka-GE"/>
              </w:rPr>
            </w:pPr>
            <w:r w:rsidRPr="00935FAB" w:rsidDel="00630300">
              <w:rPr>
                <w:rFonts w:ascii="Arial" w:eastAsia="Times New Roman" w:hAnsi="Arial" w:cs="Arial"/>
                <w:sz w:val="20"/>
                <w:szCs w:val="20"/>
                <w:lang w:val="ka-GE" w:eastAsia="ka-GE"/>
              </w:rPr>
              <w:t>9.67%</w:t>
            </w:r>
          </w:p>
        </w:tc>
      </w:tr>
      <w:tr w:rsidR="00A83AF4" w:rsidRPr="007D01AA" w:rsidDel="00630300" w14:paraId="3172247C" w14:textId="77777777" w:rsidTr="00577A21">
        <w:trPr>
          <w:trHeight w:val="271"/>
        </w:trPr>
        <w:tc>
          <w:tcPr>
            <w:cnfStyle w:val="001000000000" w:firstRow="0" w:lastRow="0" w:firstColumn="1" w:lastColumn="0" w:oddVBand="0" w:evenVBand="0" w:oddHBand="0" w:evenHBand="0" w:firstRowFirstColumn="0" w:firstRowLastColumn="0" w:lastRowFirstColumn="0" w:lastRowLastColumn="0"/>
            <w:tcW w:w="5500" w:type="dxa"/>
            <w:noWrap/>
            <w:hideMark/>
          </w:tcPr>
          <w:p w14:paraId="0F209BF0" w14:textId="77777777" w:rsidR="00A83AF4" w:rsidRPr="00935FAB" w:rsidDel="00630300" w:rsidRDefault="00A83AF4" w:rsidP="00646F3A">
            <w:pPr>
              <w:rPr>
                <w:rFonts w:ascii="Arial" w:eastAsia="Times New Roman" w:hAnsi="Arial" w:cs="Arial"/>
                <w:b w:val="0"/>
                <w:bCs w:val="0"/>
                <w:sz w:val="20"/>
                <w:szCs w:val="20"/>
                <w:lang w:val="ka-GE" w:eastAsia="ka-GE"/>
              </w:rPr>
            </w:pPr>
            <w:r w:rsidRPr="00935FAB" w:rsidDel="00630300">
              <w:rPr>
                <w:rFonts w:ascii="Sylfaen" w:eastAsia="Times New Roman" w:hAnsi="Sylfaen" w:cs="Sylfaen"/>
                <w:sz w:val="20"/>
                <w:szCs w:val="20"/>
                <w:lang w:val="ka-GE" w:eastAsia="ka-GE"/>
              </w:rPr>
              <w:t>კაპიტალის</w:t>
            </w:r>
            <w:r w:rsidRPr="00935FAB" w:rsidDel="00630300">
              <w:rPr>
                <w:rFonts w:ascii="Arial" w:eastAsia="Times New Roman" w:hAnsi="Arial" w:cs="Arial"/>
                <w:sz w:val="20"/>
                <w:szCs w:val="20"/>
                <w:lang w:val="ka-GE" w:eastAsia="ka-GE"/>
              </w:rPr>
              <w:t xml:space="preserve"> </w:t>
            </w:r>
            <w:r w:rsidRPr="00935FAB" w:rsidDel="00630300">
              <w:rPr>
                <w:rFonts w:ascii="Sylfaen" w:eastAsia="Times New Roman" w:hAnsi="Sylfaen" w:cs="Sylfaen"/>
                <w:sz w:val="20"/>
                <w:szCs w:val="20"/>
                <w:lang w:val="ka-GE" w:eastAsia="ka-GE"/>
              </w:rPr>
              <w:t>რისკის</w:t>
            </w:r>
            <w:r w:rsidRPr="00935FAB" w:rsidDel="00630300">
              <w:rPr>
                <w:rFonts w:ascii="Arial" w:eastAsia="Times New Roman" w:hAnsi="Arial" w:cs="Arial"/>
                <w:sz w:val="20"/>
                <w:szCs w:val="20"/>
                <w:lang w:val="ka-GE" w:eastAsia="ka-GE"/>
              </w:rPr>
              <w:t xml:space="preserve"> </w:t>
            </w:r>
            <w:r w:rsidRPr="00935FAB" w:rsidDel="00630300">
              <w:rPr>
                <w:rFonts w:ascii="Sylfaen" w:eastAsia="Times New Roman" w:hAnsi="Sylfaen" w:cs="Sylfaen"/>
                <w:sz w:val="20"/>
                <w:szCs w:val="20"/>
                <w:lang w:val="ka-GE" w:eastAsia="ka-GE"/>
              </w:rPr>
              <w:t>პრემიუმი</w:t>
            </w:r>
            <w:r w:rsidRPr="00935FAB" w:rsidDel="00630300">
              <w:rPr>
                <w:rFonts w:ascii="Arial" w:eastAsia="Times New Roman" w:hAnsi="Arial" w:cs="Arial"/>
                <w:sz w:val="20"/>
                <w:szCs w:val="20"/>
                <w:lang w:val="ka-GE" w:eastAsia="ka-GE"/>
              </w:rPr>
              <w:t xml:space="preserve"> </w:t>
            </w:r>
          </w:p>
        </w:tc>
        <w:tc>
          <w:tcPr>
            <w:tcW w:w="2199" w:type="dxa"/>
            <w:noWrap/>
            <w:hideMark/>
          </w:tcPr>
          <w:p w14:paraId="710B0EDE" w14:textId="77777777" w:rsidR="00A83AF4" w:rsidRPr="00935FAB" w:rsidDel="00630300" w:rsidRDefault="00A83AF4" w:rsidP="00646F3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ka-GE" w:eastAsia="ka-GE"/>
              </w:rPr>
            </w:pPr>
            <w:r w:rsidRPr="00935FAB" w:rsidDel="00630300">
              <w:rPr>
                <w:rFonts w:ascii="Arial" w:eastAsia="Times New Roman" w:hAnsi="Arial" w:cs="Arial"/>
                <w:sz w:val="20"/>
                <w:szCs w:val="20"/>
                <w:lang w:val="ka-GE" w:eastAsia="ka-GE"/>
              </w:rPr>
              <w:t>6.00%</w:t>
            </w:r>
          </w:p>
        </w:tc>
        <w:tc>
          <w:tcPr>
            <w:tcW w:w="2199" w:type="dxa"/>
            <w:noWrap/>
            <w:hideMark/>
          </w:tcPr>
          <w:p w14:paraId="50463BD4" w14:textId="77777777" w:rsidR="00A83AF4" w:rsidRPr="00935FAB" w:rsidDel="00630300" w:rsidRDefault="00A83AF4" w:rsidP="00646F3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ka-GE" w:eastAsia="ka-GE"/>
              </w:rPr>
            </w:pPr>
            <w:r w:rsidRPr="00935FAB" w:rsidDel="00630300">
              <w:rPr>
                <w:rFonts w:ascii="Arial" w:eastAsia="Times New Roman" w:hAnsi="Arial" w:cs="Arial"/>
                <w:sz w:val="20"/>
                <w:szCs w:val="20"/>
                <w:lang w:val="ka-GE" w:eastAsia="ka-GE"/>
              </w:rPr>
              <w:t>6.00%</w:t>
            </w:r>
          </w:p>
        </w:tc>
      </w:tr>
      <w:tr w:rsidR="00A83AF4" w:rsidRPr="007D01AA" w:rsidDel="00630300" w14:paraId="64A2E3EE" w14:textId="77777777" w:rsidTr="00577A2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500" w:type="dxa"/>
            <w:noWrap/>
            <w:hideMark/>
          </w:tcPr>
          <w:p w14:paraId="02EE752E" w14:textId="77777777" w:rsidR="00A83AF4" w:rsidRPr="00935FAB" w:rsidDel="00630300" w:rsidRDefault="00A83AF4" w:rsidP="00646F3A">
            <w:pPr>
              <w:rPr>
                <w:rFonts w:ascii="Arial" w:eastAsia="Times New Roman" w:hAnsi="Arial" w:cs="Arial"/>
                <w:b w:val="0"/>
                <w:bCs w:val="0"/>
                <w:sz w:val="20"/>
                <w:szCs w:val="20"/>
                <w:lang w:val="ka-GE" w:eastAsia="ka-GE"/>
              </w:rPr>
            </w:pPr>
            <w:r w:rsidRPr="00935FAB" w:rsidDel="00630300">
              <w:rPr>
                <w:rFonts w:ascii="Sylfaen" w:eastAsia="Times New Roman" w:hAnsi="Sylfaen" w:cs="Sylfaen"/>
                <w:sz w:val="20"/>
                <w:szCs w:val="20"/>
                <w:lang w:val="ka-GE" w:eastAsia="ka-GE"/>
              </w:rPr>
              <w:t>ბეტა</w:t>
            </w:r>
            <w:r w:rsidRPr="00935FAB" w:rsidDel="00630300">
              <w:rPr>
                <w:rFonts w:ascii="Arial" w:eastAsia="Times New Roman" w:hAnsi="Arial" w:cs="Arial"/>
                <w:sz w:val="20"/>
                <w:szCs w:val="20"/>
                <w:lang w:val="ka-GE" w:eastAsia="ka-GE"/>
              </w:rPr>
              <w:t xml:space="preserve"> </w:t>
            </w:r>
          </w:p>
        </w:tc>
        <w:tc>
          <w:tcPr>
            <w:tcW w:w="2199" w:type="dxa"/>
            <w:noWrap/>
            <w:hideMark/>
          </w:tcPr>
          <w:p w14:paraId="111207CE" w14:textId="77777777" w:rsidR="00A83AF4" w:rsidRPr="00935FAB" w:rsidDel="00630300" w:rsidRDefault="00A83AF4" w:rsidP="00646F3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ka-GE" w:eastAsia="ka-GE"/>
              </w:rPr>
            </w:pPr>
            <w:r w:rsidRPr="00935FAB" w:rsidDel="00630300">
              <w:rPr>
                <w:rFonts w:ascii="Arial" w:eastAsia="Times New Roman" w:hAnsi="Arial" w:cs="Arial"/>
                <w:sz w:val="20"/>
                <w:szCs w:val="20"/>
                <w:lang w:val="ka-GE" w:eastAsia="ka-GE"/>
              </w:rPr>
              <w:t>0.93</w:t>
            </w:r>
          </w:p>
        </w:tc>
        <w:tc>
          <w:tcPr>
            <w:tcW w:w="2199" w:type="dxa"/>
            <w:noWrap/>
            <w:hideMark/>
          </w:tcPr>
          <w:p w14:paraId="7BC2361D" w14:textId="77777777" w:rsidR="00A83AF4" w:rsidRPr="00935FAB" w:rsidDel="00630300" w:rsidRDefault="00A83AF4" w:rsidP="00646F3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ka-GE" w:eastAsia="ka-GE"/>
              </w:rPr>
            </w:pPr>
            <w:r w:rsidRPr="00935FAB" w:rsidDel="00630300">
              <w:rPr>
                <w:rFonts w:ascii="Arial" w:eastAsia="Times New Roman" w:hAnsi="Arial" w:cs="Arial"/>
                <w:sz w:val="20"/>
                <w:szCs w:val="20"/>
                <w:lang w:val="ka-GE" w:eastAsia="ka-GE"/>
              </w:rPr>
              <w:t>0.72</w:t>
            </w:r>
          </w:p>
        </w:tc>
      </w:tr>
      <w:tr w:rsidR="00A83AF4" w:rsidRPr="007D01AA" w:rsidDel="00630300" w14:paraId="4912A061" w14:textId="77777777" w:rsidTr="00577A21">
        <w:trPr>
          <w:trHeight w:val="271"/>
        </w:trPr>
        <w:tc>
          <w:tcPr>
            <w:cnfStyle w:val="001000000000" w:firstRow="0" w:lastRow="0" w:firstColumn="1" w:lastColumn="0" w:oddVBand="0" w:evenVBand="0" w:oddHBand="0" w:evenHBand="0" w:firstRowFirstColumn="0" w:firstRowLastColumn="0" w:lastRowFirstColumn="0" w:lastRowLastColumn="0"/>
            <w:tcW w:w="5500" w:type="dxa"/>
            <w:noWrap/>
            <w:hideMark/>
          </w:tcPr>
          <w:p w14:paraId="580F02CB" w14:textId="77777777" w:rsidR="00A83AF4" w:rsidRPr="00935FAB" w:rsidDel="00630300" w:rsidRDefault="00A83AF4" w:rsidP="00646F3A">
            <w:pPr>
              <w:rPr>
                <w:rFonts w:ascii="Arial" w:eastAsia="Times New Roman" w:hAnsi="Arial" w:cs="Arial"/>
                <w:sz w:val="20"/>
                <w:szCs w:val="20"/>
                <w:lang w:val="ka-GE" w:eastAsia="ka-GE"/>
              </w:rPr>
            </w:pPr>
            <w:r w:rsidRPr="00935FAB" w:rsidDel="00630300">
              <w:rPr>
                <w:rFonts w:ascii="Sylfaen" w:eastAsia="Times New Roman" w:hAnsi="Sylfaen" w:cs="Sylfaen"/>
                <w:sz w:val="20"/>
                <w:szCs w:val="20"/>
                <w:lang w:val="ka-GE" w:eastAsia="ka-GE"/>
              </w:rPr>
              <w:t>კაპიტალის</w:t>
            </w:r>
            <w:r w:rsidRPr="00935FAB" w:rsidDel="00630300">
              <w:rPr>
                <w:rFonts w:ascii="Arial" w:eastAsia="Times New Roman" w:hAnsi="Arial" w:cs="Arial"/>
                <w:sz w:val="20"/>
                <w:szCs w:val="20"/>
                <w:lang w:val="ka-GE" w:eastAsia="ka-GE"/>
              </w:rPr>
              <w:t xml:space="preserve"> </w:t>
            </w:r>
            <w:r w:rsidRPr="00935FAB" w:rsidDel="00630300">
              <w:rPr>
                <w:rFonts w:ascii="Sylfaen" w:eastAsia="Times New Roman" w:hAnsi="Sylfaen" w:cs="Sylfaen"/>
                <w:sz w:val="20"/>
                <w:szCs w:val="20"/>
                <w:lang w:val="ka-GE" w:eastAsia="ka-GE"/>
              </w:rPr>
              <w:t>ღირებულება</w:t>
            </w:r>
            <w:r w:rsidRPr="00935FAB" w:rsidDel="00630300">
              <w:rPr>
                <w:rFonts w:ascii="Arial" w:eastAsia="Times New Roman" w:hAnsi="Arial" w:cs="Arial"/>
                <w:sz w:val="20"/>
                <w:szCs w:val="20"/>
                <w:lang w:val="ka-GE" w:eastAsia="ka-GE"/>
              </w:rPr>
              <w:t xml:space="preserve"> </w:t>
            </w:r>
          </w:p>
        </w:tc>
        <w:tc>
          <w:tcPr>
            <w:tcW w:w="2199" w:type="dxa"/>
            <w:noWrap/>
            <w:hideMark/>
          </w:tcPr>
          <w:p w14:paraId="52EAFDB6" w14:textId="77777777" w:rsidR="00A83AF4" w:rsidRPr="00935FAB" w:rsidDel="00630300" w:rsidRDefault="00A83AF4" w:rsidP="00646F3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val="ka-GE" w:eastAsia="ka-GE"/>
              </w:rPr>
            </w:pPr>
            <w:r w:rsidRPr="00935FAB" w:rsidDel="00630300">
              <w:rPr>
                <w:rFonts w:ascii="Arial" w:eastAsia="Times New Roman" w:hAnsi="Arial" w:cs="Arial"/>
                <w:b/>
                <w:bCs/>
                <w:sz w:val="20"/>
                <w:szCs w:val="20"/>
                <w:lang w:val="ka-GE" w:eastAsia="ka-GE"/>
              </w:rPr>
              <w:t>15.49%</w:t>
            </w:r>
          </w:p>
        </w:tc>
        <w:tc>
          <w:tcPr>
            <w:tcW w:w="2199" w:type="dxa"/>
            <w:noWrap/>
            <w:hideMark/>
          </w:tcPr>
          <w:p w14:paraId="1C141266" w14:textId="77777777" w:rsidR="00A83AF4" w:rsidRPr="00935FAB" w:rsidDel="00630300" w:rsidRDefault="00A83AF4" w:rsidP="00646F3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val="ka-GE" w:eastAsia="ka-GE"/>
              </w:rPr>
            </w:pPr>
            <w:r w:rsidRPr="00935FAB" w:rsidDel="00630300">
              <w:rPr>
                <w:rFonts w:ascii="Arial" w:eastAsia="Times New Roman" w:hAnsi="Arial" w:cs="Arial"/>
                <w:b/>
                <w:bCs/>
                <w:sz w:val="20"/>
                <w:szCs w:val="20"/>
                <w:lang w:val="ka-GE" w:eastAsia="ka-GE"/>
              </w:rPr>
              <w:t>14.02%</w:t>
            </w:r>
          </w:p>
        </w:tc>
      </w:tr>
      <w:tr w:rsidR="00A83AF4" w:rsidRPr="007D01AA" w:rsidDel="00630300" w14:paraId="00571A09" w14:textId="77777777" w:rsidTr="00577A21">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500" w:type="dxa"/>
            <w:noWrap/>
            <w:hideMark/>
          </w:tcPr>
          <w:p w14:paraId="6A9F9475" w14:textId="77777777" w:rsidR="00A83AF4" w:rsidRPr="00935FAB" w:rsidDel="00630300" w:rsidRDefault="00A83AF4" w:rsidP="00646F3A">
            <w:pPr>
              <w:rPr>
                <w:rFonts w:ascii="Arial" w:eastAsia="Times New Roman" w:hAnsi="Arial" w:cs="Arial"/>
                <w:b w:val="0"/>
                <w:bCs w:val="0"/>
                <w:sz w:val="20"/>
                <w:szCs w:val="20"/>
                <w:lang w:val="ka-GE" w:eastAsia="ka-GE"/>
              </w:rPr>
            </w:pPr>
            <w:r w:rsidRPr="00935FAB" w:rsidDel="00630300">
              <w:rPr>
                <w:rFonts w:ascii="Sylfaen" w:eastAsia="Times New Roman" w:hAnsi="Sylfaen" w:cs="Sylfaen"/>
                <w:sz w:val="20"/>
                <w:szCs w:val="20"/>
                <w:lang w:val="ka-GE" w:eastAsia="ka-GE"/>
              </w:rPr>
              <w:t>ურისკო</w:t>
            </w:r>
            <w:r w:rsidRPr="00935FAB" w:rsidDel="00630300">
              <w:rPr>
                <w:rFonts w:ascii="Arial" w:eastAsia="Times New Roman" w:hAnsi="Arial" w:cs="Arial"/>
                <w:sz w:val="20"/>
                <w:szCs w:val="20"/>
                <w:lang w:val="ka-GE" w:eastAsia="ka-GE"/>
              </w:rPr>
              <w:t xml:space="preserve"> </w:t>
            </w:r>
            <w:r w:rsidRPr="00935FAB" w:rsidDel="00630300">
              <w:rPr>
                <w:rFonts w:ascii="Sylfaen" w:eastAsia="Times New Roman" w:hAnsi="Sylfaen" w:cs="Sylfaen"/>
                <w:sz w:val="20"/>
                <w:szCs w:val="20"/>
                <w:lang w:val="ka-GE" w:eastAsia="ka-GE"/>
              </w:rPr>
              <w:t>საპროცენტო</w:t>
            </w:r>
            <w:r w:rsidRPr="00935FAB" w:rsidDel="00630300">
              <w:rPr>
                <w:rFonts w:ascii="Arial" w:eastAsia="Times New Roman" w:hAnsi="Arial" w:cs="Arial"/>
                <w:sz w:val="20"/>
                <w:szCs w:val="20"/>
                <w:lang w:val="ka-GE" w:eastAsia="ka-GE"/>
              </w:rPr>
              <w:t xml:space="preserve"> </w:t>
            </w:r>
            <w:r w:rsidRPr="00935FAB" w:rsidDel="00630300">
              <w:rPr>
                <w:rFonts w:ascii="Sylfaen" w:eastAsia="Times New Roman" w:hAnsi="Sylfaen" w:cs="Sylfaen"/>
                <w:sz w:val="20"/>
                <w:szCs w:val="20"/>
                <w:lang w:val="ka-GE" w:eastAsia="ka-GE"/>
              </w:rPr>
              <w:t>განაკვეთი</w:t>
            </w:r>
            <w:r w:rsidRPr="00935FAB" w:rsidDel="00630300">
              <w:rPr>
                <w:rFonts w:ascii="Arial" w:eastAsia="Times New Roman" w:hAnsi="Arial" w:cs="Arial"/>
                <w:sz w:val="20"/>
                <w:szCs w:val="20"/>
                <w:lang w:val="ka-GE" w:eastAsia="ka-GE"/>
              </w:rPr>
              <w:t xml:space="preserve"> </w:t>
            </w:r>
          </w:p>
        </w:tc>
        <w:tc>
          <w:tcPr>
            <w:tcW w:w="2199" w:type="dxa"/>
            <w:noWrap/>
            <w:hideMark/>
          </w:tcPr>
          <w:p w14:paraId="070F49F0" w14:textId="77777777" w:rsidR="00A83AF4" w:rsidRPr="00935FAB" w:rsidDel="00630300" w:rsidRDefault="00A83AF4" w:rsidP="00646F3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ka-GE" w:eastAsia="ka-GE"/>
              </w:rPr>
            </w:pPr>
            <w:r w:rsidRPr="00935FAB" w:rsidDel="00630300">
              <w:rPr>
                <w:rFonts w:ascii="Arial" w:eastAsia="Times New Roman" w:hAnsi="Arial" w:cs="Arial"/>
                <w:sz w:val="20"/>
                <w:szCs w:val="20"/>
                <w:lang w:val="ka-GE" w:eastAsia="ka-GE"/>
              </w:rPr>
              <w:t>9.92%</w:t>
            </w:r>
          </w:p>
        </w:tc>
        <w:tc>
          <w:tcPr>
            <w:tcW w:w="2199" w:type="dxa"/>
            <w:noWrap/>
            <w:hideMark/>
          </w:tcPr>
          <w:p w14:paraId="70943235" w14:textId="77777777" w:rsidR="00A83AF4" w:rsidRPr="00935FAB" w:rsidDel="00630300" w:rsidRDefault="00A83AF4" w:rsidP="00646F3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ka-GE" w:eastAsia="ka-GE"/>
              </w:rPr>
            </w:pPr>
            <w:r w:rsidRPr="00935FAB" w:rsidDel="00630300">
              <w:rPr>
                <w:rFonts w:ascii="Arial" w:eastAsia="Times New Roman" w:hAnsi="Arial" w:cs="Arial"/>
                <w:sz w:val="20"/>
                <w:szCs w:val="20"/>
                <w:lang w:val="ka-GE" w:eastAsia="ka-GE"/>
              </w:rPr>
              <w:t>9.67%</w:t>
            </w:r>
          </w:p>
        </w:tc>
      </w:tr>
      <w:tr w:rsidR="00A83AF4" w:rsidRPr="007D01AA" w:rsidDel="00630300" w14:paraId="18D5B774" w14:textId="77777777" w:rsidTr="00577A21">
        <w:trPr>
          <w:trHeight w:val="271"/>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88E8BA2" w14:textId="77777777" w:rsidR="00A83AF4" w:rsidRPr="00935FAB" w:rsidDel="00630300" w:rsidRDefault="00A83AF4" w:rsidP="00646F3A">
            <w:pPr>
              <w:rPr>
                <w:rFonts w:ascii="Arial" w:eastAsia="Times New Roman" w:hAnsi="Arial" w:cs="Arial"/>
                <w:b w:val="0"/>
                <w:bCs w:val="0"/>
                <w:sz w:val="20"/>
                <w:szCs w:val="20"/>
                <w:lang w:val="ka-GE" w:eastAsia="ka-GE"/>
              </w:rPr>
            </w:pPr>
            <w:r w:rsidRPr="00935FAB" w:rsidDel="00630300">
              <w:rPr>
                <w:rFonts w:ascii="Sylfaen" w:eastAsia="Times New Roman" w:hAnsi="Sylfaen" w:cs="Sylfaen"/>
                <w:sz w:val="20"/>
                <w:szCs w:val="20"/>
                <w:lang w:val="ka-GE" w:eastAsia="ka-GE"/>
              </w:rPr>
              <w:t>სესხის</w:t>
            </w:r>
            <w:r w:rsidRPr="00935FAB" w:rsidDel="00630300">
              <w:rPr>
                <w:rFonts w:ascii="Arial" w:eastAsia="Times New Roman" w:hAnsi="Arial" w:cs="Arial"/>
                <w:sz w:val="20"/>
                <w:szCs w:val="20"/>
                <w:lang w:val="ka-GE" w:eastAsia="ka-GE"/>
              </w:rPr>
              <w:t xml:space="preserve"> </w:t>
            </w:r>
            <w:r w:rsidRPr="00935FAB" w:rsidDel="00630300">
              <w:rPr>
                <w:rFonts w:ascii="Sylfaen" w:eastAsia="Times New Roman" w:hAnsi="Sylfaen" w:cs="Sylfaen"/>
                <w:sz w:val="20"/>
                <w:szCs w:val="20"/>
                <w:lang w:val="ka-GE" w:eastAsia="ka-GE"/>
              </w:rPr>
              <w:t>რისკის</w:t>
            </w:r>
            <w:r w:rsidRPr="00935FAB" w:rsidDel="00630300">
              <w:rPr>
                <w:rFonts w:ascii="Arial" w:eastAsia="Times New Roman" w:hAnsi="Arial" w:cs="Arial"/>
                <w:sz w:val="20"/>
                <w:szCs w:val="20"/>
                <w:lang w:val="ka-GE" w:eastAsia="ka-GE"/>
              </w:rPr>
              <w:t xml:space="preserve"> </w:t>
            </w:r>
            <w:r w:rsidRPr="00935FAB" w:rsidDel="00630300">
              <w:rPr>
                <w:rFonts w:ascii="Sylfaen" w:eastAsia="Times New Roman" w:hAnsi="Sylfaen" w:cs="Sylfaen"/>
                <w:sz w:val="20"/>
                <w:szCs w:val="20"/>
                <w:lang w:val="ka-GE" w:eastAsia="ka-GE"/>
              </w:rPr>
              <w:t>პრემიუმი</w:t>
            </w:r>
            <w:r w:rsidRPr="00935FAB" w:rsidDel="00630300">
              <w:rPr>
                <w:rFonts w:ascii="Arial" w:eastAsia="Times New Roman" w:hAnsi="Arial" w:cs="Arial"/>
                <w:sz w:val="20"/>
                <w:szCs w:val="20"/>
                <w:lang w:val="ka-GE" w:eastAsia="ka-GE"/>
              </w:rPr>
              <w:t xml:space="preserve"> </w:t>
            </w:r>
          </w:p>
        </w:tc>
        <w:tc>
          <w:tcPr>
            <w:tcW w:w="2199" w:type="dxa"/>
            <w:noWrap/>
            <w:hideMark/>
          </w:tcPr>
          <w:p w14:paraId="7F8FA0D0" w14:textId="77777777" w:rsidR="00A83AF4" w:rsidRPr="00935FAB" w:rsidDel="00630300" w:rsidRDefault="00A83AF4" w:rsidP="00646F3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ka-GE" w:eastAsia="ka-GE"/>
              </w:rPr>
            </w:pPr>
            <w:r w:rsidRPr="00935FAB" w:rsidDel="00630300">
              <w:rPr>
                <w:rFonts w:ascii="Arial" w:eastAsia="Times New Roman" w:hAnsi="Arial" w:cs="Arial"/>
                <w:sz w:val="20"/>
                <w:szCs w:val="20"/>
                <w:lang w:val="ka-GE" w:eastAsia="ka-GE"/>
              </w:rPr>
              <w:t>1.51%</w:t>
            </w:r>
          </w:p>
        </w:tc>
        <w:tc>
          <w:tcPr>
            <w:tcW w:w="2199" w:type="dxa"/>
            <w:noWrap/>
            <w:hideMark/>
          </w:tcPr>
          <w:p w14:paraId="4419476B" w14:textId="77777777" w:rsidR="00A83AF4" w:rsidRPr="00935FAB" w:rsidDel="00630300" w:rsidRDefault="00A83AF4" w:rsidP="00646F3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ka-GE" w:eastAsia="ka-GE"/>
              </w:rPr>
            </w:pPr>
            <w:r w:rsidRPr="00935FAB" w:rsidDel="00630300">
              <w:rPr>
                <w:rFonts w:ascii="Arial" w:eastAsia="Times New Roman" w:hAnsi="Arial" w:cs="Arial"/>
                <w:sz w:val="20"/>
                <w:szCs w:val="20"/>
                <w:lang w:val="ka-GE" w:eastAsia="ka-GE"/>
              </w:rPr>
              <w:t>2.06%</w:t>
            </w:r>
          </w:p>
        </w:tc>
      </w:tr>
      <w:tr w:rsidR="00A83AF4" w:rsidRPr="007D01AA" w:rsidDel="00630300" w14:paraId="5F18B840" w14:textId="77777777" w:rsidTr="00577A2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500" w:type="dxa"/>
            <w:noWrap/>
            <w:hideMark/>
          </w:tcPr>
          <w:p w14:paraId="59EB9FFA" w14:textId="77777777" w:rsidR="00A83AF4" w:rsidRPr="00935FAB" w:rsidDel="00630300" w:rsidRDefault="00A83AF4" w:rsidP="00646F3A">
            <w:pPr>
              <w:rPr>
                <w:rFonts w:ascii="Arial" w:eastAsia="Times New Roman" w:hAnsi="Arial" w:cs="Arial"/>
                <w:b w:val="0"/>
                <w:bCs w:val="0"/>
                <w:sz w:val="20"/>
                <w:szCs w:val="20"/>
                <w:lang w:val="ka-GE" w:eastAsia="ka-GE"/>
              </w:rPr>
            </w:pPr>
            <w:r w:rsidRPr="00935FAB" w:rsidDel="00630300">
              <w:rPr>
                <w:rFonts w:ascii="Sylfaen" w:eastAsia="Times New Roman" w:hAnsi="Sylfaen" w:cs="Sylfaen"/>
                <w:sz w:val="20"/>
                <w:szCs w:val="20"/>
                <w:lang w:val="ka-GE" w:eastAsia="ka-GE"/>
              </w:rPr>
              <w:t>მოგების</w:t>
            </w:r>
            <w:r w:rsidRPr="00935FAB" w:rsidDel="00630300">
              <w:rPr>
                <w:rFonts w:ascii="Arial" w:eastAsia="Times New Roman" w:hAnsi="Arial" w:cs="Arial"/>
                <w:sz w:val="20"/>
                <w:szCs w:val="20"/>
                <w:lang w:val="ka-GE" w:eastAsia="ka-GE"/>
              </w:rPr>
              <w:t xml:space="preserve"> </w:t>
            </w:r>
            <w:r w:rsidRPr="00935FAB" w:rsidDel="00630300">
              <w:rPr>
                <w:rFonts w:ascii="Sylfaen" w:eastAsia="Times New Roman" w:hAnsi="Sylfaen" w:cs="Sylfaen"/>
                <w:sz w:val="20"/>
                <w:szCs w:val="20"/>
                <w:lang w:val="ka-GE" w:eastAsia="ka-GE"/>
              </w:rPr>
              <w:t>გადასახადის</w:t>
            </w:r>
            <w:r w:rsidRPr="00935FAB" w:rsidDel="00630300">
              <w:rPr>
                <w:rFonts w:ascii="Arial" w:eastAsia="Times New Roman" w:hAnsi="Arial" w:cs="Arial"/>
                <w:sz w:val="20"/>
                <w:szCs w:val="20"/>
                <w:lang w:val="ka-GE" w:eastAsia="ka-GE"/>
              </w:rPr>
              <w:t xml:space="preserve"> </w:t>
            </w:r>
            <w:r w:rsidRPr="00935FAB" w:rsidDel="00630300">
              <w:rPr>
                <w:rFonts w:ascii="Sylfaen" w:eastAsia="Times New Roman" w:hAnsi="Sylfaen" w:cs="Sylfaen"/>
                <w:sz w:val="20"/>
                <w:szCs w:val="20"/>
                <w:lang w:val="ka-GE" w:eastAsia="ka-GE"/>
              </w:rPr>
              <w:t>ეფექტური</w:t>
            </w:r>
            <w:r w:rsidRPr="00935FAB" w:rsidDel="00630300">
              <w:rPr>
                <w:rFonts w:ascii="Arial" w:eastAsia="Times New Roman" w:hAnsi="Arial" w:cs="Arial"/>
                <w:sz w:val="20"/>
                <w:szCs w:val="20"/>
                <w:lang w:val="ka-GE" w:eastAsia="ka-GE"/>
              </w:rPr>
              <w:t xml:space="preserve"> </w:t>
            </w:r>
            <w:r w:rsidRPr="00935FAB" w:rsidDel="00630300">
              <w:rPr>
                <w:rFonts w:ascii="Sylfaen" w:eastAsia="Times New Roman" w:hAnsi="Sylfaen" w:cs="Sylfaen"/>
                <w:sz w:val="20"/>
                <w:szCs w:val="20"/>
                <w:lang w:val="ka-GE" w:eastAsia="ka-GE"/>
              </w:rPr>
              <w:t>განაკვეთი</w:t>
            </w:r>
            <w:r w:rsidRPr="00935FAB" w:rsidDel="00630300">
              <w:rPr>
                <w:rFonts w:ascii="Arial" w:eastAsia="Times New Roman" w:hAnsi="Arial" w:cs="Arial"/>
                <w:sz w:val="20"/>
                <w:szCs w:val="20"/>
                <w:lang w:val="ka-GE" w:eastAsia="ka-GE"/>
              </w:rPr>
              <w:t xml:space="preserve"> </w:t>
            </w:r>
          </w:p>
        </w:tc>
        <w:tc>
          <w:tcPr>
            <w:tcW w:w="2199" w:type="dxa"/>
            <w:noWrap/>
            <w:hideMark/>
          </w:tcPr>
          <w:p w14:paraId="3F65148F" w14:textId="77777777" w:rsidR="00A83AF4" w:rsidRPr="00935FAB" w:rsidDel="00630300" w:rsidRDefault="00A83AF4" w:rsidP="00646F3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ka-GE" w:eastAsia="ka-GE"/>
              </w:rPr>
            </w:pPr>
            <w:r w:rsidRPr="00935FAB" w:rsidDel="00630300">
              <w:rPr>
                <w:rFonts w:ascii="Arial" w:eastAsia="Times New Roman" w:hAnsi="Arial" w:cs="Arial"/>
                <w:sz w:val="20"/>
                <w:szCs w:val="20"/>
                <w:lang w:val="ka-GE" w:eastAsia="ka-GE"/>
              </w:rPr>
              <w:t>15.00%</w:t>
            </w:r>
          </w:p>
        </w:tc>
        <w:tc>
          <w:tcPr>
            <w:tcW w:w="2199" w:type="dxa"/>
            <w:noWrap/>
            <w:hideMark/>
          </w:tcPr>
          <w:p w14:paraId="23D28A84" w14:textId="77777777" w:rsidR="00A83AF4" w:rsidRPr="00935FAB" w:rsidDel="00630300" w:rsidRDefault="00A83AF4" w:rsidP="00646F3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ka-GE" w:eastAsia="ka-GE"/>
              </w:rPr>
            </w:pPr>
            <w:r w:rsidRPr="00935FAB" w:rsidDel="00630300">
              <w:rPr>
                <w:rFonts w:ascii="Arial" w:eastAsia="Times New Roman" w:hAnsi="Arial" w:cs="Arial"/>
                <w:sz w:val="20"/>
                <w:szCs w:val="20"/>
                <w:lang w:val="ka-GE" w:eastAsia="ka-GE"/>
              </w:rPr>
              <w:t>15.00%</w:t>
            </w:r>
          </w:p>
        </w:tc>
      </w:tr>
      <w:tr w:rsidR="00A83AF4" w:rsidRPr="007D01AA" w:rsidDel="00630300" w14:paraId="247145C1" w14:textId="77777777" w:rsidTr="00577A21">
        <w:trPr>
          <w:trHeight w:val="271"/>
        </w:trPr>
        <w:tc>
          <w:tcPr>
            <w:cnfStyle w:val="001000000000" w:firstRow="0" w:lastRow="0" w:firstColumn="1" w:lastColumn="0" w:oddVBand="0" w:evenVBand="0" w:oddHBand="0" w:evenHBand="0" w:firstRowFirstColumn="0" w:firstRowLastColumn="0" w:lastRowFirstColumn="0" w:lastRowLastColumn="0"/>
            <w:tcW w:w="5500" w:type="dxa"/>
            <w:noWrap/>
            <w:hideMark/>
          </w:tcPr>
          <w:p w14:paraId="52616855" w14:textId="0B30D8CF" w:rsidR="00A83AF4" w:rsidRPr="00935FAB" w:rsidDel="00630300" w:rsidRDefault="00A83AF4" w:rsidP="00646F3A">
            <w:pPr>
              <w:rPr>
                <w:rFonts w:ascii="Arial" w:eastAsia="Times New Roman" w:hAnsi="Arial" w:cs="Arial"/>
                <w:sz w:val="20"/>
                <w:szCs w:val="20"/>
                <w:lang w:val="ka-GE" w:eastAsia="ka-GE"/>
              </w:rPr>
            </w:pPr>
            <w:r w:rsidRPr="00935FAB" w:rsidDel="00630300">
              <w:rPr>
                <w:rFonts w:ascii="Sylfaen" w:eastAsia="Times New Roman" w:hAnsi="Sylfaen" w:cs="Sylfaen"/>
                <w:sz w:val="20"/>
                <w:szCs w:val="20"/>
                <w:lang w:val="ka-GE" w:eastAsia="ka-GE"/>
              </w:rPr>
              <w:t>სესხის</w:t>
            </w:r>
            <w:r w:rsidRPr="00935FAB" w:rsidDel="00630300">
              <w:rPr>
                <w:rFonts w:ascii="Arial" w:eastAsia="Times New Roman" w:hAnsi="Arial" w:cs="Arial"/>
                <w:sz w:val="20"/>
                <w:szCs w:val="20"/>
                <w:lang w:val="ka-GE" w:eastAsia="ka-GE"/>
              </w:rPr>
              <w:t xml:space="preserve"> </w:t>
            </w:r>
            <w:r w:rsidRPr="00935FAB" w:rsidDel="00630300">
              <w:rPr>
                <w:rFonts w:ascii="Sylfaen" w:eastAsia="Times New Roman" w:hAnsi="Sylfaen" w:cs="Sylfaen"/>
                <w:sz w:val="20"/>
                <w:szCs w:val="20"/>
                <w:lang w:val="ka-GE" w:eastAsia="ka-GE"/>
              </w:rPr>
              <w:t>ღ</w:t>
            </w:r>
            <w:r w:rsidR="00D10599">
              <w:rPr>
                <w:rFonts w:ascii="Sylfaen" w:eastAsia="Times New Roman" w:hAnsi="Sylfaen" w:cs="Sylfaen"/>
                <w:sz w:val="20"/>
                <w:szCs w:val="20"/>
                <w:lang w:val="ka-GE" w:eastAsia="ka-GE"/>
              </w:rPr>
              <w:t>ი</w:t>
            </w:r>
            <w:r w:rsidRPr="00935FAB" w:rsidDel="00630300">
              <w:rPr>
                <w:rFonts w:ascii="Sylfaen" w:eastAsia="Times New Roman" w:hAnsi="Sylfaen" w:cs="Sylfaen"/>
                <w:sz w:val="20"/>
                <w:szCs w:val="20"/>
                <w:lang w:val="ka-GE" w:eastAsia="ka-GE"/>
              </w:rPr>
              <w:t>რებულება</w:t>
            </w:r>
            <w:r w:rsidRPr="00935FAB" w:rsidDel="00630300">
              <w:rPr>
                <w:rFonts w:ascii="Arial" w:eastAsia="Times New Roman" w:hAnsi="Arial" w:cs="Arial"/>
                <w:sz w:val="20"/>
                <w:szCs w:val="20"/>
                <w:lang w:val="ka-GE" w:eastAsia="ka-GE"/>
              </w:rPr>
              <w:t xml:space="preserve"> </w:t>
            </w:r>
          </w:p>
        </w:tc>
        <w:tc>
          <w:tcPr>
            <w:tcW w:w="2199" w:type="dxa"/>
            <w:noWrap/>
            <w:hideMark/>
          </w:tcPr>
          <w:p w14:paraId="7DEC7318" w14:textId="77777777" w:rsidR="00A83AF4" w:rsidRPr="00935FAB" w:rsidDel="00630300" w:rsidRDefault="00A83AF4" w:rsidP="00646F3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val="ka-GE" w:eastAsia="ka-GE"/>
              </w:rPr>
            </w:pPr>
            <w:r w:rsidRPr="00935FAB" w:rsidDel="00630300">
              <w:rPr>
                <w:rFonts w:ascii="Arial" w:eastAsia="Times New Roman" w:hAnsi="Arial" w:cs="Arial"/>
                <w:b/>
                <w:bCs/>
                <w:sz w:val="20"/>
                <w:szCs w:val="20"/>
                <w:lang w:val="ka-GE" w:eastAsia="ka-GE"/>
              </w:rPr>
              <w:t>9.71%</w:t>
            </w:r>
          </w:p>
        </w:tc>
        <w:tc>
          <w:tcPr>
            <w:tcW w:w="2199" w:type="dxa"/>
            <w:noWrap/>
            <w:hideMark/>
          </w:tcPr>
          <w:p w14:paraId="73086756" w14:textId="77777777" w:rsidR="00A83AF4" w:rsidRPr="00935FAB" w:rsidDel="00630300" w:rsidRDefault="00A83AF4" w:rsidP="00646F3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val="ka-GE" w:eastAsia="ka-GE"/>
              </w:rPr>
            </w:pPr>
            <w:r w:rsidRPr="00935FAB" w:rsidDel="00630300">
              <w:rPr>
                <w:rFonts w:ascii="Arial" w:eastAsia="Times New Roman" w:hAnsi="Arial" w:cs="Arial"/>
                <w:b/>
                <w:bCs/>
                <w:sz w:val="20"/>
                <w:szCs w:val="20"/>
                <w:lang w:val="ka-GE" w:eastAsia="ka-GE"/>
              </w:rPr>
              <w:t>9.97%</w:t>
            </w:r>
          </w:p>
        </w:tc>
      </w:tr>
      <w:tr w:rsidR="00A83AF4" w:rsidRPr="007D01AA" w:rsidDel="00630300" w14:paraId="310FF12B" w14:textId="77777777" w:rsidTr="00577A21">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500" w:type="dxa"/>
            <w:noWrap/>
            <w:hideMark/>
          </w:tcPr>
          <w:p w14:paraId="288DCC2A" w14:textId="77777777" w:rsidR="00A83AF4" w:rsidRPr="00935FAB" w:rsidDel="00630300" w:rsidRDefault="00A83AF4" w:rsidP="00646F3A">
            <w:pPr>
              <w:rPr>
                <w:rFonts w:ascii="Arial" w:eastAsia="Times New Roman" w:hAnsi="Arial" w:cs="Arial"/>
                <w:b w:val="0"/>
                <w:bCs w:val="0"/>
                <w:sz w:val="20"/>
                <w:szCs w:val="20"/>
                <w:lang w:val="ka-GE" w:eastAsia="ka-GE"/>
              </w:rPr>
            </w:pPr>
            <w:r w:rsidRPr="00935FAB" w:rsidDel="00630300">
              <w:rPr>
                <w:rFonts w:ascii="Sylfaen" w:eastAsia="Times New Roman" w:hAnsi="Sylfaen" w:cs="Sylfaen"/>
                <w:sz w:val="20"/>
                <w:szCs w:val="20"/>
                <w:lang w:val="ka-GE" w:eastAsia="ka-GE"/>
              </w:rPr>
              <w:t>მოზიდული</w:t>
            </w:r>
            <w:r w:rsidRPr="00935FAB" w:rsidDel="00630300">
              <w:rPr>
                <w:rFonts w:ascii="Arial" w:eastAsia="Times New Roman" w:hAnsi="Arial" w:cs="Arial"/>
                <w:sz w:val="20"/>
                <w:szCs w:val="20"/>
                <w:lang w:val="ka-GE" w:eastAsia="ka-GE"/>
              </w:rPr>
              <w:t xml:space="preserve"> </w:t>
            </w:r>
            <w:r w:rsidRPr="00935FAB" w:rsidDel="00630300">
              <w:rPr>
                <w:rFonts w:ascii="Sylfaen" w:eastAsia="Times New Roman" w:hAnsi="Sylfaen" w:cs="Sylfaen"/>
                <w:sz w:val="20"/>
                <w:szCs w:val="20"/>
                <w:lang w:val="ka-GE" w:eastAsia="ka-GE"/>
              </w:rPr>
              <w:t>კაპიტალის</w:t>
            </w:r>
            <w:r w:rsidRPr="00935FAB" w:rsidDel="00630300">
              <w:rPr>
                <w:rFonts w:ascii="Arial" w:eastAsia="Times New Roman" w:hAnsi="Arial" w:cs="Arial"/>
                <w:sz w:val="20"/>
                <w:szCs w:val="20"/>
                <w:lang w:val="ka-GE" w:eastAsia="ka-GE"/>
              </w:rPr>
              <w:t xml:space="preserve"> </w:t>
            </w:r>
            <w:r w:rsidRPr="00935FAB" w:rsidDel="00630300">
              <w:rPr>
                <w:rFonts w:ascii="Sylfaen" w:eastAsia="Times New Roman" w:hAnsi="Sylfaen" w:cs="Sylfaen"/>
                <w:sz w:val="20"/>
                <w:szCs w:val="20"/>
                <w:lang w:val="ka-GE" w:eastAsia="ka-GE"/>
              </w:rPr>
              <w:t>წილი</w:t>
            </w:r>
            <w:r w:rsidRPr="00935FAB" w:rsidDel="00630300">
              <w:rPr>
                <w:rFonts w:ascii="Arial" w:eastAsia="Times New Roman" w:hAnsi="Arial" w:cs="Arial"/>
                <w:sz w:val="20"/>
                <w:szCs w:val="20"/>
                <w:lang w:val="ka-GE" w:eastAsia="ka-GE"/>
              </w:rPr>
              <w:t xml:space="preserve"> </w:t>
            </w:r>
            <w:r w:rsidRPr="00935FAB" w:rsidDel="00630300">
              <w:rPr>
                <w:rFonts w:ascii="Sylfaen" w:eastAsia="Times New Roman" w:hAnsi="Sylfaen" w:cs="Sylfaen"/>
                <w:sz w:val="20"/>
                <w:szCs w:val="20"/>
                <w:lang w:val="ka-GE" w:eastAsia="ka-GE"/>
              </w:rPr>
              <w:t>დატვირთულ</w:t>
            </w:r>
            <w:r w:rsidRPr="00935FAB" w:rsidDel="00630300">
              <w:rPr>
                <w:rFonts w:ascii="Arial" w:eastAsia="Times New Roman" w:hAnsi="Arial" w:cs="Arial"/>
                <w:sz w:val="20"/>
                <w:szCs w:val="20"/>
                <w:lang w:val="ka-GE" w:eastAsia="ka-GE"/>
              </w:rPr>
              <w:t xml:space="preserve"> </w:t>
            </w:r>
            <w:r w:rsidRPr="00935FAB" w:rsidDel="00630300">
              <w:rPr>
                <w:rFonts w:ascii="Sylfaen" w:eastAsia="Times New Roman" w:hAnsi="Sylfaen" w:cs="Sylfaen"/>
                <w:sz w:val="20"/>
                <w:szCs w:val="20"/>
                <w:lang w:val="ka-GE" w:eastAsia="ka-GE"/>
              </w:rPr>
              <w:t>კაპიტალში</w:t>
            </w:r>
            <w:r w:rsidRPr="00935FAB" w:rsidDel="00630300">
              <w:rPr>
                <w:rFonts w:ascii="Arial" w:eastAsia="Times New Roman" w:hAnsi="Arial" w:cs="Arial"/>
                <w:sz w:val="20"/>
                <w:szCs w:val="20"/>
                <w:lang w:val="ka-GE" w:eastAsia="ka-GE"/>
              </w:rPr>
              <w:t xml:space="preserve"> </w:t>
            </w:r>
          </w:p>
        </w:tc>
        <w:tc>
          <w:tcPr>
            <w:tcW w:w="2199" w:type="dxa"/>
            <w:noWrap/>
            <w:hideMark/>
          </w:tcPr>
          <w:p w14:paraId="62DE32EF" w14:textId="77777777" w:rsidR="00A83AF4" w:rsidRPr="00935FAB" w:rsidDel="00630300" w:rsidRDefault="00A83AF4" w:rsidP="00646F3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ka-GE" w:eastAsia="ka-GE"/>
              </w:rPr>
            </w:pPr>
            <w:r w:rsidRPr="00935FAB" w:rsidDel="00630300">
              <w:rPr>
                <w:rFonts w:ascii="Arial" w:eastAsia="Times New Roman" w:hAnsi="Arial" w:cs="Arial"/>
                <w:sz w:val="20"/>
                <w:szCs w:val="20"/>
                <w:lang w:val="ka-GE" w:eastAsia="ka-GE"/>
              </w:rPr>
              <w:t>48%</w:t>
            </w:r>
          </w:p>
        </w:tc>
        <w:tc>
          <w:tcPr>
            <w:tcW w:w="2199" w:type="dxa"/>
            <w:noWrap/>
            <w:hideMark/>
          </w:tcPr>
          <w:p w14:paraId="0154E633" w14:textId="77777777" w:rsidR="00A83AF4" w:rsidRPr="00935FAB" w:rsidDel="00630300" w:rsidRDefault="00A83AF4" w:rsidP="00646F3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ka-GE" w:eastAsia="ka-GE"/>
              </w:rPr>
            </w:pPr>
            <w:r w:rsidRPr="00935FAB" w:rsidDel="00630300">
              <w:rPr>
                <w:rFonts w:ascii="Arial" w:eastAsia="Times New Roman" w:hAnsi="Arial" w:cs="Arial"/>
                <w:sz w:val="20"/>
                <w:szCs w:val="20"/>
                <w:lang w:val="ka-GE" w:eastAsia="ka-GE"/>
              </w:rPr>
              <w:t>42%</w:t>
            </w:r>
          </w:p>
        </w:tc>
      </w:tr>
      <w:tr w:rsidR="00A83AF4" w:rsidRPr="007D01AA" w:rsidDel="00630300" w14:paraId="674DE4C6" w14:textId="77777777" w:rsidTr="00577A21">
        <w:trPr>
          <w:trHeight w:val="285"/>
        </w:trPr>
        <w:tc>
          <w:tcPr>
            <w:cnfStyle w:val="001000000000" w:firstRow="0" w:lastRow="0" w:firstColumn="1" w:lastColumn="0" w:oddVBand="0" w:evenVBand="0" w:oddHBand="0" w:evenHBand="0" w:firstRowFirstColumn="0" w:firstRowLastColumn="0" w:lastRowFirstColumn="0" w:lastRowLastColumn="0"/>
            <w:tcW w:w="5500" w:type="dxa"/>
            <w:noWrap/>
            <w:hideMark/>
          </w:tcPr>
          <w:p w14:paraId="4BA3D2C4" w14:textId="77777777" w:rsidR="00A83AF4" w:rsidRPr="00935FAB" w:rsidDel="00630300" w:rsidRDefault="00A83AF4" w:rsidP="00646F3A">
            <w:pPr>
              <w:rPr>
                <w:rFonts w:ascii="Arial" w:eastAsia="Times New Roman" w:hAnsi="Arial" w:cs="Arial"/>
                <w:sz w:val="20"/>
                <w:szCs w:val="20"/>
                <w:lang w:val="ka-GE" w:eastAsia="ka-GE"/>
              </w:rPr>
            </w:pPr>
            <w:r w:rsidRPr="00935FAB" w:rsidDel="00630300">
              <w:rPr>
                <w:rFonts w:ascii="Arial" w:eastAsia="Times New Roman" w:hAnsi="Arial" w:cs="Arial"/>
                <w:sz w:val="20"/>
                <w:szCs w:val="20"/>
                <w:lang w:val="ka-GE" w:eastAsia="ka-GE"/>
              </w:rPr>
              <w:t xml:space="preserve">WACC </w:t>
            </w:r>
            <w:r w:rsidRPr="00935FAB" w:rsidDel="00630300">
              <w:rPr>
                <w:rFonts w:ascii="Sylfaen" w:eastAsia="Times New Roman" w:hAnsi="Sylfaen" w:cs="Sylfaen"/>
                <w:sz w:val="20"/>
                <w:szCs w:val="20"/>
                <w:lang w:val="ka-GE" w:eastAsia="ka-GE"/>
              </w:rPr>
              <w:t>დაბეგვრის</w:t>
            </w:r>
            <w:r w:rsidRPr="00935FAB" w:rsidDel="00630300">
              <w:rPr>
                <w:rFonts w:ascii="Arial" w:eastAsia="Times New Roman" w:hAnsi="Arial" w:cs="Arial"/>
                <w:sz w:val="20"/>
                <w:szCs w:val="20"/>
                <w:lang w:val="ka-GE" w:eastAsia="ka-GE"/>
              </w:rPr>
              <w:t xml:space="preserve"> </w:t>
            </w:r>
            <w:r w:rsidRPr="00935FAB" w:rsidDel="00630300">
              <w:rPr>
                <w:rFonts w:ascii="Sylfaen" w:eastAsia="Times New Roman" w:hAnsi="Sylfaen" w:cs="Sylfaen"/>
                <w:sz w:val="20"/>
                <w:szCs w:val="20"/>
                <w:lang w:val="ka-GE" w:eastAsia="ka-GE"/>
              </w:rPr>
              <w:t>შემდეგ</w:t>
            </w:r>
            <w:r w:rsidRPr="00935FAB" w:rsidDel="00630300">
              <w:rPr>
                <w:rFonts w:ascii="Arial" w:eastAsia="Times New Roman" w:hAnsi="Arial" w:cs="Arial"/>
                <w:sz w:val="20"/>
                <w:szCs w:val="20"/>
                <w:lang w:val="ka-GE" w:eastAsia="ka-GE"/>
              </w:rPr>
              <w:t xml:space="preserve"> </w:t>
            </w:r>
          </w:p>
        </w:tc>
        <w:tc>
          <w:tcPr>
            <w:tcW w:w="2199" w:type="dxa"/>
            <w:noWrap/>
            <w:hideMark/>
          </w:tcPr>
          <w:p w14:paraId="66D98DDE" w14:textId="77777777" w:rsidR="00A83AF4" w:rsidRPr="00935FAB" w:rsidDel="00630300" w:rsidRDefault="00A83AF4" w:rsidP="00646F3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val="ka-GE" w:eastAsia="ka-GE"/>
              </w:rPr>
            </w:pPr>
            <w:r w:rsidRPr="00935FAB" w:rsidDel="00630300">
              <w:rPr>
                <w:rFonts w:ascii="Arial" w:eastAsia="Times New Roman" w:hAnsi="Arial" w:cs="Arial"/>
                <w:b/>
                <w:bCs/>
                <w:sz w:val="20"/>
                <w:szCs w:val="20"/>
                <w:lang w:val="ka-GE" w:eastAsia="ka-GE"/>
              </w:rPr>
              <w:t>12.71%</w:t>
            </w:r>
          </w:p>
        </w:tc>
        <w:tc>
          <w:tcPr>
            <w:tcW w:w="2199" w:type="dxa"/>
            <w:noWrap/>
            <w:hideMark/>
          </w:tcPr>
          <w:p w14:paraId="43246BF1" w14:textId="77777777" w:rsidR="00A83AF4" w:rsidRPr="00935FAB" w:rsidDel="00630300" w:rsidRDefault="00A83AF4" w:rsidP="00646F3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lang w:val="ka-GE" w:eastAsia="ka-GE"/>
              </w:rPr>
            </w:pPr>
            <w:r w:rsidRPr="00935FAB" w:rsidDel="00630300">
              <w:rPr>
                <w:rFonts w:ascii="Arial" w:eastAsia="Times New Roman" w:hAnsi="Arial" w:cs="Arial"/>
                <w:b/>
                <w:bCs/>
                <w:sz w:val="20"/>
                <w:szCs w:val="20"/>
                <w:lang w:val="ka-GE" w:eastAsia="ka-GE"/>
              </w:rPr>
              <w:t>12.32%</w:t>
            </w:r>
          </w:p>
        </w:tc>
      </w:tr>
      <w:tr w:rsidR="00A83AF4" w:rsidRPr="007D01AA" w:rsidDel="00630300" w14:paraId="1F441930" w14:textId="77777777" w:rsidTr="00577A2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500" w:type="dxa"/>
            <w:noWrap/>
            <w:hideMark/>
          </w:tcPr>
          <w:p w14:paraId="324E732C" w14:textId="77777777" w:rsidR="00A83AF4" w:rsidRPr="00935FAB" w:rsidDel="00630300" w:rsidRDefault="00A83AF4" w:rsidP="00646F3A">
            <w:pPr>
              <w:rPr>
                <w:rFonts w:ascii="Arial" w:eastAsia="Times New Roman" w:hAnsi="Arial" w:cs="Arial"/>
                <w:sz w:val="20"/>
                <w:szCs w:val="20"/>
                <w:lang w:val="ka-GE" w:eastAsia="ka-GE"/>
              </w:rPr>
            </w:pPr>
            <w:r w:rsidRPr="00935FAB" w:rsidDel="00630300">
              <w:rPr>
                <w:rFonts w:ascii="Arial" w:eastAsia="Times New Roman" w:hAnsi="Arial" w:cs="Arial"/>
                <w:sz w:val="20"/>
                <w:szCs w:val="20"/>
                <w:lang w:val="ka-GE" w:eastAsia="ka-GE"/>
              </w:rPr>
              <w:t xml:space="preserve">WACC </w:t>
            </w:r>
            <w:r w:rsidRPr="00935FAB" w:rsidDel="00630300">
              <w:rPr>
                <w:rFonts w:ascii="Sylfaen" w:eastAsia="Times New Roman" w:hAnsi="Sylfaen" w:cs="Sylfaen"/>
                <w:sz w:val="20"/>
                <w:szCs w:val="20"/>
                <w:lang w:val="ka-GE" w:eastAsia="ka-GE"/>
              </w:rPr>
              <w:t>დაბეგვრამდე</w:t>
            </w:r>
          </w:p>
        </w:tc>
        <w:tc>
          <w:tcPr>
            <w:tcW w:w="2199" w:type="dxa"/>
            <w:noWrap/>
            <w:hideMark/>
          </w:tcPr>
          <w:p w14:paraId="06A52067" w14:textId="77777777" w:rsidR="00A83AF4" w:rsidRPr="00935FAB" w:rsidDel="00630300" w:rsidRDefault="00A83AF4" w:rsidP="00646F3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val="ka-GE" w:eastAsia="ka-GE"/>
              </w:rPr>
            </w:pPr>
            <w:r w:rsidRPr="00935FAB" w:rsidDel="00630300">
              <w:rPr>
                <w:rFonts w:ascii="Arial" w:eastAsia="Times New Roman" w:hAnsi="Arial" w:cs="Arial"/>
                <w:b/>
                <w:bCs/>
                <w:sz w:val="20"/>
                <w:szCs w:val="20"/>
                <w:lang w:val="ka-GE" w:eastAsia="ka-GE"/>
              </w:rPr>
              <w:t>14.95%</w:t>
            </w:r>
          </w:p>
        </w:tc>
        <w:tc>
          <w:tcPr>
            <w:tcW w:w="2199" w:type="dxa"/>
            <w:noWrap/>
            <w:hideMark/>
          </w:tcPr>
          <w:p w14:paraId="07D8B27D" w14:textId="77777777" w:rsidR="00A83AF4" w:rsidRPr="00935FAB" w:rsidDel="00630300" w:rsidRDefault="00A83AF4" w:rsidP="00646F3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val="ka-GE" w:eastAsia="ka-GE"/>
              </w:rPr>
            </w:pPr>
            <w:r w:rsidRPr="00935FAB" w:rsidDel="00630300">
              <w:rPr>
                <w:rFonts w:ascii="Arial" w:eastAsia="Times New Roman" w:hAnsi="Arial" w:cs="Arial"/>
                <w:b/>
                <w:bCs/>
                <w:sz w:val="20"/>
                <w:szCs w:val="20"/>
                <w:lang w:val="ka-GE" w:eastAsia="ka-GE"/>
              </w:rPr>
              <w:t>14.49%</w:t>
            </w:r>
          </w:p>
        </w:tc>
      </w:tr>
    </w:tbl>
    <w:p w14:paraId="6AB94494" w14:textId="77777777" w:rsidR="00D70E24" w:rsidRDefault="00D70E24" w:rsidP="00646F3A">
      <w:pPr>
        <w:jc w:val="both"/>
        <w:rPr>
          <w:rFonts w:ascii="Sylfaen" w:hAnsi="Sylfaen"/>
          <w:lang w:val="ka-GE"/>
        </w:rPr>
      </w:pPr>
    </w:p>
    <w:p w14:paraId="7C3A7589" w14:textId="3D3A2C00" w:rsidR="00770392" w:rsidRPr="00F5432B" w:rsidRDefault="0031268B" w:rsidP="00646F3A">
      <w:pPr>
        <w:jc w:val="both"/>
        <w:rPr>
          <w:rFonts w:ascii="Sylfaen" w:hAnsi="Sylfaen"/>
          <w:lang w:val="ka-GE"/>
        </w:rPr>
      </w:pPr>
      <w:r w:rsidRPr="00D14074">
        <w:rPr>
          <w:rFonts w:ascii="Sylfaen" w:hAnsi="Sylfaen"/>
          <w:lang w:val="ka-GE"/>
        </w:rPr>
        <w:t xml:space="preserve">კომისიამ </w:t>
      </w:r>
      <w:r w:rsidR="006247AB" w:rsidRPr="00D14074">
        <w:rPr>
          <w:rFonts w:ascii="Sylfaen" w:hAnsi="Sylfaen"/>
          <w:lang w:val="ka-GE"/>
        </w:rPr>
        <w:t>დაინტ</w:t>
      </w:r>
      <w:r w:rsidR="00AC0895" w:rsidRPr="00D14074">
        <w:rPr>
          <w:rFonts w:ascii="Sylfaen" w:hAnsi="Sylfaen"/>
          <w:lang w:val="ka-GE"/>
        </w:rPr>
        <w:t>ე</w:t>
      </w:r>
      <w:r w:rsidR="006247AB" w:rsidRPr="00D14074">
        <w:rPr>
          <w:rFonts w:ascii="Sylfaen" w:hAnsi="Sylfaen"/>
          <w:lang w:val="ka-GE"/>
        </w:rPr>
        <w:t>რესებული მხარეებისთვის</w:t>
      </w:r>
      <w:r w:rsidR="008D46C4" w:rsidRPr="00D14074">
        <w:rPr>
          <w:rFonts w:ascii="Sylfaen" w:hAnsi="Sylfaen"/>
          <w:lang w:val="ka-GE"/>
        </w:rPr>
        <w:t xml:space="preserve"> </w:t>
      </w:r>
      <w:r w:rsidR="008D46C4" w:rsidRPr="00D14074">
        <w:rPr>
          <w:rFonts w:ascii="Sylfaen" w:hAnsi="Sylfaen"/>
          <w:lang w:val="en-GB"/>
        </w:rPr>
        <w:t xml:space="preserve">WACC </w:t>
      </w:r>
      <w:r w:rsidR="004D746D" w:rsidRPr="00D14074">
        <w:rPr>
          <w:rFonts w:ascii="Sylfaen" w:hAnsi="Sylfaen"/>
          <w:lang w:val="ka-GE"/>
        </w:rPr>
        <w:t>მეთოდოლოგიის და წინასწარი შედეგების</w:t>
      </w:r>
      <w:r w:rsidR="008D46C4" w:rsidRPr="00D14074">
        <w:rPr>
          <w:rFonts w:ascii="Sylfaen" w:hAnsi="Sylfaen"/>
          <w:lang w:val="ka-GE"/>
        </w:rPr>
        <w:t xml:space="preserve"> შესახებ</w:t>
      </w:r>
      <w:r w:rsidR="006247AB" w:rsidRPr="00D14074">
        <w:rPr>
          <w:rFonts w:ascii="Sylfaen" w:hAnsi="Sylfaen"/>
          <w:lang w:val="ka-GE"/>
        </w:rPr>
        <w:t xml:space="preserve"> რამდენიმე განხილვა მოაწყო სამუშაო ფორმატში - ოპერატორების და საკონსულტაციო კომპანია </w:t>
      </w:r>
      <w:r w:rsidR="006247AB" w:rsidRPr="00D14074">
        <w:rPr>
          <w:rFonts w:ascii="Sylfaen" w:hAnsi="Sylfaen"/>
          <w:lang w:val="de-DE"/>
        </w:rPr>
        <w:t>PWC</w:t>
      </w:r>
      <w:r w:rsidR="006247AB" w:rsidRPr="00D14074">
        <w:rPr>
          <w:rFonts w:ascii="Sylfaen" w:hAnsi="Sylfaen"/>
          <w:lang w:val="ka-GE"/>
        </w:rPr>
        <w:t>-ს</w:t>
      </w:r>
      <w:r w:rsidR="006247AB" w:rsidRPr="00D14074">
        <w:rPr>
          <w:rFonts w:ascii="Sylfaen" w:hAnsi="Sylfaen"/>
          <w:lang w:val="de-DE"/>
        </w:rPr>
        <w:t xml:space="preserve"> </w:t>
      </w:r>
      <w:r w:rsidR="006247AB" w:rsidRPr="00D14074">
        <w:rPr>
          <w:rFonts w:ascii="Sylfaen" w:hAnsi="Sylfaen"/>
          <w:lang w:val="ka-GE"/>
        </w:rPr>
        <w:t>მონაწილეობით</w:t>
      </w:r>
      <w:r w:rsidR="00123274" w:rsidRPr="00D14074">
        <w:rPr>
          <w:rFonts w:ascii="Sylfaen" w:hAnsi="Sylfaen"/>
          <w:lang w:val="ka-GE"/>
        </w:rPr>
        <w:t>.</w:t>
      </w:r>
      <w:r w:rsidR="006247AB" w:rsidRPr="00D14074">
        <w:rPr>
          <w:rFonts w:ascii="Sylfaen" w:hAnsi="Sylfaen"/>
          <w:lang w:val="ka-GE"/>
        </w:rPr>
        <w:t xml:space="preserve"> აღნიშნული შეხვედრები გაიმა</w:t>
      </w:r>
      <w:r w:rsidR="00AC0895" w:rsidRPr="00D14074">
        <w:rPr>
          <w:rFonts w:ascii="Sylfaen" w:hAnsi="Sylfaen"/>
          <w:lang w:val="ka-GE"/>
        </w:rPr>
        <w:t>რ</w:t>
      </w:r>
      <w:r w:rsidR="006247AB" w:rsidRPr="00D14074">
        <w:rPr>
          <w:rFonts w:ascii="Sylfaen" w:hAnsi="Sylfaen"/>
          <w:lang w:val="ka-GE"/>
        </w:rPr>
        <w:t>თა</w:t>
      </w:r>
      <w:r w:rsidR="00770392" w:rsidRPr="00D14074">
        <w:rPr>
          <w:rFonts w:ascii="Sylfaen" w:hAnsi="Sylfaen"/>
          <w:lang w:val="ka-GE"/>
        </w:rPr>
        <w:t xml:space="preserve"> 2021 წლის 22 იანვარს, 2021 წლის 1 თებერვალს და </w:t>
      </w:r>
      <w:r w:rsidR="00B96A6F" w:rsidRPr="00D14074">
        <w:rPr>
          <w:rFonts w:ascii="Sylfaen" w:hAnsi="Sylfaen"/>
          <w:lang w:val="ka-GE"/>
        </w:rPr>
        <w:t>2021 წლის 15 მარტს.</w:t>
      </w:r>
      <w:r w:rsidR="001F385B" w:rsidRPr="00F5432B">
        <w:rPr>
          <w:rFonts w:ascii="Sylfaen" w:hAnsi="Sylfaen"/>
          <w:lang w:val="ka-GE"/>
        </w:rPr>
        <w:t xml:space="preserve"> </w:t>
      </w:r>
    </w:p>
    <w:p w14:paraId="60010E49" w14:textId="0ACBDE80" w:rsidR="0086667D" w:rsidRDefault="00544376" w:rsidP="00646F3A">
      <w:pPr>
        <w:jc w:val="both"/>
        <w:rPr>
          <w:rFonts w:ascii="Sylfaen" w:hAnsi="Sylfaen"/>
          <w:lang w:val="ka-GE"/>
        </w:rPr>
      </w:pPr>
      <w:r>
        <w:rPr>
          <w:rFonts w:ascii="Sylfaen" w:hAnsi="Sylfaen"/>
          <w:lang w:val="ka-GE"/>
        </w:rPr>
        <w:t>კომისი</w:t>
      </w:r>
      <w:r w:rsidR="00E21D44">
        <w:rPr>
          <w:rFonts w:ascii="Sylfaen" w:hAnsi="Sylfaen"/>
          <w:lang w:val="ka-GE"/>
        </w:rPr>
        <w:t>ამ</w:t>
      </w:r>
      <w:r>
        <w:rPr>
          <w:rFonts w:ascii="Sylfaen" w:hAnsi="Sylfaen"/>
          <w:lang w:val="ka-GE"/>
        </w:rPr>
        <w:t xml:space="preserve"> </w:t>
      </w:r>
      <w:r w:rsidR="001F385B" w:rsidRPr="00F5432B">
        <w:rPr>
          <w:rFonts w:ascii="Sylfaen" w:hAnsi="Sylfaen"/>
          <w:lang w:val="ka-GE"/>
        </w:rPr>
        <w:t xml:space="preserve">შეისწავლა ოპერატორების მიერ </w:t>
      </w:r>
      <w:r w:rsidR="009331C8">
        <w:rPr>
          <w:rFonts w:ascii="Sylfaen" w:hAnsi="Sylfaen"/>
          <w:lang w:val="ka-GE"/>
        </w:rPr>
        <w:t>დასახელებული</w:t>
      </w:r>
      <w:r w:rsidR="009331C8" w:rsidRPr="00F5432B">
        <w:rPr>
          <w:rFonts w:ascii="Sylfaen" w:hAnsi="Sylfaen"/>
          <w:lang w:val="ka-GE"/>
        </w:rPr>
        <w:t xml:space="preserve"> </w:t>
      </w:r>
      <w:r w:rsidR="001F385B" w:rsidRPr="00F5432B">
        <w:rPr>
          <w:rFonts w:ascii="Sylfaen" w:hAnsi="Sylfaen"/>
          <w:lang w:val="ka-GE"/>
        </w:rPr>
        <w:t>საკითხები. დამატებით</w:t>
      </w:r>
      <w:r w:rsidR="004838AF" w:rsidRPr="00F5432B">
        <w:rPr>
          <w:rFonts w:ascii="Sylfaen" w:hAnsi="Sylfaen"/>
          <w:lang w:val="ka-GE"/>
        </w:rPr>
        <w:t>,</w:t>
      </w:r>
      <w:r w:rsidR="001F385B" w:rsidRPr="00F5432B">
        <w:rPr>
          <w:rFonts w:ascii="Sylfaen" w:hAnsi="Sylfaen"/>
          <w:lang w:val="ka-GE"/>
        </w:rPr>
        <w:t xml:space="preserve"> </w:t>
      </w:r>
      <w:r w:rsidR="001B5607" w:rsidRPr="00B23D72">
        <w:rPr>
          <w:rFonts w:ascii="Sylfaen" w:hAnsi="Sylfaen"/>
          <w:lang w:val="ka-GE"/>
        </w:rPr>
        <w:t>კონსულტაციების</w:t>
      </w:r>
      <w:r w:rsidR="00F22323">
        <w:rPr>
          <w:rFonts w:ascii="Sylfaen" w:hAnsi="Sylfaen"/>
          <w:lang w:val="ka-GE"/>
        </w:rPr>
        <w:t xml:space="preserve"> და სამუშაო შეხვედრების</w:t>
      </w:r>
      <w:r w:rsidR="001B5607" w:rsidRPr="00F5432B">
        <w:rPr>
          <w:rFonts w:ascii="Sylfaen" w:hAnsi="Sylfaen"/>
          <w:lang w:val="ka-GE"/>
        </w:rPr>
        <w:t xml:space="preserve"> ფარგლებში</w:t>
      </w:r>
      <w:r w:rsidR="001B5607" w:rsidRPr="00A57A6F">
        <w:rPr>
          <w:rFonts w:ascii="Sylfaen" w:hAnsi="Sylfaen"/>
          <w:lang w:val="ka-GE"/>
        </w:rPr>
        <w:t xml:space="preserve"> </w:t>
      </w:r>
      <w:r w:rsidR="00AC0895">
        <w:rPr>
          <w:rFonts w:ascii="Sylfaen" w:hAnsi="Sylfaen"/>
          <w:lang w:val="en-GB"/>
        </w:rPr>
        <w:t>PWC</w:t>
      </w:r>
      <w:r w:rsidR="001F385B" w:rsidRPr="00F5432B">
        <w:rPr>
          <w:rFonts w:ascii="Sylfaen" w:hAnsi="Sylfaen"/>
          <w:lang w:val="ka-GE"/>
        </w:rPr>
        <w:t>-სთან</w:t>
      </w:r>
      <w:r w:rsidR="00A8135D" w:rsidRPr="00F5432B">
        <w:rPr>
          <w:rFonts w:ascii="Sylfaen" w:hAnsi="Sylfaen"/>
          <w:lang w:val="ka-GE"/>
        </w:rPr>
        <w:t xml:space="preserve"> </w:t>
      </w:r>
      <w:r w:rsidR="001B5607" w:rsidRPr="00F5432B">
        <w:rPr>
          <w:rFonts w:ascii="Sylfaen" w:hAnsi="Sylfaen"/>
          <w:lang w:val="ka-GE"/>
        </w:rPr>
        <w:t>დაისვა</w:t>
      </w:r>
      <w:r w:rsidR="001F385B" w:rsidRPr="00F5432B">
        <w:rPr>
          <w:rFonts w:ascii="Sylfaen" w:hAnsi="Sylfaen"/>
          <w:lang w:val="ka-GE"/>
        </w:rPr>
        <w:t xml:space="preserve"> საკითხები</w:t>
      </w:r>
      <w:r w:rsidR="00EF0F29" w:rsidRPr="00F5432B">
        <w:rPr>
          <w:rFonts w:ascii="Sylfaen" w:hAnsi="Sylfaen"/>
          <w:lang w:val="ka-GE"/>
        </w:rPr>
        <w:t xml:space="preserve">, რომელიც ეხებოდა: </w:t>
      </w:r>
      <w:r w:rsidR="00EF0F29" w:rsidRPr="004D1456">
        <w:rPr>
          <w:rFonts w:ascii="Sylfaen" w:hAnsi="Sylfaen"/>
          <w:b/>
          <w:bCs/>
          <w:lang w:val="ka-GE"/>
        </w:rPr>
        <w:t>სექტორული რისკის კოეფიციენტი</w:t>
      </w:r>
      <w:r w:rsidR="00EA203A" w:rsidRPr="004D1456">
        <w:rPr>
          <w:rFonts w:ascii="Sylfaen" w:hAnsi="Sylfaen"/>
          <w:b/>
          <w:bCs/>
          <w:lang w:val="ka-GE"/>
        </w:rPr>
        <w:t>ს</w:t>
      </w:r>
      <w:r w:rsidR="00EF0F29" w:rsidRPr="004D1456">
        <w:rPr>
          <w:rFonts w:ascii="Sylfaen" w:hAnsi="Sylfaen"/>
          <w:b/>
          <w:bCs/>
          <w:lang w:val="ka-GE"/>
        </w:rPr>
        <w:t xml:space="preserve"> (β)-ს </w:t>
      </w:r>
      <w:r w:rsidR="00EA203A" w:rsidRPr="004D1456">
        <w:rPr>
          <w:rFonts w:ascii="Sylfaen" w:hAnsi="Sylfaen"/>
          <w:b/>
          <w:bCs/>
          <w:lang w:val="ka-GE"/>
        </w:rPr>
        <w:t xml:space="preserve">შესაძლო </w:t>
      </w:r>
      <w:r w:rsidR="00EF0F29" w:rsidRPr="004D1456">
        <w:rPr>
          <w:rFonts w:ascii="Sylfaen" w:hAnsi="Sylfaen"/>
          <w:b/>
          <w:bCs/>
          <w:lang w:val="ka-GE"/>
        </w:rPr>
        <w:t xml:space="preserve">კორექტირებას, სესხის ღირებულების </w:t>
      </w:r>
      <w:r w:rsidR="00292C01" w:rsidRPr="004D1456">
        <w:rPr>
          <w:rFonts w:ascii="Sylfaen" w:hAnsi="Sylfaen"/>
          <w:b/>
          <w:bCs/>
          <w:lang w:val="ka-GE"/>
        </w:rPr>
        <w:t xml:space="preserve">შესაძლო </w:t>
      </w:r>
      <w:r w:rsidR="00EF0F29" w:rsidRPr="004D1456">
        <w:rPr>
          <w:rFonts w:ascii="Sylfaen" w:hAnsi="Sylfaen"/>
          <w:b/>
          <w:bCs/>
          <w:lang w:val="ka-GE"/>
        </w:rPr>
        <w:t>კორექტირებას და დამატებითი საკურსო რისკის</w:t>
      </w:r>
      <w:r w:rsidR="00EF0F29" w:rsidRPr="00F5432B">
        <w:rPr>
          <w:rFonts w:ascii="Sylfaen" w:hAnsi="Sylfaen"/>
          <w:lang w:val="ka-GE"/>
        </w:rPr>
        <w:t xml:space="preserve"> </w:t>
      </w:r>
      <w:r w:rsidR="00EA203A" w:rsidRPr="00F5432B">
        <w:rPr>
          <w:rFonts w:ascii="Sylfaen" w:hAnsi="Sylfaen"/>
          <w:lang w:val="ka-GE"/>
        </w:rPr>
        <w:t xml:space="preserve">შესაძლო </w:t>
      </w:r>
      <w:r w:rsidR="00EF0F29" w:rsidRPr="00F5432B">
        <w:rPr>
          <w:rFonts w:ascii="Sylfaen" w:hAnsi="Sylfaen"/>
          <w:lang w:val="ka-GE"/>
        </w:rPr>
        <w:t>ასახვას კაპიტალის საშუალო შეწონილი ღირებულების კალკულაციაში.</w:t>
      </w:r>
      <w:bookmarkStart w:id="2" w:name="_Hlk68097232"/>
      <w:r w:rsidR="005B2D70" w:rsidRPr="00F5432B">
        <w:rPr>
          <w:rFonts w:ascii="Sylfaen" w:hAnsi="Sylfaen"/>
          <w:lang w:val="ka-GE"/>
        </w:rPr>
        <w:t xml:space="preserve"> </w:t>
      </w:r>
      <w:r w:rsidR="00EA203A" w:rsidRPr="00F5432B">
        <w:rPr>
          <w:rFonts w:ascii="Sylfaen" w:hAnsi="Sylfaen"/>
          <w:lang w:val="ka-GE"/>
        </w:rPr>
        <w:t xml:space="preserve">საკონსულტაციო კომპანიის </w:t>
      </w:r>
      <w:r w:rsidR="005B2D70" w:rsidRPr="00F5432B">
        <w:rPr>
          <w:rFonts w:ascii="Sylfaen" w:hAnsi="Sylfaen"/>
          <w:lang w:val="ka-GE"/>
        </w:rPr>
        <w:t xml:space="preserve">მოსაზრებები და რეკომენდაციები, ასევე </w:t>
      </w:r>
      <w:r>
        <w:rPr>
          <w:rFonts w:ascii="Sylfaen" w:hAnsi="Sylfaen"/>
          <w:lang w:val="ka-GE"/>
        </w:rPr>
        <w:t xml:space="preserve">კომისიის აპარატის </w:t>
      </w:r>
      <w:r w:rsidR="005B2D70" w:rsidRPr="00F5432B">
        <w:rPr>
          <w:rFonts w:ascii="Sylfaen" w:hAnsi="Sylfaen"/>
          <w:lang w:val="ka-GE"/>
        </w:rPr>
        <w:t>სატელეკომუნიკაციო ბაზრის რეგულირების დეპარტამენტის პოზიცია თითოეულ საკითხთან დაკავშირებით გაზიარებულ იქნა ოპერატორებთან</w:t>
      </w:r>
      <w:bookmarkEnd w:id="2"/>
      <w:r w:rsidR="003A4964">
        <w:rPr>
          <w:rFonts w:ascii="Sylfaen" w:hAnsi="Sylfaen"/>
          <w:lang w:val="ka-GE"/>
        </w:rPr>
        <w:t>.</w:t>
      </w:r>
      <w:r w:rsidR="0031420B">
        <w:rPr>
          <w:rFonts w:ascii="Sylfaen" w:hAnsi="Sylfaen"/>
          <w:lang w:val="ka-GE"/>
        </w:rPr>
        <w:t xml:space="preserve"> </w:t>
      </w:r>
    </w:p>
    <w:p w14:paraId="01DA0F24" w14:textId="0AF2343C" w:rsidR="008A3926" w:rsidRDefault="004A3782" w:rsidP="00646F3A">
      <w:pPr>
        <w:jc w:val="both"/>
        <w:rPr>
          <w:rFonts w:ascii="Sylfaen" w:hAnsi="Sylfaen"/>
          <w:lang w:val="ka-GE"/>
        </w:rPr>
      </w:pPr>
      <w:r w:rsidRPr="00ED25B6">
        <w:rPr>
          <w:rFonts w:ascii="Sylfaen" w:hAnsi="Sylfaen"/>
          <w:lang w:val="ka-GE"/>
        </w:rPr>
        <w:t xml:space="preserve">ოპერატორების მიერ </w:t>
      </w:r>
      <w:r w:rsidR="001763EB">
        <w:rPr>
          <w:rFonts w:ascii="Sylfaen" w:hAnsi="Sylfaen"/>
          <w:lang w:val="ka-GE"/>
        </w:rPr>
        <w:t>წარმოდგენილი კომენტარების</w:t>
      </w:r>
      <w:r w:rsidR="00CD4760" w:rsidRPr="00ED25B6">
        <w:rPr>
          <w:rFonts w:ascii="Sylfaen" w:hAnsi="Sylfaen"/>
          <w:lang w:val="ka-GE"/>
        </w:rPr>
        <w:t xml:space="preserve"> გათვალისწინებით</w:t>
      </w:r>
      <w:r w:rsidR="00490E16" w:rsidRPr="00ED25B6">
        <w:rPr>
          <w:rFonts w:ascii="Sylfaen" w:hAnsi="Sylfaen"/>
          <w:lang w:val="ka-GE"/>
        </w:rPr>
        <w:t xml:space="preserve"> მომზადებული </w:t>
      </w:r>
      <w:r w:rsidR="00D96B39" w:rsidRPr="00ED25B6">
        <w:rPr>
          <w:rFonts w:ascii="Sylfaen" w:hAnsi="Sylfaen"/>
          <w:lang w:val="ka-GE"/>
        </w:rPr>
        <w:t>გადაწყვეტილების პროექტი საჯარო გაცნობისთვის გამოქვეყნებულ იქნა</w:t>
      </w:r>
      <w:r w:rsidR="007B3664" w:rsidRPr="00ED25B6">
        <w:rPr>
          <w:rFonts w:ascii="Sylfaen" w:hAnsi="Sylfaen"/>
          <w:lang w:val="ka-GE"/>
        </w:rPr>
        <w:t xml:space="preserve"> 2022 წლის 28 თებერვალს</w:t>
      </w:r>
      <w:r w:rsidR="00D96B39" w:rsidRPr="00ED25B6">
        <w:rPr>
          <w:rFonts w:ascii="Sylfaen" w:hAnsi="Sylfaen"/>
          <w:lang w:val="ka-GE"/>
        </w:rPr>
        <w:t xml:space="preserve"> კომისიის ვებ-გვერდზე 1 თვის ვადით</w:t>
      </w:r>
      <w:r w:rsidR="007B3664" w:rsidRPr="00ED25B6">
        <w:rPr>
          <w:rFonts w:ascii="Sylfaen" w:hAnsi="Sylfaen"/>
          <w:lang w:val="ka-GE"/>
        </w:rPr>
        <w:t>.</w:t>
      </w:r>
      <w:r w:rsidR="0090776B" w:rsidRPr="00ED25B6">
        <w:rPr>
          <w:rFonts w:ascii="Sylfaen" w:hAnsi="Sylfaen"/>
          <w:lang w:val="ka-GE"/>
        </w:rPr>
        <w:t xml:space="preserve"> რის შემდეგადაც</w:t>
      </w:r>
      <w:r w:rsidR="00874C5D" w:rsidRPr="00ED25B6">
        <w:rPr>
          <w:rFonts w:ascii="Sylfaen" w:hAnsi="Sylfaen"/>
          <w:lang w:val="en-GB"/>
        </w:rPr>
        <w:t xml:space="preserve"> </w:t>
      </w:r>
      <w:r w:rsidR="00874C5D" w:rsidRPr="00ED25B6">
        <w:rPr>
          <w:rFonts w:ascii="Sylfaen" w:hAnsi="Sylfaen"/>
          <w:lang w:val="ka-GE"/>
        </w:rPr>
        <w:t>ოპერატორებმა</w:t>
      </w:r>
      <w:r w:rsidR="00BF3F44">
        <w:rPr>
          <w:rFonts w:ascii="Sylfaen" w:hAnsi="Sylfaen"/>
          <w:lang w:val="ka-GE"/>
        </w:rPr>
        <w:t xml:space="preserve"> </w:t>
      </w:r>
      <w:r w:rsidR="00BF3F44" w:rsidRPr="00ED25B6">
        <w:rPr>
          <w:rFonts w:ascii="Sylfaen" w:hAnsi="Sylfaen"/>
        </w:rPr>
        <w:t xml:space="preserve"> </w:t>
      </w:r>
      <w:r w:rsidR="00BF3F44" w:rsidRPr="00ED25B6">
        <w:rPr>
          <w:rFonts w:ascii="Sylfaen" w:hAnsi="Sylfaen"/>
          <w:lang w:val="ka-GE"/>
        </w:rPr>
        <w:t>სს „</w:t>
      </w:r>
      <w:proofErr w:type="spellStart"/>
      <w:r w:rsidR="00BF3F44" w:rsidRPr="00ED25B6">
        <w:rPr>
          <w:rFonts w:ascii="Sylfaen" w:hAnsi="Sylfaen"/>
          <w:lang w:val="ka-GE"/>
        </w:rPr>
        <w:t>სილქნეტ</w:t>
      </w:r>
      <w:r w:rsidR="00BF3F44">
        <w:rPr>
          <w:rFonts w:ascii="Sylfaen" w:hAnsi="Sylfaen"/>
          <w:lang w:val="ka-GE"/>
        </w:rPr>
        <w:t>მა</w:t>
      </w:r>
      <w:proofErr w:type="spellEnd"/>
      <w:r w:rsidR="00BF3F44" w:rsidRPr="00ED25B6">
        <w:rPr>
          <w:rFonts w:ascii="Sylfaen" w:hAnsi="Sylfaen"/>
          <w:lang w:val="ka-GE"/>
        </w:rPr>
        <w:t>“</w:t>
      </w:r>
      <w:r w:rsidR="00E65EDA">
        <w:rPr>
          <w:rFonts w:ascii="Sylfaen" w:hAnsi="Sylfaen"/>
          <w:lang w:val="ka-GE"/>
        </w:rPr>
        <w:t xml:space="preserve"> 2022 წლის 18 აპრილის</w:t>
      </w:r>
      <w:r w:rsidR="00BF3F44" w:rsidRPr="00ED25B6">
        <w:rPr>
          <w:rFonts w:ascii="Sylfaen" w:hAnsi="Sylfaen"/>
          <w:lang w:val="en-GB"/>
        </w:rPr>
        <w:t xml:space="preserve"> </w:t>
      </w:r>
      <w:r w:rsidR="00E65EDA">
        <w:rPr>
          <w:rFonts w:ascii="Sylfaen" w:hAnsi="Sylfaen"/>
          <w:lang w:val="ka-GE"/>
        </w:rPr>
        <w:t>(</w:t>
      </w:r>
      <w:r w:rsidR="00E65EDA" w:rsidRPr="00ED25B6">
        <w:rPr>
          <w:rFonts w:ascii="Sylfaen" w:hAnsi="Sylfaen"/>
          <w:lang w:val="ka-GE"/>
        </w:rPr>
        <w:t>შ-22-6/1531</w:t>
      </w:r>
      <w:r w:rsidR="00BF3F44" w:rsidRPr="00ED25B6">
        <w:rPr>
          <w:rFonts w:ascii="Sylfaen" w:hAnsi="Sylfaen"/>
          <w:lang w:val="ka-GE"/>
        </w:rPr>
        <w:t>), შპს „</w:t>
      </w:r>
      <w:proofErr w:type="spellStart"/>
      <w:r w:rsidR="00BF3F44" w:rsidRPr="00ED25B6">
        <w:rPr>
          <w:rFonts w:ascii="Sylfaen" w:hAnsi="Sylfaen"/>
          <w:lang w:val="ka-GE"/>
        </w:rPr>
        <w:t>ვიონი</w:t>
      </w:r>
      <w:proofErr w:type="spellEnd"/>
      <w:r w:rsidR="00E65EDA">
        <w:rPr>
          <w:rFonts w:ascii="Sylfaen" w:hAnsi="Sylfaen"/>
          <w:lang w:val="ka-GE"/>
        </w:rPr>
        <w:t xml:space="preserve"> საქართველომ</w:t>
      </w:r>
      <w:r w:rsidR="00BF3F44" w:rsidRPr="00ED25B6">
        <w:rPr>
          <w:rFonts w:ascii="Sylfaen" w:hAnsi="Sylfaen"/>
          <w:lang w:val="ka-GE"/>
        </w:rPr>
        <w:t>“</w:t>
      </w:r>
      <w:r w:rsidR="00E65EDA">
        <w:rPr>
          <w:rFonts w:ascii="Sylfaen" w:hAnsi="Sylfaen"/>
          <w:lang w:val="ka-GE"/>
        </w:rPr>
        <w:t xml:space="preserve"> </w:t>
      </w:r>
      <w:r w:rsidR="008E423F">
        <w:rPr>
          <w:rFonts w:ascii="Sylfaen" w:hAnsi="Sylfaen"/>
          <w:lang w:val="ka-GE"/>
        </w:rPr>
        <w:t>25 მარტის (</w:t>
      </w:r>
      <w:r w:rsidR="00E65EDA" w:rsidRPr="00ED25B6">
        <w:rPr>
          <w:rFonts w:ascii="Sylfaen" w:hAnsi="Sylfaen"/>
          <w:lang w:val="ka-GE"/>
        </w:rPr>
        <w:t>შ-22-6/1258</w:t>
      </w:r>
      <w:r w:rsidR="00BF3F44" w:rsidRPr="00ED25B6">
        <w:rPr>
          <w:rFonts w:ascii="Sylfaen" w:hAnsi="Sylfaen"/>
          <w:lang w:val="ka-GE"/>
        </w:rPr>
        <w:t xml:space="preserve">) და </w:t>
      </w:r>
      <w:r w:rsidR="008E423F" w:rsidRPr="00ED25B6">
        <w:rPr>
          <w:rFonts w:ascii="Sylfaen" w:hAnsi="Sylfaen"/>
          <w:lang w:val="ka-GE"/>
        </w:rPr>
        <w:t>შპს „მაგთიკომ</w:t>
      </w:r>
      <w:r w:rsidR="008E423F">
        <w:rPr>
          <w:rFonts w:ascii="Sylfaen" w:hAnsi="Sylfaen"/>
          <w:lang w:val="ka-GE"/>
        </w:rPr>
        <w:t>მა</w:t>
      </w:r>
      <w:r w:rsidR="008E423F" w:rsidRPr="00ED25B6">
        <w:rPr>
          <w:rFonts w:ascii="Sylfaen" w:hAnsi="Sylfaen"/>
          <w:lang w:val="ka-GE"/>
        </w:rPr>
        <w:t>“</w:t>
      </w:r>
      <w:r w:rsidR="008E423F">
        <w:rPr>
          <w:rFonts w:ascii="Sylfaen" w:hAnsi="Sylfaen"/>
          <w:lang w:val="ka-GE"/>
        </w:rPr>
        <w:t xml:space="preserve"> 30 მარტის</w:t>
      </w:r>
      <w:r w:rsidR="008E423F" w:rsidRPr="00ED25B6">
        <w:rPr>
          <w:rFonts w:ascii="Sylfaen" w:hAnsi="Sylfaen"/>
          <w:lang w:val="en-GB"/>
        </w:rPr>
        <w:t xml:space="preserve"> </w:t>
      </w:r>
      <w:r w:rsidR="009A4B1A">
        <w:rPr>
          <w:rFonts w:ascii="Sylfaen" w:hAnsi="Sylfaen"/>
          <w:lang w:val="ka-GE"/>
        </w:rPr>
        <w:t>(</w:t>
      </w:r>
      <w:r w:rsidR="00BF3F44" w:rsidRPr="00ED25B6">
        <w:rPr>
          <w:rFonts w:ascii="Sylfaen" w:hAnsi="Sylfaen"/>
          <w:lang w:val="ka-GE"/>
        </w:rPr>
        <w:t>შ-22-6/1326</w:t>
      </w:r>
      <w:r w:rsidR="009A4B1A">
        <w:rPr>
          <w:rFonts w:ascii="Sylfaen" w:hAnsi="Sylfaen"/>
          <w:lang w:val="ka-GE"/>
        </w:rPr>
        <w:t xml:space="preserve">) </w:t>
      </w:r>
      <w:r w:rsidR="00BF3F44" w:rsidRPr="00ED25B6">
        <w:rPr>
          <w:rFonts w:ascii="Sylfaen" w:hAnsi="Sylfaen"/>
          <w:lang w:val="ka-GE"/>
        </w:rPr>
        <w:t>წერილებით</w:t>
      </w:r>
      <w:r w:rsidR="008854CB">
        <w:rPr>
          <w:rFonts w:ascii="Sylfaen" w:hAnsi="Sylfaen"/>
          <w:lang w:val="ka-GE"/>
        </w:rPr>
        <w:t xml:space="preserve"> კომისიაში</w:t>
      </w:r>
      <w:r w:rsidR="00874C5D" w:rsidRPr="00ED25B6">
        <w:rPr>
          <w:rFonts w:ascii="Sylfaen" w:hAnsi="Sylfaen"/>
          <w:lang w:val="ka-GE"/>
        </w:rPr>
        <w:t xml:space="preserve"> კიდევ ერთხელ </w:t>
      </w:r>
      <w:r w:rsidR="00B61F9E" w:rsidRPr="00ED25B6">
        <w:rPr>
          <w:rFonts w:ascii="Sylfaen" w:hAnsi="Sylfaen"/>
          <w:lang w:val="ka-GE"/>
        </w:rPr>
        <w:t>წარმოადგინეს კომენტარები</w:t>
      </w:r>
      <w:r w:rsidR="008854CB">
        <w:rPr>
          <w:rFonts w:ascii="Sylfaen" w:hAnsi="Sylfaen"/>
          <w:lang w:val="ka-GE"/>
        </w:rPr>
        <w:t xml:space="preserve">, რომლებიც </w:t>
      </w:r>
      <w:r w:rsidR="006657B6">
        <w:rPr>
          <w:rFonts w:ascii="Sylfaen" w:hAnsi="Sylfaen"/>
          <w:lang w:val="ka-GE"/>
        </w:rPr>
        <w:t xml:space="preserve">განხილულ იქნა კომპანიებთან </w:t>
      </w:r>
      <w:r w:rsidR="00D46CBC">
        <w:rPr>
          <w:rFonts w:ascii="Sylfaen" w:hAnsi="Sylfaen"/>
          <w:lang w:val="ka-GE"/>
        </w:rPr>
        <w:t>ინდივიდუალურ სამუშაო შეხვედრებზე</w:t>
      </w:r>
      <w:r w:rsidR="00927AC1">
        <w:rPr>
          <w:rFonts w:ascii="Sylfaen" w:hAnsi="Sylfaen"/>
          <w:lang w:val="ka-GE"/>
        </w:rPr>
        <w:t>.</w:t>
      </w:r>
    </w:p>
    <w:p w14:paraId="22CA0916" w14:textId="28D8DA68" w:rsidR="00927AC1" w:rsidRPr="00F455C2" w:rsidRDefault="00927AC1" w:rsidP="00646F3A">
      <w:pPr>
        <w:jc w:val="both"/>
        <w:rPr>
          <w:rFonts w:ascii="Sylfaen" w:hAnsi="Sylfaen"/>
          <w:lang w:val="ka-GE"/>
        </w:rPr>
      </w:pPr>
      <w:r w:rsidRPr="00927AC1">
        <w:rPr>
          <w:rFonts w:ascii="Sylfaen" w:hAnsi="Sylfaen"/>
          <w:lang w:val="ka-GE"/>
        </w:rPr>
        <w:t>ოპერატორების მიერ დაფიქსირებული პოზიციები და მათთან დაკავშირებული კომისიის მოსაზრებები გათვალისწინებულ იქნა ქვემოთ მოცემულ შესაბამის ქვეთავებში.</w:t>
      </w:r>
    </w:p>
    <w:p w14:paraId="0299AFEF" w14:textId="77777777" w:rsidR="006A3474" w:rsidRPr="00A57A6F" w:rsidRDefault="006A3474" w:rsidP="00646F3A">
      <w:pPr>
        <w:jc w:val="both"/>
        <w:rPr>
          <w:rFonts w:ascii="Sylfaen" w:eastAsia="Times New Roman" w:hAnsi="Sylfaen" w:cs="Times"/>
          <w:i/>
          <w:iCs/>
          <w:color w:val="000000"/>
          <w:lang w:val="ka-GE"/>
        </w:rPr>
      </w:pPr>
    </w:p>
    <w:p w14:paraId="066CCF6E" w14:textId="5086F101" w:rsidR="008A3926" w:rsidRDefault="008D6DE4" w:rsidP="00646F3A">
      <w:pPr>
        <w:pStyle w:val="Heading2"/>
        <w:rPr>
          <w:rFonts w:ascii="Sylfaen" w:hAnsi="Sylfaen"/>
          <w:sz w:val="22"/>
          <w:szCs w:val="22"/>
          <w:lang w:val="ka-GE"/>
        </w:rPr>
      </w:pPr>
      <w:r w:rsidRPr="00A57A6F">
        <w:rPr>
          <w:rFonts w:ascii="Sylfaen" w:hAnsi="Sylfaen"/>
          <w:sz w:val="22"/>
          <w:szCs w:val="22"/>
          <w:lang w:val="ka-GE"/>
        </w:rPr>
        <w:t>კაპიტალის ღირებულება</w:t>
      </w:r>
    </w:p>
    <w:p w14:paraId="63D889E7" w14:textId="77777777" w:rsidR="00E01753" w:rsidRPr="00E01753" w:rsidRDefault="00E01753" w:rsidP="00646F3A">
      <w:pPr>
        <w:rPr>
          <w:lang w:val="ka-GE"/>
        </w:rPr>
      </w:pPr>
    </w:p>
    <w:p w14:paraId="024B982A" w14:textId="5A60931C" w:rsidR="00EF4706" w:rsidRPr="00A57A6F" w:rsidRDefault="00EF4706" w:rsidP="00646F3A">
      <w:pPr>
        <w:jc w:val="both"/>
        <w:rPr>
          <w:rFonts w:ascii="Sylfaen" w:hAnsi="Sylfaen"/>
          <w:i/>
          <w:iCs/>
          <w:lang w:val="ka-GE"/>
        </w:rPr>
      </w:pPr>
      <w:r w:rsidRPr="00F5432B">
        <w:rPr>
          <w:rFonts w:ascii="Sylfaen" w:hAnsi="Sylfaen"/>
          <w:lang w:val="ka-GE"/>
        </w:rPr>
        <w:t>კაპიტალის ღირებულების დათვლაში მონაწილეობს სამი კომპონენტი: ურისკო საპროცენტო განაკვეთი, კაპიტალის რისკის პრემიუმი და ბეტა კოეფიციენტი. კონსულტაციებზე ოპერატორებ</w:t>
      </w:r>
      <w:r w:rsidR="00EA203A" w:rsidRPr="00F5432B">
        <w:rPr>
          <w:rFonts w:ascii="Sylfaen" w:hAnsi="Sylfaen"/>
          <w:lang w:val="ka-GE"/>
        </w:rPr>
        <w:t>ის მიერ გამოითქვა მოსაზრებები საქართველოს სატელეკომუნიკაციო ბაზარზე არსებული დამატებითი რისკების შესაძლო გა</w:t>
      </w:r>
      <w:r w:rsidR="00E17BB8" w:rsidRPr="00F5432B">
        <w:rPr>
          <w:rFonts w:ascii="Sylfaen" w:hAnsi="Sylfaen"/>
          <w:lang w:val="ka-GE"/>
        </w:rPr>
        <w:t>თვ</w:t>
      </w:r>
      <w:r w:rsidR="005A01CE" w:rsidRPr="00F5432B">
        <w:rPr>
          <w:rFonts w:ascii="Sylfaen" w:hAnsi="Sylfaen"/>
          <w:lang w:val="ka-GE"/>
        </w:rPr>
        <w:t>ა</w:t>
      </w:r>
      <w:r w:rsidR="00EA203A" w:rsidRPr="00F5432B">
        <w:rPr>
          <w:rFonts w:ascii="Sylfaen" w:hAnsi="Sylfaen"/>
          <w:lang w:val="ka-GE"/>
        </w:rPr>
        <w:t>ლისწინების თაობაზე, კერძოდ როგორიცაა:</w:t>
      </w:r>
      <w:r w:rsidR="00E17BB8" w:rsidRPr="00F5432B">
        <w:rPr>
          <w:rFonts w:ascii="Sylfaen" w:hAnsi="Sylfaen"/>
          <w:lang w:val="ka-GE"/>
        </w:rPr>
        <w:t xml:space="preserve"> </w:t>
      </w:r>
      <w:r w:rsidRPr="00A57A6F">
        <w:rPr>
          <w:rFonts w:ascii="Sylfaen" w:hAnsi="Sylfaen"/>
          <w:i/>
          <w:iCs/>
          <w:lang w:val="ka-GE"/>
        </w:rPr>
        <w:t>ბაზრის რეგულირების რისკი, ქვეყნის ზომის რისკი, სავალუტო რისკი.</w:t>
      </w:r>
    </w:p>
    <w:p w14:paraId="2571AD96" w14:textId="77777777" w:rsidR="0082559B" w:rsidRPr="00F5432B" w:rsidRDefault="0082559B" w:rsidP="00646F3A">
      <w:pPr>
        <w:jc w:val="both"/>
        <w:rPr>
          <w:rFonts w:ascii="Sylfaen" w:hAnsi="Sylfaen"/>
          <w:lang w:val="ka-GE"/>
        </w:rPr>
      </w:pPr>
    </w:p>
    <w:p w14:paraId="7EDBDB7D" w14:textId="052F5B42" w:rsidR="00C63166" w:rsidRPr="00E01753" w:rsidRDefault="00EF4706" w:rsidP="00646F3A">
      <w:pPr>
        <w:pStyle w:val="Heading3"/>
        <w:rPr>
          <w:rFonts w:ascii="Sylfaen" w:hAnsi="Sylfaen"/>
          <w:sz w:val="22"/>
          <w:szCs w:val="22"/>
          <w:lang w:val="ka-GE"/>
        </w:rPr>
      </w:pPr>
      <w:r w:rsidRPr="00A57A6F">
        <w:rPr>
          <w:rFonts w:ascii="Sylfaen" w:hAnsi="Sylfaen"/>
          <w:sz w:val="22"/>
          <w:szCs w:val="22"/>
          <w:lang w:val="ka-GE"/>
        </w:rPr>
        <w:t>ურისკო საპროცენტო განაკვეთი</w:t>
      </w:r>
    </w:p>
    <w:p w14:paraId="3F420D14" w14:textId="143553D6" w:rsidR="00CD7C2B" w:rsidRPr="00CD7C2B" w:rsidRDefault="00EF4706" w:rsidP="00646F3A">
      <w:pPr>
        <w:jc w:val="both"/>
        <w:rPr>
          <w:rFonts w:ascii="Sylfaen" w:hAnsi="Sylfaen"/>
          <w:lang w:val="ka-GE"/>
        </w:rPr>
      </w:pPr>
      <w:r w:rsidRPr="00F5432B">
        <w:rPr>
          <w:rFonts w:ascii="Sylfaen" w:hAnsi="Sylfaen"/>
          <w:lang w:val="ka-GE"/>
        </w:rPr>
        <w:t>ურისკო საპროცენტო განაკვეთი წარმოადგენს ამონაგებს</w:t>
      </w:r>
      <w:r w:rsidR="001605FC">
        <w:rPr>
          <w:rFonts w:ascii="Sylfaen" w:hAnsi="Sylfaen"/>
          <w:lang w:val="ka-GE"/>
        </w:rPr>
        <w:t>,</w:t>
      </w:r>
      <w:r w:rsidRPr="00F5432B">
        <w:rPr>
          <w:rFonts w:ascii="Sylfaen" w:hAnsi="Sylfaen"/>
          <w:lang w:val="ka-GE"/>
        </w:rPr>
        <w:t xml:space="preserve"> რომელსაც ინვესტორი ელის ურისკო ინვესტიციის განხორციელების დროს, ანუ იგი სავარაუდო </w:t>
      </w:r>
      <w:proofErr w:type="spellStart"/>
      <w:r w:rsidRPr="00F5432B">
        <w:rPr>
          <w:rFonts w:ascii="Sylfaen" w:hAnsi="Sylfaen"/>
          <w:lang w:val="ka-GE"/>
        </w:rPr>
        <w:t>ამონაგებ</w:t>
      </w:r>
      <w:r w:rsidR="001605FC">
        <w:rPr>
          <w:rFonts w:ascii="Sylfaen" w:hAnsi="Sylfaen"/>
          <w:lang w:val="ka-GE"/>
        </w:rPr>
        <w:t>ია</w:t>
      </w:r>
      <w:proofErr w:type="spellEnd"/>
      <w:r w:rsidRPr="00F5432B">
        <w:rPr>
          <w:rFonts w:ascii="Sylfaen" w:hAnsi="Sylfaen"/>
          <w:lang w:val="ka-GE"/>
        </w:rPr>
        <w:t xml:space="preserve"> ინვესტიციი</w:t>
      </w:r>
      <w:r w:rsidR="00243CB6">
        <w:rPr>
          <w:rFonts w:ascii="Sylfaen" w:hAnsi="Sylfaen"/>
          <w:lang w:val="ka-GE"/>
        </w:rPr>
        <w:t>დ</w:t>
      </w:r>
      <w:r w:rsidRPr="00F5432B">
        <w:rPr>
          <w:rFonts w:ascii="Sylfaen" w:hAnsi="Sylfaen"/>
          <w:lang w:val="ka-GE"/>
        </w:rPr>
        <w:t>ან</w:t>
      </w:r>
      <w:r w:rsidR="001605FC">
        <w:rPr>
          <w:rFonts w:ascii="Sylfaen" w:hAnsi="Sylfaen"/>
          <w:lang w:val="ka-GE"/>
        </w:rPr>
        <w:t>,</w:t>
      </w:r>
      <w:r w:rsidRPr="00F5432B">
        <w:rPr>
          <w:rFonts w:ascii="Sylfaen" w:hAnsi="Sylfaen"/>
          <w:lang w:val="ka-GE"/>
        </w:rPr>
        <w:t xml:space="preserve"> რომელიც არ შეიცავს დეფოლტის</w:t>
      </w:r>
      <w:r w:rsidR="00243CB6">
        <w:rPr>
          <w:rFonts w:ascii="Sylfaen" w:hAnsi="Sylfaen"/>
          <w:lang w:val="en-GB"/>
        </w:rPr>
        <w:t xml:space="preserve"> </w:t>
      </w:r>
      <w:r w:rsidRPr="00F5432B">
        <w:rPr>
          <w:rFonts w:ascii="Sylfaen" w:hAnsi="Sylfaen"/>
          <w:lang w:val="ka-GE"/>
        </w:rPr>
        <w:t>რისკს. პრაქტიკულად შეუძლებელია სრულიად ურისკო ინვესტიციის განხორციელება, მაგრამ სახელმწიფო ბონდები მიიჩნევა როგორც ნულთან მიახლოებული</w:t>
      </w:r>
      <w:r w:rsidR="00CD7C2B">
        <w:rPr>
          <w:rFonts w:ascii="Sylfaen" w:hAnsi="Sylfaen"/>
        </w:rPr>
        <w:t xml:space="preserve"> </w:t>
      </w:r>
      <w:r w:rsidR="00CD7C2B">
        <w:rPr>
          <w:rFonts w:ascii="Sylfaen" w:hAnsi="Sylfaen"/>
          <w:lang w:val="ka-GE"/>
        </w:rPr>
        <w:t>დეფოლტისა და ლიკვიდურობის რისკის მქონედ.</w:t>
      </w:r>
    </w:p>
    <w:p w14:paraId="4BE9ED4B" w14:textId="3110DE88" w:rsidR="00EF4706" w:rsidRPr="00F5432B" w:rsidRDefault="00EF4706" w:rsidP="00646F3A">
      <w:pPr>
        <w:jc w:val="both"/>
        <w:rPr>
          <w:rFonts w:ascii="Sylfaen" w:hAnsi="Sylfaen"/>
          <w:lang w:val="ka-GE"/>
        </w:rPr>
      </w:pPr>
      <w:r w:rsidRPr="00F5432B">
        <w:rPr>
          <w:rFonts w:ascii="Sylfaen" w:hAnsi="Sylfaen"/>
          <w:lang w:val="ka-GE"/>
        </w:rPr>
        <w:t xml:space="preserve"> </w:t>
      </w:r>
      <w:r w:rsidRPr="00A57A6F">
        <w:rPr>
          <w:rFonts w:ascii="Sylfaen" w:hAnsi="Sylfaen"/>
          <w:lang w:val="ka-GE"/>
        </w:rPr>
        <w:t>“</w:t>
      </w:r>
      <w:proofErr w:type="spellStart"/>
      <w:r w:rsidR="00510EE2" w:rsidRPr="00A57A6F">
        <w:rPr>
          <w:rFonts w:ascii="Sylfaen" w:hAnsi="Sylfaen"/>
          <w:lang w:val="ka-GE"/>
        </w:rPr>
        <w:t>Brattle</w:t>
      </w:r>
      <w:proofErr w:type="spellEnd"/>
      <w:r w:rsidRPr="00A57A6F">
        <w:rPr>
          <w:rFonts w:ascii="Sylfaen" w:hAnsi="Sylfaen"/>
          <w:lang w:val="ka-GE"/>
        </w:rPr>
        <w:t>”</w:t>
      </w:r>
      <w:r w:rsidR="009E6A4A" w:rsidRPr="00A57A6F">
        <w:rPr>
          <w:rFonts w:ascii="Sylfaen" w:hAnsi="Sylfaen"/>
          <w:lang w:val="ka-GE"/>
        </w:rPr>
        <w:t>-</w:t>
      </w:r>
      <w:r w:rsidR="009E6A4A" w:rsidRPr="00F5432B">
        <w:rPr>
          <w:rFonts w:ascii="Sylfaen" w:hAnsi="Sylfaen"/>
          <w:lang w:val="ka-GE"/>
        </w:rPr>
        <w:t>ის</w:t>
      </w:r>
      <w:r w:rsidR="00764354" w:rsidRPr="00F5432B">
        <w:rPr>
          <w:rFonts w:ascii="Sylfaen" w:hAnsi="Sylfaen"/>
          <w:lang w:val="ka-GE"/>
        </w:rPr>
        <w:t xml:space="preserve"> </w:t>
      </w:r>
      <w:hyperlink r:id="rId10" w:history="1">
        <w:sdt>
          <w:sdtPr>
            <w:rPr>
              <w:rStyle w:val="Hyperlink"/>
              <w:rFonts w:ascii="Sylfaen" w:hAnsi="Sylfaen"/>
              <w:lang w:val="ka-GE"/>
            </w:rPr>
            <w:id w:val="-1931798295"/>
            <w:citation/>
          </w:sdtPr>
          <w:sdtEndPr>
            <w:rPr>
              <w:rStyle w:val="Hyperlink"/>
            </w:rPr>
          </w:sdtEndPr>
          <w:sdtContent>
            <w:r w:rsidR="00764354" w:rsidRPr="005E50DE">
              <w:rPr>
                <w:rStyle w:val="Hyperlink"/>
                <w:rFonts w:ascii="Sylfaen" w:hAnsi="Sylfaen"/>
                <w:lang w:val="ka-GE"/>
              </w:rPr>
              <w:fldChar w:fldCharType="begin"/>
            </w:r>
            <w:r w:rsidR="00764354" w:rsidRPr="00A57A6F">
              <w:rPr>
                <w:rStyle w:val="Hyperlink"/>
                <w:lang w:val="ka-GE"/>
              </w:rPr>
              <w:instrText xml:space="preserve"> CITATION The12 \l 2057 </w:instrText>
            </w:r>
            <w:r w:rsidR="00764354" w:rsidRPr="005E50DE">
              <w:rPr>
                <w:rStyle w:val="Hyperlink"/>
                <w:rFonts w:ascii="Sylfaen" w:hAnsi="Sylfaen"/>
                <w:lang w:val="ka-GE"/>
              </w:rPr>
              <w:fldChar w:fldCharType="separate"/>
            </w:r>
            <w:r w:rsidR="00510EE2" w:rsidRPr="00F5432B">
              <w:rPr>
                <w:rStyle w:val="Hyperlink"/>
                <w:rFonts w:ascii="Sylfaen" w:hAnsi="Sylfaen"/>
                <w:noProof/>
                <w:lang w:val="ka-GE"/>
              </w:rPr>
              <w:t xml:space="preserve"> </w:t>
            </w:r>
            <w:r w:rsidR="00510EE2" w:rsidRPr="00A57A6F">
              <w:rPr>
                <w:rFonts w:ascii="Sylfaen" w:hAnsi="Sylfaen"/>
                <w:noProof/>
                <w:color w:val="0563C1" w:themeColor="hyperlink"/>
                <w:lang w:val="ka-GE"/>
              </w:rPr>
              <w:t>(The Brattle Group, 2012)</w:t>
            </w:r>
            <w:r w:rsidR="00764354" w:rsidRPr="005E50DE">
              <w:rPr>
                <w:rStyle w:val="Hyperlink"/>
                <w:rFonts w:ascii="Sylfaen" w:hAnsi="Sylfaen"/>
                <w:lang w:val="ka-GE"/>
              </w:rPr>
              <w:fldChar w:fldCharType="end"/>
            </w:r>
          </w:sdtContent>
        </w:sdt>
      </w:hyperlink>
      <w:r w:rsidRPr="00F5432B">
        <w:rPr>
          <w:rFonts w:ascii="Sylfaen" w:hAnsi="Sylfaen"/>
          <w:lang w:val="ka-GE"/>
        </w:rPr>
        <w:t xml:space="preserve"> მიხედვით მარეგულირებე</w:t>
      </w:r>
      <w:r w:rsidR="007D01AA">
        <w:rPr>
          <w:rFonts w:ascii="Sylfaen" w:hAnsi="Sylfaen"/>
          <w:lang w:val="ka-GE"/>
        </w:rPr>
        <w:t>ლ</w:t>
      </w:r>
      <w:r w:rsidRPr="00F5432B">
        <w:rPr>
          <w:rFonts w:ascii="Sylfaen" w:hAnsi="Sylfaen"/>
          <w:lang w:val="ka-GE"/>
        </w:rPr>
        <w:t>ი</w:t>
      </w:r>
      <w:r w:rsidR="007D01AA">
        <w:rPr>
          <w:rFonts w:ascii="Sylfaen" w:hAnsi="Sylfaen"/>
          <w:lang w:val="ka-GE"/>
        </w:rPr>
        <w:t xml:space="preserve"> ორგანოები</w:t>
      </w:r>
      <w:r w:rsidRPr="00F5432B">
        <w:rPr>
          <w:rFonts w:ascii="Sylfaen" w:hAnsi="Sylfaen"/>
          <w:lang w:val="ka-GE"/>
        </w:rPr>
        <w:t xml:space="preserve">ს უმეტესობა ურისკო საპროცენტო განაკვეთის განსასაზღვრად იყენებს სწორედ სახელმწიფო ბონდებს, რამდენადაც იგი ოპერატორებს </w:t>
      </w:r>
      <w:proofErr w:type="spellStart"/>
      <w:r w:rsidRPr="00F5432B">
        <w:rPr>
          <w:rFonts w:ascii="Sylfaen" w:hAnsi="Sylfaen"/>
          <w:lang w:val="ka-GE"/>
        </w:rPr>
        <w:t>უკომპენსირებს</w:t>
      </w:r>
      <w:proofErr w:type="spellEnd"/>
      <w:r w:rsidRPr="00F5432B">
        <w:rPr>
          <w:rFonts w:ascii="Sylfaen" w:hAnsi="Sylfaen"/>
          <w:lang w:val="ka-GE"/>
        </w:rPr>
        <w:t xml:space="preserve"> ქვეყნისა და მარეგულირებლის რისკებს. 2008 წლის კრიზისამდე ევროზონის ქვეყნებში სახელმწიფო ბონდების განაკვეთები იყო თითქმის მსგავსი და ურისკო. 2010 წლის შემდეგ კი სიტუაცია შეიცვალა და განაკვეთებს შორის განსხვავება მნიშვნელოვანი გახდა. ეს განსხვავება ძირითადად გამოწვეული იყო ქვეყნებს შორის განსხვავებული დეფოლტის რისკის გამო, რის შედეგადაც გაჩნდა კითხვა: რამდენად </w:t>
      </w:r>
      <w:r w:rsidR="009F5514">
        <w:rPr>
          <w:rFonts w:ascii="Sylfaen" w:hAnsi="Sylfaen"/>
          <w:lang w:val="ka-GE"/>
        </w:rPr>
        <w:t>მიზანშეწონილი</w:t>
      </w:r>
      <w:r w:rsidRPr="00F5432B">
        <w:rPr>
          <w:rFonts w:ascii="Sylfaen" w:hAnsi="Sylfaen"/>
          <w:lang w:val="ka-GE"/>
        </w:rPr>
        <w:t xml:space="preserve"> იყო ეროვნული სახ</w:t>
      </w:r>
      <w:r w:rsidR="6A614480" w:rsidRPr="00F5432B">
        <w:rPr>
          <w:rFonts w:ascii="Sylfaen" w:hAnsi="Sylfaen"/>
          <w:lang w:val="ka-GE"/>
        </w:rPr>
        <w:t>ე</w:t>
      </w:r>
      <w:r w:rsidRPr="00F5432B">
        <w:rPr>
          <w:rFonts w:ascii="Sylfaen" w:hAnsi="Sylfaen"/>
          <w:lang w:val="ka-GE"/>
        </w:rPr>
        <w:t xml:space="preserve">ლმწიფო ბონდების საპროცენტო განაკვეთის გამოყენება როგორც ურისკო განაკვეთი. </w:t>
      </w:r>
      <w:r w:rsidR="00510EE2" w:rsidRPr="00A57A6F">
        <w:t>Brattle</w:t>
      </w:r>
      <w:r w:rsidRPr="00F5432B">
        <w:rPr>
          <w:rFonts w:ascii="Sylfaen" w:hAnsi="Sylfaen"/>
          <w:lang w:val="ka-GE"/>
        </w:rPr>
        <w:t>-მა დაასკვნა, რომ ევროზონის ქვეყ</w:t>
      </w:r>
      <w:r w:rsidR="001A4348" w:rsidRPr="00F5432B">
        <w:rPr>
          <w:rFonts w:ascii="Sylfaen" w:hAnsi="Sylfaen"/>
          <w:lang w:val="ka-GE"/>
        </w:rPr>
        <w:t>ნ</w:t>
      </w:r>
      <w:r w:rsidRPr="00F5432B">
        <w:rPr>
          <w:rFonts w:ascii="Sylfaen" w:hAnsi="Sylfaen"/>
          <w:lang w:val="ka-GE"/>
        </w:rPr>
        <w:t>ებს შეუძლიათ გამოიყენონ სახელმწიფო ბონდების განაკვეთი ურისკო საპროცენტო განაკვეთის დასათვლელად იმის გათვალისწინებით, რომ:</w:t>
      </w:r>
    </w:p>
    <w:p w14:paraId="68414536" w14:textId="2843488D" w:rsidR="00EF4706" w:rsidRPr="00F5432B" w:rsidRDefault="00EF4706" w:rsidP="00646F3A">
      <w:pPr>
        <w:pStyle w:val="ListParagraph"/>
        <w:numPr>
          <w:ilvl w:val="0"/>
          <w:numId w:val="4"/>
        </w:numPr>
        <w:jc w:val="both"/>
        <w:rPr>
          <w:rFonts w:ascii="Sylfaen" w:hAnsi="Sylfaen"/>
          <w:lang w:val="ka-GE"/>
        </w:rPr>
      </w:pPr>
      <w:r w:rsidRPr="00F5432B">
        <w:rPr>
          <w:rFonts w:ascii="Sylfaen" w:hAnsi="Sylfaen"/>
          <w:lang w:val="ka-GE"/>
        </w:rPr>
        <w:t>კომპანიებ</w:t>
      </w:r>
      <w:r w:rsidR="001A4348" w:rsidRPr="00F5432B">
        <w:rPr>
          <w:rFonts w:ascii="Sylfaen" w:hAnsi="Sylfaen"/>
          <w:lang w:val="ka-GE"/>
        </w:rPr>
        <w:t>ს</w:t>
      </w:r>
      <w:r w:rsidRPr="00F5432B">
        <w:rPr>
          <w:rFonts w:ascii="Sylfaen" w:hAnsi="Sylfaen"/>
          <w:lang w:val="ka-GE"/>
        </w:rPr>
        <w:t xml:space="preserve"> აქვთ რეგულირების რისკები, რომელიც ზრდის როგორც ბიზნეს, ასევე ფინანსურ რისკებს. აღნიშნული რისკი დგება როდესაც მიმდინარე რეგულაციაში ცვლილება ინვესტორის მიერ აღქმულია როგორც მის ინვესტიციაზე რისკის შესაბამისი ამონაგების მიღების შესაძლებლობის საფრთხის ქვეშ დაყენება.</w:t>
      </w:r>
      <w:r w:rsidRPr="00F5432B">
        <w:rPr>
          <w:rFonts w:ascii="Sylfaen" w:hAnsi="Sylfaen"/>
        </w:rPr>
        <w:t xml:space="preserve"> </w:t>
      </w:r>
      <w:r w:rsidRPr="00F5432B">
        <w:rPr>
          <w:rFonts w:ascii="Sylfaen" w:hAnsi="Sylfaen"/>
          <w:lang w:val="ka-GE"/>
        </w:rPr>
        <w:t>აღნიშნული რისკის გამო კომპანიამ  შეიძლება ვეღარ მიიღოს ის შემოსავალი</w:t>
      </w:r>
      <w:r w:rsidR="000139A7">
        <w:rPr>
          <w:rFonts w:ascii="Sylfaen" w:hAnsi="Sylfaen"/>
          <w:lang w:val="ka-GE"/>
        </w:rPr>
        <w:t>,</w:t>
      </w:r>
      <w:r w:rsidRPr="00F5432B">
        <w:rPr>
          <w:rFonts w:ascii="Sylfaen" w:hAnsi="Sylfaen"/>
          <w:lang w:val="ka-GE"/>
        </w:rPr>
        <w:t xml:space="preserve"> რის მიღებასაც გეგმავდა. იმისათვის</w:t>
      </w:r>
      <w:r w:rsidR="000139A7">
        <w:rPr>
          <w:rFonts w:ascii="Sylfaen" w:hAnsi="Sylfaen"/>
          <w:lang w:val="ka-GE"/>
        </w:rPr>
        <w:t>,</w:t>
      </w:r>
      <w:r w:rsidRPr="00F5432B">
        <w:rPr>
          <w:rFonts w:ascii="Sylfaen" w:hAnsi="Sylfaen"/>
          <w:lang w:val="ka-GE"/>
        </w:rPr>
        <w:t xml:space="preserve"> რომ რეგულირებულმა კომპანიამ მიიღ</w:t>
      </w:r>
      <w:r w:rsidR="001B5607" w:rsidRPr="00F5432B">
        <w:rPr>
          <w:rFonts w:ascii="Sylfaen" w:hAnsi="Sylfaen"/>
          <w:lang w:val="ka-GE"/>
        </w:rPr>
        <w:t>ო</w:t>
      </w:r>
      <w:r w:rsidRPr="00F5432B">
        <w:rPr>
          <w:rFonts w:ascii="Sylfaen" w:hAnsi="Sylfaen"/>
          <w:lang w:val="ka-GE"/>
        </w:rPr>
        <w:t>ს სამართლიანი ამონაგები მის ინვესტიციაზე, მან უნდა მიიღოს სამართ</w:t>
      </w:r>
      <w:r w:rsidR="00FD1770" w:rsidRPr="00F5432B">
        <w:rPr>
          <w:rFonts w:ascii="Sylfaen" w:hAnsi="Sylfaen"/>
          <w:lang w:val="ka-GE"/>
        </w:rPr>
        <w:t>ლ</w:t>
      </w:r>
      <w:r w:rsidRPr="00F5432B">
        <w:rPr>
          <w:rFonts w:ascii="Sylfaen" w:hAnsi="Sylfaen"/>
          <w:lang w:val="ka-GE"/>
        </w:rPr>
        <w:t>იან ამონაგებზე მეტი კარგ პერიოდში</w:t>
      </w:r>
      <w:r w:rsidR="001B5607" w:rsidRPr="00F5432B">
        <w:rPr>
          <w:rFonts w:ascii="Sylfaen" w:hAnsi="Sylfaen"/>
          <w:lang w:val="ka-GE"/>
        </w:rPr>
        <w:t>,</w:t>
      </w:r>
      <w:r w:rsidRPr="00F5432B">
        <w:rPr>
          <w:rFonts w:ascii="Sylfaen" w:hAnsi="Sylfaen"/>
          <w:lang w:val="ka-GE"/>
        </w:rPr>
        <w:t xml:space="preserve"> რათა </w:t>
      </w:r>
      <w:proofErr w:type="spellStart"/>
      <w:r w:rsidRPr="00F5432B">
        <w:rPr>
          <w:rFonts w:ascii="Sylfaen" w:hAnsi="Sylfaen"/>
          <w:lang w:val="ka-GE"/>
        </w:rPr>
        <w:t>დააკომპენსიროს</w:t>
      </w:r>
      <w:proofErr w:type="spellEnd"/>
      <w:r w:rsidRPr="00F5432B">
        <w:rPr>
          <w:rFonts w:ascii="Sylfaen" w:hAnsi="Sylfaen"/>
          <w:lang w:val="ka-GE"/>
        </w:rPr>
        <w:t xml:space="preserve"> მარეგულირებლის ნეგატიური გავლენა რთულ პერიოდში.</w:t>
      </w:r>
    </w:p>
    <w:p w14:paraId="2B092932" w14:textId="5623FAC8" w:rsidR="00EF4706" w:rsidRPr="00F5432B" w:rsidRDefault="00EF4706" w:rsidP="00646F3A">
      <w:pPr>
        <w:pStyle w:val="ListParagraph"/>
        <w:numPr>
          <w:ilvl w:val="0"/>
          <w:numId w:val="4"/>
        </w:numPr>
        <w:jc w:val="both"/>
        <w:rPr>
          <w:rFonts w:ascii="Sylfaen" w:hAnsi="Sylfaen"/>
        </w:rPr>
      </w:pPr>
      <w:r w:rsidRPr="00F5432B">
        <w:rPr>
          <w:rFonts w:ascii="Sylfaen" w:hAnsi="Sylfaen"/>
          <w:lang w:val="ka-GE"/>
        </w:rPr>
        <w:t>აღნიშნული კომპენსაცია ხდება, როდესაც მარეგულირებელი</w:t>
      </w:r>
      <w:r w:rsidR="007D01AA">
        <w:rPr>
          <w:rFonts w:ascii="Sylfaen" w:hAnsi="Sylfaen"/>
          <w:lang w:val="ka-GE"/>
        </w:rPr>
        <w:t xml:space="preserve"> ორგანო</w:t>
      </w:r>
      <w:r w:rsidRPr="00F5432B">
        <w:rPr>
          <w:rFonts w:ascii="Sylfaen" w:hAnsi="Sylfaen"/>
          <w:lang w:val="ka-GE"/>
        </w:rPr>
        <w:t xml:space="preserve"> ურისკო საპროცენტო განაკვეთის დათვლისთვის იყენებს სახელმწიფო ბონდების ამონაგებს</w:t>
      </w:r>
      <w:r w:rsidRPr="00F5432B">
        <w:rPr>
          <w:rFonts w:ascii="Sylfaen" w:hAnsi="Sylfaen"/>
        </w:rPr>
        <w:t xml:space="preserve">, </w:t>
      </w:r>
      <w:r w:rsidRPr="00F5432B">
        <w:rPr>
          <w:rFonts w:ascii="Sylfaen" w:hAnsi="Sylfaen"/>
          <w:lang w:val="ka-GE"/>
        </w:rPr>
        <w:t xml:space="preserve">ვინაიდან აღნიშნული ბონდების განაკვეთი არის უფრო მაღალი ვიდრე რეალური ურისკო საპროცენტო განაკვეთი, </w:t>
      </w:r>
      <w:r w:rsidRPr="00935751">
        <w:rPr>
          <w:rFonts w:ascii="Sylfaen" w:hAnsi="Sylfaen"/>
          <w:b/>
          <w:bCs/>
          <w:lang w:val="ka-GE"/>
        </w:rPr>
        <w:t>მათ შორის სხვაობა წარმოადგენს ქვეყნის რისკ პრემიუმს</w:t>
      </w:r>
      <w:r w:rsidRPr="00F5432B">
        <w:rPr>
          <w:rFonts w:ascii="Sylfaen" w:hAnsi="Sylfaen"/>
          <w:lang w:val="ka-GE"/>
        </w:rPr>
        <w:t>.</w:t>
      </w:r>
    </w:p>
    <w:p w14:paraId="197E3151" w14:textId="7A039BA1" w:rsidR="00EF4706" w:rsidRPr="00F5432B" w:rsidRDefault="00EF4706" w:rsidP="00646F3A">
      <w:pPr>
        <w:pStyle w:val="ListParagraph"/>
        <w:numPr>
          <w:ilvl w:val="0"/>
          <w:numId w:val="4"/>
        </w:numPr>
        <w:jc w:val="both"/>
        <w:rPr>
          <w:rFonts w:ascii="Sylfaen" w:hAnsi="Sylfaen"/>
        </w:rPr>
      </w:pPr>
      <w:r w:rsidRPr="00F5432B">
        <w:rPr>
          <w:rFonts w:ascii="Sylfaen" w:hAnsi="Sylfaen"/>
          <w:lang w:val="ka-GE"/>
        </w:rPr>
        <w:t>შესაბამისად რეგულირებად კომ</w:t>
      </w:r>
      <w:r w:rsidR="001B5607" w:rsidRPr="00F5432B">
        <w:rPr>
          <w:rFonts w:ascii="Sylfaen" w:hAnsi="Sylfaen"/>
          <w:lang w:val="ka-GE"/>
        </w:rPr>
        <w:t>პ</w:t>
      </w:r>
      <w:r w:rsidRPr="00F5432B">
        <w:rPr>
          <w:rFonts w:ascii="Sylfaen" w:hAnsi="Sylfaen"/>
          <w:lang w:val="ka-GE"/>
        </w:rPr>
        <w:t xml:space="preserve">ანიებში </w:t>
      </w:r>
      <w:r w:rsidRPr="00935751">
        <w:rPr>
          <w:rFonts w:ascii="Sylfaen" w:hAnsi="Sylfaen"/>
          <w:b/>
          <w:bCs/>
          <w:lang w:val="ka-GE"/>
        </w:rPr>
        <w:t>არაპირდაპირ ხდება რეგულირების რისკის კომპენსირება ქვეყნის რისკ პრემიუმით</w:t>
      </w:r>
      <w:r w:rsidRPr="00F5432B">
        <w:rPr>
          <w:rFonts w:ascii="Sylfaen" w:hAnsi="Sylfaen"/>
          <w:lang w:val="ka-GE"/>
        </w:rPr>
        <w:t>.</w:t>
      </w:r>
    </w:p>
    <w:p w14:paraId="62D2A8B7" w14:textId="66194636" w:rsidR="00EF4706" w:rsidRPr="00AF7B02" w:rsidRDefault="00EF4706" w:rsidP="00646F3A">
      <w:pPr>
        <w:jc w:val="both"/>
        <w:rPr>
          <w:rFonts w:ascii="Sylfaen" w:hAnsi="Sylfaen"/>
          <w:lang w:val="ka-GE"/>
        </w:rPr>
      </w:pPr>
      <w:r w:rsidRPr="00D14074">
        <w:rPr>
          <w:rFonts w:ascii="Sylfaen" w:hAnsi="Sylfaen"/>
        </w:rPr>
        <w:t xml:space="preserve">Brattle </w:t>
      </w:r>
      <w:r w:rsidRPr="00D14074">
        <w:rPr>
          <w:rFonts w:ascii="Sylfaen" w:hAnsi="Sylfaen"/>
          <w:lang w:val="ka-GE"/>
        </w:rPr>
        <w:t>განსაზღვრავს იმ ორ სიტუაციას</w:t>
      </w:r>
      <w:r w:rsidR="000139A7" w:rsidRPr="00D14074">
        <w:rPr>
          <w:rFonts w:ascii="Sylfaen" w:hAnsi="Sylfaen"/>
          <w:lang w:val="ka-GE"/>
        </w:rPr>
        <w:t>,</w:t>
      </w:r>
      <w:r w:rsidRPr="00D14074">
        <w:rPr>
          <w:rFonts w:ascii="Sylfaen" w:hAnsi="Sylfaen"/>
          <w:lang w:val="ka-GE"/>
        </w:rPr>
        <w:t xml:space="preserve"> რა დროსაც ურისკო საპროცენტო განაკვეთის დათვლისას არ უნდა იყოს გამოყენებული სახელმწიფო ბონდები: </w:t>
      </w:r>
      <w:r w:rsidR="00292C01" w:rsidRPr="00D14074">
        <w:rPr>
          <w:rFonts w:ascii="Sylfaen" w:hAnsi="Sylfaen"/>
          <w:lang w:val="ka-GE"/>
        </w:rPr>
        <w:t xml:space="preserve">როდესაც </w:t>
      </w:r>
      <w:r w:rsidRPr="00D14074">
        <w:rPr>
          <w:rFonts w:ascii="Sylfaen" w:hAnsi="Sylfaen"/>
          <w:lang w:val="ka-GE"/>
        </w:rPr>
        <w:t xml:space="preserve">სახელმწიფო ბონდები </w:t>
      </w:r>
      <w:proofErr w:type="spellStart"/>
      <w:r w:rsidRPr="00D14074">
        <w:rPr>
          <w:rFonts w:ascii="Sylfaen" w:hAnsi="Sylfaen"/>
          <w:lang w:val="ka-GE"/>
        </w:rPr>
        <w:t>არალიკვიდურია</w:t>
      </w:r>
      <w:proofErr w:type="spellEnd"/>
      <w:r w:rsidRPr="00D14074">
        <w:rPr>
          <w:rFonts w:ascii="Sylfaen" w:hAnsi="Sylfaen"/>
          <w:lang w:val="ka-GE"/>
        </w:rPr>
        <w:t>, და როდესაც ქვეყანას აქვს დეფოლტის მაღალი რის</w:t>
      </w:r>
      <w:r w:rsidR="53BAF806" w:rsidRPr="00D14074">
        <w:rPr>
          <w:rFonts w:ascii="Sylfaen" w:hAnsi="Sylfaen"/>
          <w:lang w:val="ka-GE"/>
        </w:rPr>
        <w:t>კ</w:t>
      </w:r>
      <w:r w:rsidRPr="00D14074">
        <w:rPr>
          <w:rFonts w:ascii="Sylfaen" w:hAnsi="Sylfaen"/>
          <w:lang w:val="ka-GE"/>
        </w:rPr>
        <w:t>ი.</w:t>
      </w:r>
      <w:r w:rsidR="006A3474" w:rsidRPr="00D14074">
        <w:rPr>
          <w:rFonts w:ascii="Sylfaen" w:hAnsi="Sylfaen"/>
        </w:rPr>
        <w:t xml:space="preserve"> </w:t>
      </w:r>
      <w:r w:rsidR="006A3474" w:rsidRPr="00D14074">
        <w:rPr>
          <w:rFonts w:ascii="Sylfaen" w:hAnsi="Sylfaen"/>
          <w:lang w:val="ka-GE"/>
        </w:rPr>
        <w:t xml:space="preserve">რაც არ იკვეთება საქართველოს მაგალითზე. საქართველოს სუვერენული საკრედიტო რეიტინგი 2022 წლის </w:t>
      </w:r>
      <w:r w:rsidR="00AF7B02" w:rsidRPr="00D14074">
        <w:rPr>
          <w:rFonts w:ascii="Sylfaen" w:hAnsi="Sylfaen"/>
          <w:lang w:val="ka-GE"/>
        </w:rPr>
        <w:t xml:space="preserve">4 თებერვლის </w:t>
      </w:r>
      <w:r w:rsidR="006A3474" w:rsidRPr="00D14074">
        <w:rPr>
          <w:rFonts w:ascii="Sylfaen" w:hAnsi="Sylfaen"/>
          <w:lang w:val="ka-GE"/>
        </w:rPr>
        <w:t>განახლებ</w:t>
      </w:r>
      <w:r w:rsidR="00AF7B02" w:rsidRPr="00D14074">
        <w:rPr>
          <w:rFonts w:ascii="Sylfaen" w:hAnsi="Sylfaen"/>
          <w:lang w:val="ka-GE"/>
        </w:rPr>
        <w:t>ული ინფორმაციით</w:t>
      </w:r>
      <w:r w:rsidR="006A3474" w:rsidRPr="00D14074">
        <w:rPr>
          <w:rFonts w:ascii="Sylfaen" w:hAnsi="Sylfaen"/>
          <w:lang w:val="ka-GE"/>
        </w:rPr>
        <w:t xml:space="preserve"> </w:t>
      </w:r>
      <w:r w:rsidR="006A3474" w:rsidRPr="00D14074">
        <w:rPr>
          <w:rFonts w:ascii="Sylfaen" w:hAnsi="Sylfaen"/>
          <w:lang w:val="en-GB"/>
        </w:rPr>
        <w:t xml:space="preserve">BB </w:t>
      </w:r>
      <w:r w:rsidR="006A3474" w:rsidRPr="00D14074">
        <w:rPr>
          <w:rFonts w:ascii="Sylfaen" w:hAnsi="Sylfaen"/>
          <w:lang w:val="ka-GE"/>
        </w:rPr>
        <w:t xml:space="preserve">სტაბილურ დონეზე ნარჩუნდება </w:t>
      </w:r>
      <w:r w:rsidR="006A3474" w:rsidRPr="00D14074">
        <w:rPr>
          <w:rFonts w:ascii="Sylfaen" w:hAnsi="Sylfaen"/>
          <w:lang w:val="en-GB"/>
        </w:rPr>
        <w:t>(</w:t>
      </w:r>
      <w:hyperlink r:id="rId11" w:history="1">
        <w:r w:rsidR="006A3474" w:rsidRPr="00D14074">
          <w:rPr>
            <w:rStyle w:val="Hyperlink"/>
            <w:rFonts w:ascii="Sylfaen" w:hAnsi="Sylfaen"/>
            <w:lang w:val="en-GB"/>
          </w:rPr>
          <w:t>Fitch Ratings, 2022</w:t>
        </w:r>
      </w:hyperlink>
      <w:r w:rsidR="006A3474" w:rsidRPr="00D14074">
        <w:rPr>
          <w:rFonts w:ascii="Sylfaen" w:hAnsi="Sylfaen"/>
          <w:lang w:val="en-GB"/>
        </w:rPr>
        <w:t>)</w:t>
      </w:r>
      <w:r w:rsidR="006A3474" w:rsidRPr="00D14074">
        <w:rPr>
          <w:rFonts w:ascii="Sylfaen" w:hAnsi="Sylfaen"/>
          <w:lang w:val="ka-GE"/>
        </w:rPr>
        <w:t xml:space="preserve">. </w:t>
      </w:r>
      <w:r w:rsidR="00AF7B02" w:rsidRPr="00D14074">
        <w:rPr>
          <w:rFonts w:ascii="Sylfaen" w:hAnsi="Sylfaen"/>
          <w:lang w:val="ka-GE"/>
        </w:rPr>
        <w:t xml:space="preserve">ხოლო რაც შეეხება, სახელმწიფო ბონდების ლიკვიდურობას მის ყოველწლიურ გაუმჯობესებას ხაზს უსვამს </w:t>
      </w:r>
      <w:hyperlink r:id="rId12" w:history="1">
        <w:r w:rsidR="00AF7B02" w:rsidRPr="00D14074">
          <w:rPr>
            <w:rStyle w:val="Hyperlink"/>
            <w:rFonts w:ascii="Sylfaen" w:hAnsi="Sylfaen"/>
            <w:lang w:val="ka-GE"/>
          </w:rPr>
          <w:t>საქართველოს ფინანსთა სამინისტროს</w:t>
        </w:r>
      </w:hyperlink>
      <w:r w:rsidR="00AF7B02" w:rsidRPr="00D14074">
        <w:rPr>
          <w:rFonts w:ascii="Sylfaen" w:hAnsi="Sylfaen"/>
          <w:lang w:val="ka-GE"/>
        </w:rPr>
        <w:t xml:space="preserve"> მიერ გამოქვეყნებული მონაცემები.</w:t>
      </w:r>
    </w:p>
    <w:p w14:paraId="469F54FD" w14:textId="60D9C983" w:rsidR="00EF4706" w:rsidRPr="00F5432B" w:rsidRDefault="00EF4706" w:rsidP="00646F3A">
      <w:pPr>
        <w:jc w:val="both"/>
        <w:rPr>
          <w:rFonts w:ascii="Sylfaen" w:hAnsi="Sylfaen"/>
          <w:lang w:val="ka-GE"/>
        </w:rPr>
      </w:pPr>
      <w:r w:rsidRPr="00F5432B">
        <w:rPr>
          <w:rFonts w:ascii="Sylfaen" w:hAnsi="Sylfaen"/>
          <w:lang w:val="ka-GE"/>
        </w:rPr>
        <w:t xml:space="preserve">ურისკო საპროცენტო განაკვეთის დათვლასთან დაკავშირებით იგივე მიდგომა აქვს </w:t>
      </w:r>
      <w:r w:rsidR="00510EE2" w:rsidRPr="00A57A6F">
        <w:t>BEREC</w:t>
      </w:r>
      <w:r w:rsidRPr="00F5432B">
        <w:rPr>
          <w:rFonts w:ascii="Sylfaen" w:hAnsi="Sylfaen"/>
        </w:rPr>
        <w:t>-</w:t>
      </w:r>
      <w:r w:rsidRPr="00F5432B">
        <w:rPr>
          <w:rFonts w:ascii="Sylfaen" w:hAnsi="Sylfaen"/>
          <w:lang w:val="ka-GE"/>
        </w:rPr>
        <w:t xml:space="preserve">ს </w:t>
      </w:r>
      <w:hyperlink r:id="rId13" w:history="1">
        <w:sdt>
          <w:sdtPr>
            <w:rPr>
              <w:rStyle w:val="Hyperlink"/>
              <w:rFonts w:ascii="Sylfaen" w:hAnsi="Sylfaen"/>
              <w:lang w:val="ka-GE"/>
            </w:rPr>
            <w:id w:val="264584200"/>
            <w:citation/>
          </w:sdtPr>
          <w:sdtEndPr>
            <w:rPr>
              <w:rStyle w:val="Hyperlink"/>
            </w:rPr>
          </w:sdtEndPr>
          <w:sdtContent>
            <w:r w:rsidR="00FB49AC" w:rsidRPr="005E50DE">
              <w:rPr>
                <w:rStyle w:val="Hyperlink"/>
                <w:rFonts w:ascii="Sylfaen" w:hAnsi="Sylfaen"/>
                <w:lang w:val="ka-GE"/>
              </w:rPr>
              <w:fldChar w:fldCharType="begin"/>
            </w:r>
            <w:r w:rsidR="00FB49AC" w:rsidRPr="00F5432B">
              <w:rPr>
                <w:rStyle w:val="Hyperlink"/>
                <w:rFonts w:ascii="Sylfaen" w:hAnsi="Sylfaen"/>
              </w:rPr>
              <w:instrText xml:space="preserve"> CITATION BER19 \l 1033 </w:instrText>
            </w:r>
            <w:r w:rsidR="00FB49AC" w:rsidRPr="005E50DE">
              <w:rPr>
                <w:rStyle w:val="Hyperlink"/>
                <w:rFonts w:ascii="Sylfaen" w:hAnsi="Sylfaen"/>
                <w:lang w:val="ka-GE"/>
              </w:rPr>
              <w:fldChar w:fldCharType="separate"/>
            </w:r>
            <w:r w:rsidR="00510EE2" w:rsidRPr="00F5432B">
              <w:rPr>
                <w:rStyle w:val="Hyperlink"/>
                <w:rFonts w:ascii="Sylfaen" w:hAnsi="Sylfaen"/>
                <w:noProof/>
              </w:rPr>
              <w:t xml:space="preserve"> </w:t>
            </w:r>
            <w:r w:rsidR="00510EE2" w:rsidRPr="00A57A6F">
              <w:rPr>
                <w:rFonts w:ascii="Sylfaen" w:hAnsi="Sylfaen"/>
                <w:noProof/>
                <w:color w:val="0563C1" w:themeColor="hyperlink"/>
              </w:rPr>
              <w:t>(BEREC, 2019)</w:t>
            </w:r>
            <w:r w:rsidR="00FB49AC" w:rsidRPr="005E50DE">
              <w:rPr>
                <w:rStyle w:val="Hyperlink"/>
                <w:rFonts w:ascii="Sylfaen" w:hAnsi="Sylfaen"/>
                <w:lang w:val="ka-GE"/>
              </w:rPr>
              <w:fldChar w:fldCharType="end"/>
            </w:r>
          </w:sdtContent>
        </w:sdt>
      </w:hyperlink>
      <w:r w:rsidR="00FB49AC" w:rsidRPr="00F5432B">
        <w:rPr>
          <w:rFonts w:ascii="Sylfaen" w:hAnsi="Sylfaen"/>
        </w:rPr>
        <w:t xml:space="preserve"> </w:t>
      </w:r>
      <w:r w:rsidRPr="00F5432B">
        <w:rPr>
          <w:rFonts w:ascii="Sylfaen" w:hAnsi="Sylfaen"/>
          <w:lang w:val="ka-GE"/>
        </w:rPr>
        <w:t>და მიაჩნია, რომ სახელმწიფო ბონდები</w:t>
      </w:r>
      <w:r w:rsidR="0044759C">
        <w:rPr>
          <w:rFonts w:ascii="Sylfaen" w:hAnsi="Sylfaen"/>
          <w:lang w:val="ka-GE"/>
        </w:rPr>
        <w:t>ს გამოყენება</w:t>
      </w:r>
      <w:r w:rsidRPr="00F5432B">
        <w:rPr>
          <w:rFonts w:ascii="Sylfaen" w:hAnsi="Sylfaen"/>
          <w:lang w:val="ka-GE"/>
        </w:rPr>
        <w:t xml:space="preserve"> არის სწორი მიდგომა, რამდენადაც იგი მაქსიმალურადაა მიახლოებული ნომინალურ ურისკო საპროცენტო განაკვეთთან იმის გათვალისწინებით, რომ სახელმწიფო ბონდებზე აისახება ინფლაციის მოლოდინები. სახელმწიფო ბონდები აკომპენსირებს ქვეყნის სპეციფიურ რისკებს. </w:t>
      </w:r>
      <w:r w:rsidR="00510EE2" w:rsidRPr="00A57A6F">
        <w:t>BEREC</w:t>
      </w:r>
      <w:r w:rsidRPr="00F5432B">
        <w:rPr>
          <w:rFonts w:ascii="Sylfaen" w:hAnsi="Sylfaen"/>
        </w:rPr>
        <w:t>-</w:t>
      </w:r>
      <w:r w:rsidRPr="00F5432B">
        <w:rPr>
          <w:rFonts w:ascii="Sylfaen" w:hAnsi="Sylfaen"/>
          <w:lang w:val="ka-GE"/>
        </w:rPr>
        <w:t xml:space="preserve">ის დოკუმენტში აღნიშნულია, რომ სახელმწიფო ბონდების გამოყენება არაა მიზანშეწონილი მხოლოდ </w:t>
      </w:r>
      <w:proofErr w:type="spellStart"/>
      <w:r w:rsidRPr="00F5432B">
        <w:rPr>
          <w:rFonts w:ascii="Sylfaen" w:hAnsi="Sylfaen"/>
          <w:lang w:val="ka-GE"/>
        </w:rPr>
        <w:t>არალიკვიდურობისა</w:t>
      </w:r>
      <w:proofErr w:type="spellEnd"/>
      <w:r w:rsidRPr="00F5432B">
        <w:rPr>
          <w:rFonts w:ascii="Sylfaen" w:hAnsi="Sylfaen"/>
          <w:lang w:val="ka-GE"/>
        </w:rPr>
        <w:t xml:space="preserve"> და მაღალი სახელმწიფო დეფოლტის რისკის შემთხვევაში.</w:t>
      </w:r>
    </w:p>
    <w:p w14:paraId="2D78EABE" w14:textId="73E6D68F" w:rsidR="00734E64" w:rsidRPr="00F5432B" w:rsidRDefault="6A614480" w:rsidP="00646F3A">
      <w:pPr>
        <w:jc w:val="both"/>
        <w:rPr>
          <w:rFonts w:ascii="Sylfaen" w:hAnsi="Sylfaen"/>
          <w:lang w:val="ka-GE"/>
        </w:rPr>
      </w:pPr>
      <w:r w:rsidRPr="00D14074">
        <w:rPr>
          <w:rFonts w:ascii="Sylfaen" w:hAnsi="Sylfaen"/>
          <w:lang w:val="ka-GE"/>
        </w:rPr>
        <w:t>შესაბამისად,</w:t>
      </w:r>
      <w:r w:rsidR="00B63D8F" w:rsidRPr="00D14074">
        <w:rPr>
          <w:rFonts w:ascii="Sylfaen" w:hAnsi="Sylfaen"/>
          <w:lang w:val="ka-GE"/>
        </w:rPr>
        <w:t xml:space="preserve"> რადგან</w:t>
      </w:r>
      <w:r w:rsidRPr="00D14074">
        <w:rPr>
          <w:rFonts w:ascii="Sylfaen" w:hAnsi="Sylfaen"/>
          <w:lang w:val="ka-GE"/>
        </w:rPr>
        <w:t xml:space="preserve"> ურისკო საპროცენტო განაკვეთ</w:t>
      </w:r>
      <w:r w:rsidR="00A01AEE" w:rsidRPr="00D14074">
        <w:rPr>
          <w:rFonts w:ascii="Sylfaen" w:hAnsi="Sylfaen"/>
          <w:lang w:val="ka-GE"/>
        </w:rPr>
        <w:t>ი</w:t>
      </w:r>
      <w:r w:rsidRPr="00D14074">
        <w:rPr>
          <w:rFonts w:ascii="Sylfaen" w:hAnsi="Sylfaen"/>
          <w:lang w:val="ka-GE"/>
        </w:rPr>
        <w:t>ს დათვლისთვის გამოყენებულია საქართველოს სახელმწიფო 8-10 წლიანი ბონდების ბოლო ერთი წლის (კვლევის დაწყების მომენტისთვის) მონაც</w:t>
      </w:r>
      <w:r w:rsidR="0063014C" w:rsidRPr="00D14074">
        <w:rPr>
          <w:rFonts w:ascii="Sylfaen" w:hAnsi="Sylfaen"/>
          <w:lang w:val="ka-GE"/>
        </w:rPr>
        <w:t>ე</w:t>
      </w:r>
      <w:r w:rsidRPr="00D14074">
        <w:rPr>
          <w:rFonts w:ascii="Sylfaen" w:hAnsi="Sylfaen"/>
          <w:lang w:val="ka-GE"/>
        </w:rPr>
        <w:t>მების საშუალო (9,67%)</w:t>
      </w:r>
      <w:r w:rsidR="00B97A01" w:rsidRPr="00D14074">
        <w:rPr>
          <w:rStyle w:val="FootnoteReference"/>
          <w:rFonts w:ascii="Sylfaen" w:hAnsi="Sylfaen"/>
          <w:lang w:val="ka-GE"/>
        </w:rPr>
        <w:footnoteReference w:id="3"/>
      </w:r>
      <w:r w:rsidRPr="00D14074">
        <w:rPr>
          <w:rFonts w:ascii="Sylfaen" w:hAnsi="Sylfaen"/>
          <w:lang w:val="ka-GE"/>
        </w:rPr>
        <w:t>,</w:t>
      </w:r>
      <w:r w:rsidR="00B63D8F" w:rsidRPr="00D14074">
        <w:rPr>
          <w:rFonts w:ascii="Sylfaen" w:hAnsi="Sylfaen"/>
          <w:lang w:val="ka-GE"/>
        </w:rPr>
        <w:t xml:space="preserve"> რომელიც </w:t>
      </w:r>
      <w:r w:rsidRPr="00D14074">
        <w:rPr>
          <w:rFonts w:ascii="Sylfaen" w:hAnsi="Sylfaen"/>
          <w:lang w:val="ka-GE"/>
        </w:rPr>
        <w:t>ითვალისწინებს ქვეყნის სპეციფიურ რისკებს</w:t>
      </w:r>
      <w:r w:rsidR="00BA6ADD" w:rsidRPr="00D14074">
        <w:rPr>
          <w:rFonts w:ascii="Sylfaen" w:hAnsi="Sylfaen"/>
          <w:lang w:val="ka-GE"/>
        </w:rPr>
        <w:t xml:space="preserve"> (რეგულირების, ლიკვიდურობის, ქვეყნის ზომის, ვალუტის და სხვა რისკები)</w:t>
      </w:r>
      <w:r w:rsidR="00B63D8F" w:rsidRPr="00D14074">
        <w:rPr>
          <w:rFonts w:ascii="Sylfaen" w:hAnsi="Sylfaen"/>
          <w:lang w:val="ka-GE"/>
        </w:rPr>
        <w:t>,  დასახელებული რისკების დამატებითი გამოყენება არ არის რეკომენდირებული.</w:t>
      </w:r>
    </w:p>
    <w:p w14:paraId="040D5BF3" w14:textId="713F6839" w:rsidR="008A4B1E" w:rsidRDefault="00734E64" w:rsidP="00646F3A">
      <w:pPr>
        <w:jc w:val="both"/>
        <w:rPr>
          <w:rFonts w:ascii="Sylfaen" w:hAnsi="Sylfaen"/>
          <w:lang w:val="ka-GE"/>
        </w:rPr>
      </w:pPr>
      <w:r w:rsidRPr="00A57A6F">
        <w:rPr>
          <w:rFonts w:ascii="Sylfaen" w:hAnsi="Sylfaen"/>
          <w:lang w:val="ka-GE"/>
        </w:rPr>
        <w:t>ქვემოთ მოყვანილი ცხრილი აღწერს თუ რა საზღ</w:t>
      </w:r>
      <w:r w:rsidR="0063014C">
        <w:rPr>
          <w:rFonts w:ascii="Sylfaen" w:hAnsi="Sylfaen"/>
          <w:lang w:val="ka-GE"/>
        </w:rPr>
        <w:t>ვ</w:t>
      </w:r>
      <w:r w:rsidRPr="00A57A6F">
        <w:rPr>
          <w:rFonts w:ascii="Sylfaen" w:hAnsi="Sylfaen"/>
          <w:lang w:val="ka-GE"/>
        </w:rPr>
        <w:t>რებში მერყეობს სხვადასხვა ქვეყნების მარეგულირებ</w:t>
      </w:r>
      <w:r w:rsidR="007D01AA">
        <w:rPr>
          <w:rFonts w:ascii="Sylfaen" w:hAnsi="Sylfaen"/>
          <w:lang w:val="ka-GE"/>
        </w:rPr>
        <w:t>ე</w:t>
      </w:r>
      <w:r w:rsidRPr="00A57A6F">
        <w:rPr>
          <w:rFonts w:ascii="Sylfaen" w:hAnsi="Sylfaen"/>
          <w:lang w:val="ka-GE"/>
        </w:rPr>
        <w:t>ლი</w:t>
      </w:r>
      <w:r w:rsidR="007D01AA">
        <w:rPr>
          <w:rFonts w:ascii="Sylfaen" w:hAnsi="Sylfaen"/>
          <w:lang w:val="ka-GE"/>
        </w:rPr>
        <w:t xml:space="preserve"> ორგანოების</w:t>
      </w:r>
      <w:r w:rsidRPr="00A57A6F">
        <w:rPr>
          <w:rFonts w:ascii="Sylfaen" w:hAnsi="Sylfaen"/>
          <w:lang w:val="ka-GE"/>
        </w:rPr>
        <w:t xml:space="preserve"> მიერ გამოყენებული ნომინალური ურისკო საპროცენტო განაკვეთი ფიქსირებული და მობილური ქსელებისთვის. საქართველოს სპეციფიკური რისკების გათვალისწინებით, ადგილობრივი ურისკო საპროცენტო განაკვეთი უახლოვდება დანარჩენი 31 ქვეყნის მა</w:t>
      </w:r>
      <w:r w:rsidR="007C61AB" w:rsidRPr="00A57A6F">
        <w:rPr>
          <w:rFonts w:ascii="Sylfaen" w:hAnsi="Sylfaen"/>
          <w:lang w:val="ka-GE"/>
        </w:rPr>
        <w:t>ქ</w:t>
      </w:r>
      <w:r w:rsidRPr="00A57A6F">
        <w:rPr>
          <w:rFonts w:ascii="Sylfaen" w:hAnsi="Sylfaen"/>
          <w:lang w:val="ka-GE"/>
        </w:rPr>
        <w:t xml:space="preserve">სიმუმს. </w:t>
      </w:r>
    </w:p>
    <w:p w14:paraId="0671247B" w14:textId="6F13E923" w:rsidR="00F1032F" w:rsidRPr="00AC0895" w:rsidRDefault="00854262" w:rsidP="00646F3A">
      <w:pPr>
        <w:pStyle w:val="Caption"/>
        <w:keepNext/>
        <w:jc w:val="both"/>
        <w:rPr>
          <w:rFonts w:ascii="Sylfaen" w:hAnsi="Sylfaen"/>
        </w:rPr>
      </w:pPr>
      <w:proofErr w:type="spellStart"/>
      <w:r w:rsidRPr="00DD6C0E">
        <w:rPr>
          <w:rFonts w:ascii="Sylfaen" w:hAnsi="Sylfaen"/>
          <w:sz w:val="22"/>
          <w:szCs w:val="22"/>
        </w:rPr>
        <w:t>ცხრილი</w:t>
      </w:r>
      <w:proofErr w:type="spellEnd"/>
      <w:r w:rsidRPr="00DD6C0E">
        <w:rPr>
          <w:rFonts w:ascii="Sylfaen" w:hAnsi="Sylfaen"/>
          <w:sz w:val="22"/>
          <w:szCs w:val="22"/>
        </w:rPr>
        <w:t xml:space="preserve"> </w:t>
      </w:r>
      <w:r w:rsidRPr="00DD6C0E">
        <w:rPr>
          <w:rFonts w:ascii="Sylfaen" w:hAnsi="Sylfaen"/>
          <w:sz w:val="22"/>
          <w:szCs w:val="22"/>
        </w:rPr>
        <w:fldChar w:fldCharType="begin"/>
      </w:r>
      <w:r w:rsidRPr="00DD6C0E">
        <w:rPr>
          <w:rFonts w:ascii="Sylfaen" w:hAnsi="Sylfaen"/>
          <w:sz w:val="22"/>
          <w:szCs w:val="22"/>
        </w:rPr>
        <w:instrText xml:space="preserve"> SEQ ცხრილი \* ARABIC </w:instrText>
      </w:r>
      <w:r w:rsidRPr="00DD6C0E">
        <w:rPr>
          <w:rFonts w:ascii="Sylfaen" w:hAnsi="Sylfaen"/>
          <w:sz w:val="22"/>
          <w:szCs w:val="22"/>
        </w:rPr>
        <w:fldChar w:fldCharType="separate"/>
      </w:r>
      <w:r w:rsidR="004D1456">
        <w:rPr>
          <w:rFonts w:ascii="Sylfaen" w:hAnsi="Sylfaen"/>
          <w:noProof/>
          <w:sz w:val="22"/>
          <w:szCs w:val="22"/>
        </w:rPr>
        <w:t>3</w:t>
      </w:r>
      <w:r w:rsidRPr="00DD6C0E">
        <w:rPr>
          <w:rFonts w:ascii="Sylfaen" w:hAnsi="Sylfaen"/>
          <w:sz w:val="22"/>
          <w:szCs w:val="22"/>
        </w:rPr>
        <w:fldChar w:fldCharType="end"/>
      </w:r>
    </w:p>
    <w:tbl>
      <w:tblPr>
        <w:tblStyle w:val="PlainTable3"/>
        <w:tblW w:w="9781" w:type="dxa"/>
        <w:tblLook w:val="04A0" w:firstRow="1" w:lastRow="0" w:firstColumn="1" w:lastColumn="0" w:noHBand="0" w:noVBand="1"/>
      </w:tblPr>
      <w:tblGrid>
        <w:gridCol w:w="5119"/>
        <w:gridCol w:w="1196"/>
        <w:gridCol w:w="1070"/>
        <w:gridCol w:w="1299"/>
        <w:gridCol w:w="1097"/>
      </w:tblGrid>
      <w:tr w:rsidR="00B07AA7" w:rsidRPr="00D14074" w14:paraId="64437293" w14:textId="77777777" w:rsidTr="00D14074">
        <w:trPr>
          <w:cnfStyle w:val="100000000000" w:firstRow="1" w:lastRow="0" w:firstColumn="0" w:lastColumn="0" w:oddVBand="0" w:evenVBand="0" w:oddHBand="0" w:evenHBand="0" w:firstRowFirstColumn="0" w:firstRowLastColumn="0" w:lastRowFirstColumn="0" w:lastRowLastColumn="0"/>
          <w:trHeight w:val="333"/>
        </w:trPr>
        <w:tc>
          <w:tcPr>
            <w:cnfStyle w:val="001000000100" w:firstRow="0" w:lastRow="0" w:firstColumn="1" w:lastColumn="0" w:oddVBand="0" w:evenVBand="0" w:oddHBand="0" w:evenHBand="0" w:firstRowFirstColumn="1" w:firstRowLastColumn="0" w:lastRowFirstColumn="0" w:lastRowLastColumn="0"/>
            <w:tcW w:w="5245" w:type="dxa"/>
            <w:hideMark/>
          </w:tcPr>
          <w:p w14:paraId="6306DC03" w14:textId="77777777" w:rsidR="008A4B1E" w:rsidRPr="00D14074" w:rsidRDefault="6A614480" w:rsidP="00646F3A">
            <w:pPr>
              <w:rPr>
                <w:rFonts w:ascii="Sylfaen" w:eastAsia="Times New Roman" w:hAnsi="Sylfaen" w:cs="Calibri"/>
                <w:color w:val="000000"/>
                <w:sz w:val="20"/>
                <w:szCs w:val="20"/>
              </w:rPr>
            </w:pPr>
            <w:r w:rsidRPr="00D14074">
              <w:rPr>
                <w:rFonts w:ascii="Sylfaen" w:eastAsia="Times New Roman" w:hAnsi="Sylfaen" w:cs="Calibri"/>
                <w:color w:val="000000" w:themeColor="text1"/>
                <w:sz w:val="20"/>
                <w:szCs w:val="20"/>
              </w:rPr>
              <w:t>2020</w:t>
            </w:r>
          </w:p>
        </w:tc>
        <w:tc>
          <w:tcPr>
            <w:tcW w:w="1196" w:type="dxa"/>
            <w:noWrap/>
            <w:hideMark/>
          </w:tcPr>
          <w:p w14:paraId="19333808" w14:textId="77777777" w:rsidR="008A4B1E" w:rsidRPr="00D14074" w:rsidRDefault="008A4B1E" w:rsidP="00646F3A">
            <w:pP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color w:val="000000"/>
                <w:sz w:val="20"/>
                <w:szCs w:val="20"/>
              </w:rPr>
            </w:pPr>
            <w:proofErr w:type="spellStart"/>
            <w:r w:rsidRPr="00D14074">
              <w:rPr>
                <w:rFonts w:ascii="Sylfaen" w:eastAsia="Times New Roman" w:hAnsi="Sylfaen" w:cs="Calibri"/>
                <w:color w:val="000000"/>
                <w:sz w:val="20"/>
                <w:szCs w:val="20"/>
              </w:rPr>
              <w:t>საშუალო</w:t>
            </w:r>
            <w:proofErr w:type="spellEnd"/>
          </w:p>
        </w:tc>
        <w:tc>
          <w:tcPr>
            <w:tcW w:w="1070" w:type="dxa"/>
            <w:noWrap/>
            <w:hideMark/>
          </w:tcPr>
          <w:p w14:paraId="5CF955AF" w14:textId="77777777" w:rsidR="008A4B1E" w:rsidRPr="00D14074" w:rsidRDefault="008A4B1E" w:rsidP="00646F3A">
            <w:pP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color w:val="000000"/>
                <w:sz w:val="20"/>
                <w:szCs w:val="20"/>
              </w:rPr>
            </w:pPr>
            <w:proofErr w:type="spellStart"/>
            <w:r w:rsidRPr="00D14074">
              <w:rPr>
                <w:rFonts w:ascii="Sylfaen" w:eastAsia="Times New Roman" w:hAnsi="Sylfaen" w:cs="Calibri"/>
                <w:color w:val="000000"/>
                <w:sz w:val="20"/>
                <w:szCs w:val="20"/>
              </w:rPr>
              <w:t>მედიანა</w:t>
            </w:r>
            <w:proofErr w:type="spellEnd"/>
          </w:p>
        </w:tc>
        <w:tc>
          <w:tcPr>
            <w:tcW w:w="1299" w:type="dxa"/>
            <w:noWrap/>
            <w:hideMark/>
          </w:tcPr>
          <w:p w14:paraId="6458FF0D" w14:textId="77777777" w:rsidR="008A4B1E" w:rsidRPr="00D14074" w:rsidRDefault="008A4B1E" w:rsidP="00646F3A">
            <w:pP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color w:val="000000"/>
                <w:sz w:val="20"/>
                <w:szCs w:val="20"/>
              </w:rPr>
            </w:pPr>
            <w:proofErr w:type="spellStart"/>
            <w:r w:rsidRPr="00D14074">
              <w:rPr>
                <w:rFonts w:ascii="Sylfaen" w:eastAsia="Times New Roman" w:hAnsi="Sylfaen" w:cs="Calibri"/>
                <w:color w:val="000000"/>
                <w:sz w:val="20"/>
                <w:szCs w:val="20"/>
              </w:rPr>
              <w:t>მაქსიმუმი</w:t>
            </w:r>
            <w:proofErr w:type="spellEnd"/>
          </w:p>
        </w:tc>
        <w:tc>
          <w:tcPr>
            <w:tcW w:w="971" w:type="dxa"/>
            <w:noWrap/>
            <w:hideMark/>
          </w:tcPr>
          <w:p w14:paraId="453D85D1" w14:textId="77777777" w:rsidR="008A4B1E" w:rsidRPr="00D14074" w:rsidRDefault="008A4B1E" w:rsidP="00646F3A">
            <w:pPr>
              <w:cnfStyle w:val="100000000000" w:firstRow="1" w:lastRow="0" w:firstColumn="0" w:lastColumn="0" w:oddVBand="0" w:evenVBand="0" w:oddHBand="0" w:evenHBand="0" w:firstRowFirstColumn="0" w:firstRowLastColumn="0" w:lastRowFirstColumn="0" w:lastRowLastColumn="0"/>
              <w:rPr>
                <w:rFonts w:ascii="Sylfaen" w:eastAsia="Times New Roman" w:hAnsi="Sylfaen" w:cs="Calibri"/>
                <w:color w:val="000000"/>
                <w:sz w:val="20"/>
                <w:szCs w:val="20"/>
              </w:rPr>
            </w:pPr>
            <w:proofErr w:type="spellStart"/>
            <w:r w:rsidRPr="00D14074">
              <w:rPr>
                <w:rFonts w:ascii="Sylfaen" w:eastAsia="Times New Roman" w:hAnsi="Sylfaen" w:cs="Calibri"/>
                <w:color w:val="000000"/>
                <w:sz w:val="20"/>
                <w:szCs w:val="20"/>
              </w:rPr>
              <w:t>მინიმუმი</w:t>
            </w:r>
            <w:proofErr w:type="spellEnd"/>
          </w:p>
        </w:tc>
      </w:tr>
      <w:tr w:rsidR="00844F2E" w:rsidRPr="00D14074" w14:paraId="6A976287" w14:textId="77777777" w:rsidTr="00D1407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245" w:type="dxa"/>
            <w:hideMark/>
          </w:tcPr>
          <w:p w14:paraId="0A8F4E78" w14:textId="77777777" w:rsidR="008A4B1E" w:rsidRPr="00D14074" w:rsidRDefault="008A4B1E" w:rsidP="00646F3A">
            <w:pPr>
              <w:rPr>
                <w:rFonts w:ascii="Sylfaen" w:eastAsia="Times New Roman" w:hAnsi="Sylfaen" w:cs="Calibri"/>
                <w:color w:val="000000"/>
                <w:sz w:val="20"/>
                <w:szCs w:val="20"/>
              </w:rPr>
            </w:pPr>
            <w:proofErr w:type="spellStart"/>
            <w:r w:rsidRPr="00D14074">
              <w:rPr>
                <w:rFonts w:ascii="Sylfaen" w:eastAsia="Times New Roman" w:hAnsi="Sylfaen" w:cs="Calibri"/>
                <w:color w:val="000000"/>
                <w:sz w:val="20"/>
                <w:szCs w:val="20"/>
              </w:rPr>
              <w:t>ნომინალური</w:t>
            </w:r>
            <w:proofErr w:type="spellEnd"/>
            <w:r w:rsidRPr="00D14074">
              <w:rPr>
                <w:rFonts w:ascii="Sylfaen" w:eastAsia="Times New Roman" w:hAnsi="Sylfaen" w:cs="Calibri"/>
                <w:color w:val="000000"/>
                <w:sz w:val="20"/>
                <w:szCs w:val="20"/>
              </w:rPr>
              <w:t xml:space="preserve"> RFR - </w:t>
            </w:r>
            <w:proofErr w:type="spellStart"/>
            <w:r w:rsidRPr="00D14074">
              <w:rPr>
                <w:rFonts w:ascii="Sylfaen" w:eastAsia="Times New Roman" w:hAnsi="Sylfaen" w:cs="Calibri"/>
                <w:color w:val="000000"/>
                <w:sz w:val="20"/>
                <w:szCs w:val="20"/>
              </w:rPr>
              <w:t>ფიქსირებული</w:t>
            </w:r>
            <w:proofErr w:type="spellEnd"/>
            <w:r w:rsidRPr="00D14074">
              <w:rPr>
                <w:rFonts w:ascii="Sylfaen" w:eastAsia="Times New Roman" w:hAnsi="Sylfaen" w:cs="Calibri"/>
                <w:color w:val="000000"/>
                <w:sz w:val="20"/>
                <w:szCs w:val="20"/>
              </w:rPr>
              <w:t xml:space="preserve"> </w:t>
            </w:r>
            <w:proofErr w:type="spellStart"/>
            <w:r w:rsidRPr="00D14074">
              <w:rPr>
                <w:rFonts w:ascii="Sylfaen" w:eastAsia="Times New Roman" w:hAnsi="Sylfaen" w:cs="Calibri"/>
                <w:color w:val="000000"/>
                <w:sz w:val="20"/>
                <w:szCs w:val="20"/>
              </w:rPr>
              <w:t>ბაზარი</w:t>
            </w:r>
            <w:proofErr w:type="spellEnd"/>
            <w:r w:rsidRPr="00D14074">
              <w:rPr>
                <w:rFonts w:ascii="Sylfaen" w:eastAsia="Times New Roman" w:hAnsi="Sylfaen" w:cs="Calibri"/>
                <w:color w:val="000000"/>
                <w:sz w:val="20"/>
                <w:szCs w:val="20"/>
              </w:rPr>
              <w:t xml:space="preserve">; 31 </w:t>
            </w:r>
            <w:proofErr w:type="spellStart"/>
            <w:r w:rsidRPr="00D14074">
              <w:rPr>
                <w:rFonts w:ascii="Sylfaen" w:eastAsia="Times New Roman" w:hAnsi="Sylfaen" w:cs="Calibri"/>
                <w:color w:val="000000"/>
                <w:sz w:val="20"/>
                <w:szCs w:val="20"/>
              </w:rPr>
              <w:t>ქვეყანა</w:t>
            </w:r>
            <w:proofErr w:type="spellEnd"/>
          </w:p>
        </w:tc>
        <w:tc>
          <w:tcPr>
            <w:tcW w:w="1196" w:type="dxa"/>
            <w:noWrap/>
            <w:hideMark/>
          </w:tcPr>
          <w:p w14:paraId="36C1F5A3" w14:textId="77777777" w:rsidR="008A4B1E" w:rsidRPr="00D14074" w:rsidRDefault="008A4B1E" w:rsidP="00646F3A">
            <w:pPr>
              <w:jc w:val="right"/>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sz w:val="20"/>
                <w:szCs w:val="20"/>
              </w:rPr>
            </w:pPr>
            <w:r w:rsidRPr="00D14074">
              <w:rPr>
                <w:rFonts w:ascii="Sylfaen" w:eastAsia="Times New Roman" w:hAnsi="Sylfaen" w:cs="Calibri"/>
                <w:color w:val="000000"/>
                <w:sz w:val="20"/>
                <w:szCs w:val="20"/>
              </w:rPr>
              <w:t>2.52%</w:t>
            </w:r>
          </w:p>
        </w:tc>
        <w:tc>
          <w:tcPr>
            <w:tcW w:w="1070" w:type="dxa"/>
            <w:noWrap/>
            <w:hideMark/>
          </w:tcPr>
          <w:p w14:paraId="49F92FDA" w14:textId="77777777" w:rsidR="008A4B1E" w:rsidRPr="00D14074" w:rsidRDefault="008A4B1E" w:rsidP="00646F3A">
            <w:pPr>
              <w:jc w:val="right"/>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sz w:val="20"/>
                <w:szCs w:val="20"/>
              </w:rPr>
            </w:pPr>
            <w:r w:rsidRPr="00D14074">
              <w:rPr>
                <w:rFonts w:ascii="Sylfaen" w:eastAsia="Times New Roman" w:hAnsi="Sylfaen" w:cs="Calibri"/>
                <w:color w:val="000000"/>
                <w:sz w:val="20"/>
                <w:szCs w:val="20"/>
              </w:rPr>
              <w:t>2.30%</w:t>
            </w:r>
          </w:p>
        </w:tc>
        <w:tc>
          <w:tcPr>
            <w:tcW w:w="1299" w:type="dxa"/>
            <w:noWrap/>
            <w:hideMark/>
          </w:tcPr>
          <w:p w14:paraId="77AD9C87" w14:textId="77777777" w:rsidR="008A4B1E" w:rsidRPr="00D14074" w:rsidRDefault="008A4B1E" w:rsidP="00646F3A">
            <w:pPr>
              <w:jc w:val="right"/>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sz w:val="20"/>
                <w:szCs w:val="20"/>
              </w:rPr>
            </w:pPr>
            <w:r w:rsidRPr="00D14074">
              <w:rPr>
                <w:rFonts w:ascii="Sylfaen" w:eastAsia="Times New Roman" w:hAnsi="Sylfaen" w:cs="Calibri"/>
                <w:color w:val="000000"/>
                <w:sz w:val="20"/>
                <w:szCs w:val="20"/>
              </w:rPr>
              <w:t>10.04%</w:t>
            </w:r>
          </w:p>
        </w:tc>
        <w:tc>
          <w:tcPr>
            <w:tcW w:w="971" w:type="dxa"/>
            <w:noWrap/>
            <w:hideMark/>
          </w:tcPr>
          <w:p w14:paraId="5A5ADB2E" w14:textId="77777777" w:rsidR="008A4B1E" w:rsidRPr="00D14074" w:rsidRDefault="008A4B1E" w:rsidP="00646F3A">
            <w:pPr>
              <w:jc w:val="right"/>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sz w:val="20"/>
                <w:szCs w:val="20"/>
              </w:rPr>
            </w:pPr>
            <w:r w:rsidRPr="00D14074">
              <w:rPr>
                <w:rFonts w:ascii="Sylfaen" w:eastAsia="Times New Roman" w:hAnsi="Sylfaen" w:cs="Calibri"/>
                <w:color w:val="000000"/>
                <w:sz w:val="20"/>
                <w:szCs w:val="20"/>
              </w:rPr>
              <w:t>0%</w:t>
            </w:r>
          </w:p>
        </w:tc>
      </w:tr>
      <w:tr w:rsidR="008A4B1E" w:rsidRPr="00D14074" w14:paraId="488F566A" w14:textId="77777777" w:rsidTr="00D14074">
        <w:trPr>
          <w:trHeight w:val="333"/>
        </w:trPr>
        <w:tc>
          <w:tcPr>
            <w:cnfStyle w:val="001000000000" w:firstRow="0" w:lastRow="0" w:firstColumn="1" w:lastColumn="0" w:oddVBand="0" w:evenVBand="0" w:oddHBand="0" w:evenHBand="0" w:firstRowFirstColumn="0" w:firstRowLastColumn="0" w:lastRowFirstColumn="0" w:lastRowLastColumn="0"/>
            <w:tcW w:w="5245" w:type="dxa"/>
            <w:hideMark/>
          </w:tcPr>
          <w:p w14:paraId="4CABC7AF" w14:textId="77777777" w:rsidR="008A4B1E" w:rsidRPr="00D14074" w:rsidRDefault="008A4B1E" w:rsidP="00646F3A">
            <w:pPr>
              <w:rPr>
                <w:rFonts w:ascii="Sylfaen" w:eastAsia="Times New Roman" w:hAnsi="Sylfaen" w:cs="Calibri"/>
                <w:color w:val="000000"/>
                <w:sz w:val="20"/>
                <w:szCs w:val="20"/>
              </w:rPr>
            </w:pPr>
            <w:proofErr w:type="spellStart"/>
            <w:r w:rsidRPr="00D14074">
              <w:rPr>
                <w:rFonts w:ascii="Sylfaen" w:eastAsia="Times New Roman" w:hAnsi="Sylfaen" w:cs="Calibri"/>
                <w:color w:val="000000"/>
                <w:sz w:val="20"/>
                <w:szCs w:val="20"/>
              </w:rPr>
              <w:t>ნომინალური</w:t>
            </w:r>
            <w:proofErr w:type="spellEnd"/>
            <w:r w:rsidRPr="00D14074">
              <w:rPr>
                <w:rFonts w:ascii="Sylfaen" w:eastAsia="Times New Roman" w:hAnsi="Sylfaen" w:cs="Calibri"/>
                <w:color w:val="000000"/>
                <w:sz w:val="20"/>
                <w:szCs w:val="20"/>
              </w:rPr>
              <w:t xml:space="preserve"> RFR - </w:t>
            </w:r>
            <w:proofErr w:type="spellStart"/>
            <w:r w:rsidRPr="00D14074">
              <w:rPr>
                <w:rFonts w:ascii="Sylfaen" w:eastAsia="Times New Roman" w:hAnsi="Sylfaen" w:cs="Calibri"/>
                <w:color w:val="000000"/>
                <w:sz w:val="20"/>
                <w:szCs w:val="20"/>
              </w:rPr>
              <w:t>მობილური</w:t>
            </w:r>
            <w:proofErr w:type="spellEnd"/>
            <w:r w:rsidRPr="00D14074">
              <w:rPr>
                <w:rFonts w:ascii="Sylfaen" w:eastAsia="Times New Roman" w:hAnsi="Sylfaen" w:cs="Calibri"/>
                <w:color w:val="000000"/>
                <w:sz w:val="20"/>
                <w:szCs w:val="20"/>
              </w:rPr>
              <w:t xml:space="preserve"> </w:t>
            </w:r>
            <w:proofErr w:type="spellStart"/>
            <w:r w:rsidRPr="00D14074">
              <w:rPr>
                <w:rFonts w:ascii="Sylfaen" w:eastAsia="Times New Roman" w:hAnsi="Sylfaen" w:cs="Calibri"/>
                <w:color w:val="000000"/>
                <w:sz w:val="20"/>
                <w:szCs w:val="20"/>
              </w:rPr>
              <w:t>ბაზარი</w:t>
            </w:r>
            <w:proofErr w:type="spellEnd"/>
            <w:r w:rsidRPr="00D14074">
              <w:rPr>
                <w:rFonts w:ascii="Sylfaen" w:eastAsia="Times New Roman" w:hAnsi="Sylfaen" w:cs="Calibri"/>
                <w:color w:val="000000"/>
                <w:sz w:val="20"/>
                <w:szCs w:val="20"/>
              </w:rPr>
              <w:t xml:space="preserve">; 25 </w:t>
            </w:r>
            <w:proofErr w:type="spellStart"/>
            <w:r w:rsidRPr="00D14074">
              <w:rPr>
                <w:rFonts w:ascii="Sylfaen" w:eastAsia="Times New Roman" w:hAnsi="Sylfaen" w:cs="Calibri"/>
                <w:color w:val="000000"/>
                <w:sz w:val="20"/>
                <w:szCs w:val="20"/>
              </w:rPr>
              <w:t>ქვეყანა</w:t>
            </w:r>
            <w:proofErr w:type="spellEnd"/>
          </w:p>
        </w:tc>
        <w:tc>
          <w:tcPr>
            <w:tcW w:w="1196" w:type="dxa"/>
            <w:noWrap/>
            <w:hideMark/>
          </w:tcPr>
          <w:p w14:paraId="75185AF7" w14:textId="77777777" w:rsidR="008A4B1E" w:rsidRPr="00D14074" w:rsidRDefault="008A4B1E" w:rsidP="00646F3A">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szCs w:val="20"/>
              </w:rPr>
            </w:pPr>
            <w:r w:rsidRPr="00D14074">
              <w:rPr>
                <w:rFonts w:ascii="Sylfaen" w:eastAsia="Times New Roman" w:hAnsi="Sylfaen" w:cs="Calibri"/>
                <w:color w:val="000000"/>
                <w:sz w:val="20"/>
                <w:szCs w:val="20"/>
              </w:rPr>
              <w:t>2.73%</w:t>
            </w:r>
          </w:p>
        </w:tc>
        <w:tc>
          <w:tcPr>
            <w:tcW w:w="1070" w:type="dxa"/>
            <w:noWrap/>
            <w:hideMark/>
          </w:tcPr>
          <w:p w14:paraId="4266A021" w14:textId="77777777" w:rsidR="008A4B1E" w:rsidRPr="00D14074" w:rsidRDefault="008A4B1E" w:rsidP="00646F3A">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szCs w:val="20"/>
              </w:rPr>
            </w:pPr>
            <w:r w:rsidRPr="00D14074">
              <w:rPr>
                <w:rFonts w:ascii="Sylfaen" w:eastAsia="Times New Roman" w:hAnsi="Sylfaen" w:cs="Calibri"/>
                <w:color w:val="000000"/>
                <w:sz w:val="20"/>
                <w:szCs w:val="20"/>
              </w:rPr>
              <w:t>2.38%</w:t>
            </w:r>
          </w:p>
        </w:tc>
        <w:tc>
          <w:tcPr>
            <w:tcW w:w="1299" w:type="dxa"/>
            <w:noWrap/>
            <w:hideMark/>
          </w:tcPr>
          <w:p w14:paraId="7619E920" w14:textId="77777777" w:rsidR="008A4B1E" w:rsidRPr="00D14074" w:rsidRDefault="008A4B1E" w:rsidP="00646F3A">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szCs w:val="20"/>
              </w:rPr>
            </w:pPr>
            <w:r w:rsidRPr="00D14074">
              <w:rPr>
                <w:rFonts w:ascii="Sylfaen" w:eastAsia="Times New Roman" w:hAnsi="Sylfaen" w:cs="Calibri"/>
                <w:color w:val="000000"/>
                <w:sz w:val="20"/>
                <w:szCs w:val="20"/>
              </w:rPr>
              <w:t>10.04%</w:t>
            </w:r>
          </w:p>
        </w:tc>
        <w:tc>
          <w:tcPr>
            <w:tcW w:w="971" w:type="dxa"/>
            <w:noWrap/>
            <w:hideMark/>
          </w:tcPr>
          <w:p w14:paraId="5B117A58" w14:textId="77777777" w:rsidR="008A4B1E" w:rsidRPr="00D14074" w:rsidRDefault="008A4B1E" w:rsidP="00646F3A">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szCs w:val="20"/>
              </w:rPr>
            </w:pPr>
            <w:r w:rsidRPr="00D14074">
              <w:rPr>
                <w:rFonts w:ascii="Sylfaen" w:eastAsia="Times New Roman" w:hAnsi="Sylfaen" w:cs="Calibri"/>
                <w:color w:val="000000"/>
                <w:sz w:val="20"/>
                <w:szCs w:val="20"/>
              </w:rPr>
              <w:t>0.82%</w:t>
            </w:r>
          </w:p>
        </w:tc>
      </w:tr>
    </w:tbl>
    <w:p w14:paraId="778CAB59" w14:textId="06E86BD8" w:rsidR="00D820E6" w:rsidRPr="00A57A6F" w:rsidRDefault="00523544" w:rsidP="00646F3A">
      <w:pPr>
        <w:ind w:left="284"/>
        <w:rPr>
          <w:rFonts w:ascii="Sylfaen" w:hAnsi="Sylfaen"/>
        </w:rPr>
      </w:pPr>
      <w:hyperlink r:id="rId14" w:history="1">
        <w:sdt>
          <w:sdtPr>
            <w:rPr>
              <w:rStyle w:val="Hyperlink"/>
              <w:rFonts w:ascii="Sylfaen" w:hAnsi="Sylfaen"/>
              <w:lang w:val="ka-GE"/>
            </w:rPr>
            <w:id w:val="-1507668136"/>
            <w:citation/>
          </w:sdtPr>
          <w:sdtEndPr>
            <w:rPr>
              <w:rStyle w:val="Hyperlink"/>
            </w:rPr>
          </w:sdtEndPr>
          <w:sdtContent>
            <w:r w:rsidR="00734E64" w:rsidRPr="00A57A6F">
              <w:rPr>
                <w:rStyle w:val="Hyperlink"/>
                <w:rFonts w:ascii="Sylfaen" w:hAnsi="Sylfaen"/>
                <w:lang w:val="ka-GE"/>
              </w:rPr>
              <w:fldChar w:fldCharType="begin"/>
            </w:r>
            <w:r w:rsidR="00734E64" w:rsidRPr="00A57A6F">
              <w:rPr>
                <w:rStyle w:val="Hyperlink"/>
                <w:rFonts w:ascii="Sylfaen" w:hAnsi="Sylfaen"/>
              </w:rPr>
              <w:instrText xml:space="preserve"> CITATION BER20 \l 1033 </w:instrText>
            </w:r>
            <w:r w:rsidR="00734E64" w:rsidRPr="00A57A6F">
              <w:rPr>
                <w:rStyle w:val="Hyperlink"/>
                <w:rFonts w:ascii="Sylfaen" w:hAnsi="Sylfaen"/>
                <w:lang w:val="ka-GE"/>
              </w:rPr>
              <w:fldChar w:fldCharType="separate"/>
            </w:r>
            <w:r w:rsidR="007C61AB" w:rsidRPr="00A57A6F">
              <w:rPr>
                <w:rStyle w:val="Hyperlink"/>
                <w:rFonts w:ascii="Sylfaen" w:hAnsi="Sylfaen"/>
                <w:noProof/>
              </w:rPr>
              <w:t xml:space="preserve"> </w:t>
            </w:r>
            <w:r w:rsidR="007C61AB" w:rsidRPr="00A57A6F">
              <w:rPr>
                <w:rFonts w:ascii="Sylfaen" w:hAnsi="Sylfaen"/>
                <w:noProof/>
                <w:color w:val="0563C1" w:themeColor="hyperlink"/>
              </w:rPr>
              <w:t>(BEREC, 2020)</w:t>
            </w:r>
            <w:r w:rsidR="00734E64" w:rsidRPr="00A57A6F">
              <w:rPr>
                <w:rStyle w:val="Hyperlink"/>
                <w:rFonts w:ascii="Sylfaen" w:hAnsi="Sylfaen"/>
                <w:lang w:val="ka-GE"/>
              </w:rPr>
              <w:fldChar w:fldCharType="end"/>
            </w:r>
          </w:sdtContent>
        </w:sdt>
      </w:hyperlink>
      <w:r w:rsidR="00734E64" w:rsidRPr="00A57A6F">
        <w:rPr>
          <w:rFonts w:ascii="Sylfaen" w:hAnsi="Sylfaen"/>
        </w:rPr>
        <w:t xml:space="preserve"> </w:t>
      </w:r>
    </w:p>
    <w:p w14:paraId="2975E9E5" w14:textId="078C7ABD" w:rsidR="00020C77" w:rsidRPr="00A57A6F" w:rsidRDefault="00FD1770" w:rsidP="00646F3A">
      <w:pPr>
        <w:pStyle w:val="Heading3"/>
        <w:rPr>
          <w:rFonts w:ascii="Sylfaen" w:hAnsi="Sylfaen"/>
          <w:i/>
          <w:iCs/>
          <w:sz w:val="22"/>
          <w:szCs w:val="22"/>
          <w:lang w:val="ka-GE"/>
        </w:rPr>
      </w:pPr>
      <w:bookmarkStart w:id="3" w:name="_Ref95249174"/>
      <w:r w:rsidRPr="00A57A6F">
        <w:rPr>
          <w:rFonts w:ascii="Sylfaen" w:hAnsi="Sylfaen"/>
          <w:i/>
          <w:iCs/>
          <w:sz w:val="22"/>
          <w:szCs w:val="22"/>
          <w:lang w:val="ka-GE"/>
        </w:rPr>
        <w:t>კაპიტალის რისკ</w:t>
      </w:r>
      <w:r w:rsidR="00E52898" w:rsidRPr="00A57A6F">
        <w:rPr>
          <w:rFonts w:ascii="Sylfaen" w:hAnsi="Sylfaen"/>
          <w:i/>
          <w:iCs/>
          <w:sz w:val="22"/>
          <w:szCs w:val="22"/>
          <w:lang w:val="ka-GE"/>
        </w:rPr>
        <w:t>ის</w:t>
      </w:r>
      <w:r w:rsidRPr="00A57A6F">
        <w:rPr>
          <w:rFonts w:ascii="Sylfaen" w:hAnsi="Sylfaen"/>
          <w:i/>
          <w:iCs/>
          <w:sz w:val="22"/>
          <w:szCs w:val="22"/>
          <w:lang w:val="ka-GE"/>
        </w:rPr>
        <w:t xml:space="preserve"> პრემიუმი (</w:t>
      </w:r>
      <w:r w:rsidR="00020C77" w:rsidRPr="00A57A6F">
        <w:rPr>
          <w:rFonts w:ascii="Sylfaen" w:hAnsi="Sylfaen"/>
          <w:i/>
          <w:iCs/>
          <w:sz w:val="22"/>
          <w:szCs w:val="22"/>
          <w:lang w:val="ka-GE"/>
        </w:rPr>
        <w:t>ERP</w:t>
      </w:r>
      <w:r w:rsidRPr="00A57A6F">
        <w:rPr>
          <w:rFonts w:ascii="Sylfaen" w:hAnsi="Sylfaen"/>
          <w:i/>
          <w:iCs/>
          <w:sz w:val="22"/>
          <w:szCs w:val="22"/>
          <w:lang w:val="ka-GE"/>
        </w:rPr>
        <w:t>)</w:t>
      </w:r>
      <w:bookmarkEnd w:id="3"/>
    </w:p>
    <w:p w14:paraId="2B9ACADD" w14:textId="730F490C" w:rsidR="00020C77" w:rsidRPr="00A57A6F" w:rsidRDefault="6A614480" w:rsidP="00646F3A">
      <w:pPr>
        <w:jc w:val="both"/>
        <w:rPr>
          <w:rFonts w:ascii="Sylfaen" w:hAnsi="Sylfaen"/>
          <w:lang w:val="ka-GE"/>
        </w:rPr>
      </w:pPr>
      <w:r w:rsidRPr="00F5432B">
        <w:rPr>
          <w:rFonts w:ascii="Sylfaen" w:hAnsi="Sylfaen"/>
          <w:lang w:val="ka-GE"/>
        </w:rPr>
        <w:t xml:space="preserve">კაპიტალის რისკის პრემიუმი (ERP) ურისკო განაკვეთზე დამატებული </w:t>
      </w:r>
      <w:proofErr w:type="spellStart"/>
      <w:r w:rsidRPr="00F5432B">
        <w:rPr>
          <w:rFonts w:ascii="Sylfaen" w:hAnsi="Sylfaen"/>
          <w:lang w:val="ka-GE"/>
        </w:rPr>
        <w:t>ამონაგებია</w:t>
      </w:r>
      <w:proofErr w:type="spellEnd"/>
      <w:r w:rsidRPr="00F5432B">
        <w:rPr>
          <w:rFonts w:ascii="Sylfaen" w:hAnsi="Sylfaen"/>
          <w:lang w:val="ka-GE"/>
        </w:rPr>
        <w:t xml:space="preserve">, რომლის სანაცვლოდაც ინვესტორი თანახმაა კაპიტალის ბაზარზე განახორციელოს ინვესტიცია. </w:t>
      </w:r>
      <w:r w:rsidRPr="00A57A6F">
        <w:rPr>
          <w:rFonts w:ascii="Sylfaen" w:hAnsi="Sylfaen"/>
          <w:lang w:val="ka-GE"/>
        </w:rPr>
        <w:t xml:space="preserve">ERP </w:t>
      </w:r>
      <w:r w:rsidRPr="00F5432B">
        <w:rPr>
          <w:rFonts w:ascii="Sylfaen" w:hAnsi="Sylfaen"/>
          <w:lang w:val="ka-GE"/>
        </w:rPr>
        <w:t>შესაფასებლად</w:t>
      </w:r>
      <w:r w:rsidRPr="00A57A6F">
        <w:rPr>
          <w:rFonts w:ascii="Sylfaen" w:hAnsi="Sylfaen"/>
          <w:lang w:val="ka-GE"/>
        </w:rPr>
        <w:t xml:space="preserve"> </w:t>
      </w:r>
      <w:r w:rsidRPr="00F5432B">
        <w:rPr>
          <w:rFonts w:ascii="Sylfaen" w:hAnsi="Sylfaen"/>
          <w:lang w:val="ka-GE"/>
        </w:rPr>
        <w:t xml:space="preserve">სხვადასხვა მიდგომები არსებობს. </w:t>
      </w:r>
      <w:r w:rsidR="00744D59" w:rsidRPr="00F5432B">
        <w:rPr>
          <w:rFonts w:ascii="Sylfaen" w:hAnsi="Sylfaen"/>
          <w:lang w:val="ka-GE"/>
        </w:rPr>
        <w:t xml:space="preserve">ექსპერტების </w:t>
      </w:r>
      <w:r w:rsidRPr="00F5432B">
        <w:rPr>
          <w:rFonts w:ascii="Sylfaen" w:hAnsi="Sylfaen"/>
          <w:lang w:val="ka-GE"/>
        </w:rPr>
        <w:t>ნაწილი ეყრდნობა ემპირიულ (ისტორიულ) მონაცემებს, ნაწილი კი მოსალოდნელი ამონაგების პროგნოზირებას ამჯობინებს სხვადასხვა მოდელის გამოყენებით (მაგალითად, დივიდენდების ზრდის მოდელი (</w:t>
      </w:r>
      <w:proofErr w:type="spellStart"/>
      <w:r w:rsidRPr="00A57A6F">
        <w:rPr>
          <w:rFonts w:ascii="Sylfaen" w:hAnsi="Sylfaen"/>
          <w:lang w:val="ka-GE"/>
        </w:rPr>
        <w:t>Dividend</w:t>
      </w:r>
      <w:proofErr w:type="spellEnd"/>
      <w:r w:rsidRPr="00A57A6F">
        <w:rPr>
          <w:rFonts w:ascii="Sylfaen" w:hAnsi="Sylfaen"/>
          <w:lang w:val="ka-GE"/>
        </w:rPr>
        <w:t xml:space="preserve"> </w:t>
      </w:r>
      <w:proofErr w:type="spellStart"/>
      <w:r w:rsidRPr="00A57A6F">
        <w:rPr>
          <w:rFonts w:ascii="Sylfaen" w:hAnsi="Sylfaen"/>
          <w:lang w:val="ka-GE"/>
        </w:rPr>
        <w:t>Growth</w:t>
      </w:r>
      <w:proofErr w:type="spellEnd"/>
      <w:r w:rsidRPr="00A57A6F">
        <w:rPr>
          <w:rFonts w:ascii="Sylfaen" w:hAnsi="Sylfaen"/>
          <w:lang w:val="ka-GE"/>
        </w:rPr>
        <w:t xml:space="preserve"> </w:t>
      </w:r>
      <w:proofErr w:type="spellStart"/>
      <w:r w:rsidRPr="00A57A6F">
        <w:rPr>
          <w:rFonts w:ascii="Sylfaen" w:hAnsi="Sylfaen"/>
          <w:lang w:val="ka-GE"/>
        </w:rPr>
        <w:t>Model</w:t>
      </w:r>
      <w:proofErr w:type="spellEnd"/>
      <w:r w:rsidRPr="00A57A6F">
        <w:rPr>
          <w:rFonts w:ascii="Sylfaen" w:hAnsi="Sylfaen"/>
          <w:lang w:val="ka-GE"/>
        </w:rPr>
        <w:t>)</w:t>
      </w:r>
      <w:r w:rsidR="003D05C1" w:rsidRPr="00A57A6F">
        <w:rPr>
          <w:rFonts w:ascii="Sylfaen" w:hAnsi="Sylfaen"/>
          <w:lang w:val="ka-GE"/>
        </w:rPr>
        <w:t xml:space="preserve"> </w:t>
      </w:r>
      <w:hyperlink r:id="rId15" w:history="1">
        <w:sdt>
          <w:sdtPr>
            <w:rPr>
              <w:rStyle w:val="Hyperlink"/>
              <w:rFonts w:ascii="Sylfaen" w:hAnsi="Sylfaen"/>
              <w:lang w:val="en-GB"/>
            </w:rPr>
            <w:id w:val="113022781"/>
            <w:citation/>
          </w:sdtPr>
          <w:sdtEndPr>
            <w:rPr>
              <w:rStyle w:val="Hyperlink"/>
            </w:rPr>
          </w:sdtEndPr>
          <w:sdtContent>
            <w:r w:rsidR="003D05C1" w:rsidRPr="003D05C1">
              <w:rPr>
                <w:rStyle w:val="Hyperlink"/>
                <w:rFonts w:ascii="Sylfaen" w:hAnsi="Sylfaen"/>
                <w:lang w:val="en-GB"/>
              </w:rPr>
              <w:fldChar w:fldCharType="begin"/>
            </w:r>
            <w:r w:rsidR="003D05C1" w:rsidRPr="00A57A6F">
              <w:rPr>
                <w:rStyle w:val="Hyperlink"/>
                <w:rFonts w:ascii="Sylfaen" w:hAnsi="Sylfaen"/>
                <w:lang w:val="ka-GE"/>
              </w:rPr>
              <w:instrText xml:space="preserve"> CITATION The16 \l 2057 </w:instrText>
            </w:r>
            <w:r w:rsidR="003D05C1" w:rsidRPr="003D05C1">
              <w:rPr>
                <w:rStyle w:val="Hyperlink"/>
                <w:rFonts w:ascii="Sylfaen" w:hAnsi="Sylfaen"/>
                <w:lang w:val="en-GB"/>
              </w:rPr>
              <w:fldChar w:fldCharType="separate"/>
            </w:r>
            <w:r w:rsidR="003D05C1" w:rsidRPr="00A57A6F">
              <w:rPr>
                <w:rStyle w:val="Hyperlink"/>
                <w:rFonts w:ascii="Sylfaen" w:hAnsi="Sylfaen"/>
                <w:noProof/>
                <w:lang w:val="ka-GE"/>
              </w:rPr>
              <w:t xml:space="preserve"> </w:t>
            </w:r>
            <w:r w:rsidR="003D05C1" w:rsidRPr="00A57A6F">
              <w:rPr>
                <w:rFonts w:ascii="Sylfaen" w:hAnsi="Sylfaen"/>
                <w:noProof/>
                <w:color w:val="0563C1" w:themeColor="hyperlink"/>
                <w:lang w:val="ka-GE"/>
              </w:rPr>
              <w:t>(The Brattle Group, 2016)</w:t>
            </w:r>
            <w:r w:rsidR="003D05C1" w:rsidRPr="003D05C1">
              <w:rPr>
                <w:rStyle w:val="Hyperlink"/>
                <w:rFonts w:ascii="Sylfaen" w:hAnsi="Sylfaen"/>
                <w:lang w:val="en-GB"/>
              </w:rPr>
              <w:fldChar w:fldCharType="end"/>
            </w:r>
          </w:sdtContent>
        </w:sdt>
      </w:hyperlink>
      <w:r w:rsidR="003D05C1" w:rsidRPr="00A57A6F">
        <w:rPr>
          <w:rFonts w:ascii="Sylfaen" w:hAnsi="Sylfaen"/>
          <w:lang w:val="ka-GE"/>
        </w:rPr>
        <w:t>.</w:t>
      </w:r>
      <w:r w:rsidRPr="00A57A6F">
        <w:rPr>
          <w:rFonts w:ascii="Sylfaen" w:hAnsi="Sylfaen"/>
          <w:lang w:val="ka-GE"/>
        </w:rPr>
        <w:t xml:space="preserve"> </w:t>
      </w:r>
      <w:r w:rsidR="007C61AB" w:rsidRPr="00A57A6F">
        <w:rPr>
          <w:lang w:val="ka-GE"/>
        </w:rPr>
        <w:t>BEREC</w:t>
      </w:r>
      <w:r w:rsidR="00020C77" w:rsidRPr="00A57A6F">
        <w:rPr>
          <w:rFonts w:ascii="Sylfaen" w:hAnsi="Sylfaen"/>
          <w:lang w:val="ka-GE"/>
        </w:rPr>
        <w:t>-</w:t>
      </w:r>
      <w:r w:rsidR="00020C77" w:rsidRPr="00F5432B">
        <w:rPr>
          <w:rFonts w:ascii="Sylfaen" w:hAnsi="Sylfaen"/>
          <w:lang w:val="ka-GE"/>
        </w:rPr>
        <w:t>ისა</w:t>
      </w:r>
      <w:r w:rsidR="00D820E6" w:rsidRPr="00A57A6F">
        <w:rPr>
          <w:rFonts w:ascii="Sylfaen" w:hAnsi="Sylfaen"/>
          <w:lang w:val="ka-GE"/>
        </w:rPr>
        <w:t xml:space="preserve"> </w:t>
      </w:r>
      <w:hyperlink r:id="rId16" w:history="1">
        <w:sdt>
          <w:sdtPr>
            <w:rPr>
              <w:rStyle w:val="Hyperlink"/>
              <w:rFonts w:ascii="Sylfaen" w:hAnsi="Sylfaen"/>
              <w:lang w:val="en-GB"/>
            </w:rPr>
            <w:id w:val="1848063657"/>
            <w:citation/>
          </w:sdtPr>
          <w:sdtEndPr>
            <w:rPr>
              <w:rStyle w:val="Hyperlink"/>
            </w:rPr>
          </w:sdtEndPr>
          <w:sdtContent>
            <w:r w:rsidR="00D820E6" w:rsidRPr="005E50DE">
              <w:rPr>
                <w:rStyle w:val="Hyperlink"/>
                <w:rFonts w:ascii="Sylfaen" w:hAnsi="Sylfaen"/>
                <w:lang w:val="en-GB"/>
              </w:rPr>
              <w:fldChar w:fldCharType="begin"/>
            </w:r>
            <w:r w:rsidR="00D820E6" w:rsidRPr="00A57A6F">
              <w:rPr>
                <w:rStyle w:val="Hyperlink"/>
                <w:rFonts w:ascii="Sylfaen" w:hAnsi="Sylfaen"/>
                <w:lang w:val="ka-GE"/>
              </w:rPr>
              <w:instrText xml:space="preserve"> CITATION BER19 \l 2057 </w:instrText>
            </w:r>
            <w:r w:rsidR="00D820E6" w:rsidRPr="005E50DE">
              <w:rPr>
                <w:rStyle w:val="Hyperlink"/>
                <w:rFonts w:ascii="Sylfaen" w:hAnsi="Sylfaen"/>
                <w:lang w:val="en-GB"/>
              </w:rPr>
              <w:fldChar w:fldCharType="separate"/>
            </w:r>
            <w:r w:rsidR="007C61AB" w:rsidRPr="00A57A6F">
              <w:rPr>
                <w:rStyle w:val="Hyperlink"/>
                <w:rFonts w:ascii="Sylfaen" w:hAnsi="Sylfaen"/>
                <w:noProof/>
                <w:lang w:val="ka-GE"/>
              </w:rPr>
              <w:t xml:space="preserve"> </w:t>
            </w:r>
            <w:r w:rsidR="007C61AB" w:rsidRPr="00A57A6F">
              <w:rPr>
                <w:rFonts w:ascii="Sylfaen" w:hAnsi="Sylfaen"/>
                <w:noProof/>
                <w:color w:val="0563C1" w:themeColor="hyperlink"/>
                <w:lang w:val="ka-GE"/>
              </w:rPr>
              <w:t>(BEREC, 2019)</w:t>
            </w:r>
            <w:r w:rsidR="00D820E6" w:rsidRPr="005E50DE">
              <w:rPr>
                <w:rStyle w:val="Hyperlink"/>
                <w:rFonts w:ascii="Sylfaen" w:hAnsi="Sylfaen"/>
                <w:lang w:val="en-GB"/>
              </w:rPr>
              <w:fldChar w:fldCharType="end"/>
            </w:r>
          </w:sdtContent>
        </w:sdt>
      </w:hyperlink>
      <w:r w:rsidR="00020C77" w:rsidRPr="00F5432B">
        <w:rPr>
          <w:rFonts w:ascii="Sylfaen" w:hAnsi="Sylfaen"/>
          <w:lang w:val="ka-GE"/>
        </w:rPr>
        <w:t xml:space="preserve"> და </w:t>
      </w:r>
      <w:proofErr w:type="spellStart"/>
      <w:r w:rsidR="007C61AB" w:rsidRPr="00A57A6F">
        <w:rPr>
          <w:rFonts w:ascii="Sylfaen" w:hAnsi="Sylfaen"/>
          <w:lang w:val="ka-GE"/>
        </w:rPr>
        <w:t>Br</w:t>
      </w:r>
      <w:r w:rsidR="007C61AB" w:rsidRPr="00A57A6F">
        <w:rPr>
          <w:lang w:val="ka-GE"/>
        </w:rPr>
        <w:t>a</w:t>
      </w:r>
      <w:r w:rsidR="007C61AB" w:rsidRPr="00A57A6F">
        <w:rPr>
          <w:rFonts w:ascii="Sylfaen" w:hAnsi="Sylfaen"/>
          <w:lang w:val="ka-GE"/>
        </w:rPr>
        <w:t>ttle</w:t>
      </w:r>
      <w:proofErr w:type="spellEnd"/>
      <w:r w:rsidR="00D820E6" w:rsidRPr="00A57A6F">
        <w:rPr>
          <w:rFonts w:ascii="Sylfaen" w:hAnsi="Sylfaen"/>
          <w:lang w:val="ka-GE"/>
        </w:rPr>
        <w:t xml:space="preserve"> </w:t>
      </w:r>
      <w:r w:rsidR="001A3022">
        <w:rPr>
          <w:rFonts w:ascii="Sylfaen" w:hAnsi="Sylfaen"/>
          <w:lang w:val="ka-GE"/>
        </w:rPr>
        <w:t>-ის</w:t>
      </w:r>
      <w:hyperlink r:id="rId17" w:history="1">
        <w:sdt>
          <w:sdtPr>
            <w:rPr>
              <w:rStyle w:val="Hyperlink"/>
              <w:rFonts w:ascii="Sylfaen" w:hAnsi="Sylfaen"/>
              <w:lang w:val="en-GB"/>
            </w:rPr>
            <w:id w:val="-811484712"/>
            <w:citation/>
          </w:sdtPr>
          <w:sdtEndPr>
            <w:rPr>
              <w:rStyle w:val="Hyperlink"/>
            </w:rPr>
          </w:sdtEndPr>
          <w:sdtContent>
            <w:r w:rsidR="00D820E6" w:rsidRPr="005E50DE">
              <w:rPr>
                <w:rStyle w:val="Hyperlink"/>
                <w:rFonts w:ascii="Sylfaen" w:hAnsi="Sylfaen"/>
                <w:lang w:val="en-GB"/>
              </w:rPr>
              <w:fldChar w:fldCharType="begin"/>
            </w:r>
            <w:r w:rsidR="00D820E6" w:rsidRPr="00A57A6F">
              <w:rPr>
                <w:rStyle w:val="Hyperlink"/>
                <w:rFonts w:ascii="Sylfaen" w:hAnsi="Sylfaen"/>
                <w:lang w:val="ka-GE"/>
              </w:rPr>
              <w:instrText xml:space="preserve"> CITATION The20 \l 2057 </w:instrText>
            </w:r>
            <w:r w:rsidR="00D820E6" w:rsidRPr="005E50DE">
              <w:rPr>
                <w:rStyle w:val="Hyperlink"/>
                <w:rFonts w:ascii="Sylfaen" w:hAnsi="Sylfaen"/>
                <w:lang w:val="en-GB"/>
              </w:rPr>
              <w:fldChar w:fldCharType="separate"/>
            </w:r>
            <w:r w:rsidR="007C61AB" w:rsidRPr="00A57A6F">
              <w:rPr>
                <w:rStyle w:val="Hyperlink"/>
                <w:rFonts w:ascii="Sylfaen" w:hAnsi="Sylfaen"/>
                <w:noProof/>
                <w:lang w:val="ka-GE"/>
              </w:rPr>
              <w:t xml:space="preserve"> </w:t>
            </w:r>
            <w:r w:rsidR="007C61AB" w:rsidRPr="00A57A6F">
              <w:rPr>
                <w:rFonts w:ascii="Sylfaen" w:hAnsi="Sylfaen"/>
                <w:noProof/>
                <w:color w:val="0563C1" w:themeColor="hyperlink"/>
                <w:lang w:val="ka-GE"/>
              </w:rPr>
              <w:t>(The Brattle Group, 2020)</w:t>
            </w:r>
            <w:r w:rsidR="00D820E6" w:rsidRPr="005E50DE">
              <w:rPr>
                <w:rStyle w:val="Hyperlink"/>
                <w:rFonts w:ascii="Sylfaen" w:hAnsi="Sylfaen"/>
                <w:lang w:val="en-GB"/>
              </w:rPr>
              <w:fldChar w:fldCharType="end"/>
            </w:r>
          </w:sdtContent>
        </w:sdt>
      </w:hyperlink>
      <w:r w:rsidR="00D820E6" w:rsidRPr="00A57A6F">
        <w:rPr>
          <w:rFonts w:ascii="Sylfaen" w:hAnsi="Sylfaen"/>
          <w:lang w:val="ka-GE"/>
        </w:rPr>
        <w:t xml:space="preserve"> </w:t>
      </w:r>
      <w:r w:rsidR="00020C77" w:rsidRPr="00F5432B">
        <w:rPr>
          <w:rFonts w:ascii="Sylfaen" w:hAnsi="Sylfaen"/>
          <w:lang w:val="ka-GE"/>
        </w:rPr>
        <w:t>რეპორ</w:t>
      </w:r>
      <w:r w:rsidRPr="00F5432B">
        <w:rPr>
          <w:rFonts w:ascii="Sylfaen" w:hAnsi="Sylfaen"/>
          <w:lang w:val="ka-GE"/>
        </w:rPr>
        <w:t xml:space="preserve">ტები გვთავაზობს ისტორიულ მონაცემებზე დაყრდნობით კაპიტალის ამონაგებსა და ბონდების შემოსავლიანობის განაკვეთს შორის სხვაობის გამოთვლას, რადგან ისტორიული მონაცემები უფრო მარტივად </w:t>
      </w:r>
      <w:proofErr w:type="spellStart"/>
      <w:r w:rsidRPr="00F5432B">
        <w:rPr>
          <w:rFonts w:ascii="Sylfaen" w:hAnsi="Sylfaen"/>
          <w:lang w:val="ka-GE"/>
        </w:rPr>
        <w:t>მოპოვებადია</w:t>
      </w:r>
      <w:proofErr w:type="spellEnd"/>
      <w:r w:rsidRPr="00F5432B">
        <w:rPr>
          <w:rFonts w:ascii="Sylfaen" w:hAnsi="Sylfaen"/>
          <w:lang w:val="ka-GE"/>
        </w:rPr>
        <w:t xml:space="preserve">, ეფუძნება ნაკლებ დაშვებებს და უფრო სტაბილურია. გამომდინარე იქიდან, რომ საქართველოს კაპიტალის ბაზარი არ არის საკმარისად განვითარებული, ნაკლებ ლიკვიდურია და ისტორიული მონაცემები პრაქტიკულად არ არსებობს, PWC ეყრდნობა </w:t>
      </w:r>
      <w:hyperlink r:id="rId18" w:history="1">
        <w:proofErr w:type="spellStart"/>
        <w:r w:rsidRPr="00FB617B">
          <w:rPr>
            <w:rStyle w:val="Hyperlink"/>
            <w:rFonts w:ascii="Sylfaen" w:hAnsi="Sylfaen"/>
            <w:lang w:val="ka-GE"/>
          </w:rPr>
          <w:t>Duff</w:t>
        </w:r>
        <w:proofErr w:type="spellEnd"/>
        <w:r w:rsidRPr="00FB617B">
          <w:rPr>
            <w:rStyle w:val="Hyperlink"/>
            <w:rFonts w:ascii="Sylfaen" w:hAnsi="Sylfaen"/>
            <w:lang w:val="ka-GE"/>
          </w:rPr>
          <w:t xml:space="preserve"> &amp; </w:t>
        </w:r>
        <w:proofErr w:type="spellStart"/>
        <w:r w:rsidRPr="00FB617B">
          <w:rPr>
            <w:rStyle w:val="Hyperlink"/>
            <w:rFonts w:ascii="Sylfaen" w:hAnsi="Sylfaen"/>
            <w:lang w:val="ka-GE"/>
          </w:rPr>
          <w:t>Phelps</w:t>
        </w:r>
        <w:proofErr w:type="spellEnd"/>
      </w:hyperlink>
      <w:r w:rsidRPr="00F5432B">
        <w:rPr>
          <w:rFonts w:ascii="Sylfaen" w:hAnsi="Sylfaen"/>
          <w:lang w:val="ka-GE"/>
        </w:rPr>
        <w:t xml:space="preserve"> - </w:t>
      </w:r>
      <w:proofErr w:type="spellStart"/>
      <w:r w:rsidRPr="00F5432B">
        <w:rPr>
          <w:rFonts w:ascii="Sylfaen" w:hAnsi="Sylfaen"/>
          <w:lang w:val="ka-GE"/>
        </w:rPr>
        <w:t>International</w:t>
      </w:r>
      <w:proofErr w:type="spellEnd"/>
      <w:r w:rsidRPr="00F5432B">
        <w:rPr>
          <w:rFonts w:ascii="Sylfaen" w:hAnsi="Sylfaen"/>
          <w:lang w:val="ka-GE"/>
        </w:rPr>
        <w:t xml:space="preserve"> </w:t>
      </w:r>
      <w:proofErr w:type="spellStart"/>
      <w:r w:rsidRPr="00F5432B">
        <w:rPr>
          <w:rFonts w:ascii="Sylfaen" w:hAnsi="Sylfaen"/>
          <w:lang w:val="ka-GE"/>
        </w:rPr>
        <w:t>Valuation</w:t>
      </w:r>
      <w:proofErr w:type="spellEnd"/>
      <w:r w:rsidRPr="00F5432B">
        <w:rPr>
          <w:rFonts w:ascii="Sylfaen" w:hAnsi="Sylfaen"/>
          <w:lang w:val="ka-GE"/>
        </w:rPr>
        <w:t xml:space="preserve"> </w:t>
      </w:r>
      <w:proofErr w:type="spellStart"/>
      <w:r w:rsidRPr="00F5432B">
        <w:rPr>
          <w:rFonts w:ascii="Sylfaen" w:hAnsi="Sylfaen"/>
          <w:lang w:val="ka-GE"/>
        </w:rPr>
        <w:t>Handbook</w:t>
      </w:r>
      <w:proofErr w:type="spellEnd"/>
      <w:r w:rsidRPr="00F5432B">
        <w:rPr>
          <w:rFonts w:ascii="Sylfaen" w:hAnsi="Sylfaen"/>
          <w:lang w:val="ka-GE"/>
        </w:rPr>
        <w:t xml:space="preserve"> (2020), რომლის მიხედვითაც ისტორიულ მონაცემებზე დაყრდნობით</w:t>
      </w:r>
      <w:r w:rsidR="003D1076" w:rsidRPr="00A57A6F">
        <w:rPr>
          <w:rFonts w:ascii="Sylfaen" w:hAnsi="Sylfaen"/>
          <w:lang w:val="ka-GE"/>
        </w:rPr>
        <w:t xml:space="preserve"> ERP </w:t>
      </w:r>
      <w:r w:rsidR="00841741">
        <w:rPr>
          <w:rFonts w:ascii="Sylfaen" w:hAnsi="Sylfaen"/>
          <w:lang w:val="ka-GE"/>
        </w:rPr>
        <w:t>ცენტრალური და აღმოსავლეთ ევროპის ქვეყნებისთ</w:t>
      </w:r>
      <w:r w:rsidR="00815E6C">
        <w:rPr>
          <w:rFonts w:ascii="Sylfaen" w:hAnsi="Sylfaen"/>
          <w:lang w:val="ka-GE"/>
        </w:rPr>
        <w:t>ვ</w:t>
      </w:r>
      <w:r w:rsidR="00841741">
        <w:rPr>
          <w:rFonts w:ascii="Sylfaen" w:hAnsi="Sylfaen"/>
          <w:lang w:val="ka-GE"/>
        </w:rPr>
        <w:t>ის (</w:t>
      </w:r>
      <w:r w:rsidR="00841741" w:rsidRPr="00775B88">
        <w:rPr>
          <w:rFonts w:ascii="Sylfaen" w:hAnsi="Sylfaen"/>
          <w:lang w:val="ka-GE"/>
        </w:rPr>
        <w:t xml:space="preserve">CEE) </w:t>
      </w:r>
      <w:r w:rsidR="003D1076" w:rsidRPr="00A57A6F">
        <w:rPr>
          <w:rFonts w:ascii="Sylfaen" w:hAnsi="Sylfaen"/>
          <w:lang w:val="ka-GE"/>
        </w:rPr>
        <w:t>არის 6%</w:t>
      </w:r>
      <w:r w:rsidR="00FD1770" w:rsidRPr="00A57A6F">
        <w:rPr>
          <w:rFonts w:ascii="Sylfaen" w:hAnsi="Sylfaen"/>
          <w:lang w:val="ka-GE"/>
        </w:rPr>
        <w:t>.</w:t>
      </w:r>
    </w:p>
    <w:p w14:paraId="47B197D5" w14:textId="77777777" w:rsidR="00EF4706" w:rsidRPr="00A57A6F" w:rsidRDefault="00EF4706" w:rsidP="00646F3A">
      <w:pPr>
        <w:jc w:val="both"/>
        <w:rPr>
          <w:rFonts w:ascii="Sylfaen" w:hAnsi="Sylfaen"/>
          <w:i/>
          <w:iCs/>
          <w:lang w:val="ka-GE"/>
        </w:rPr>
      </w:pPr>
    </w:p>
    <w:p w14:paraId="49E2112E" w14:textId="486CE55D" w:rsidR="001C31AA" w:rsidRPr="00A57A6F" w:rsidRDefault="00020C77" w:rsidP="00646F3A">
      <w:pPr>
        <w:pStyle w:val="Heading3"/>
        <w:rPr>
          <w:rFonts w:ascii="Sylfaen" w:hAnsi="Sylfaen"/>
          <w:sz w:val="22"/>
          <w:szCs w:val="22"/>
          <w:lang w:val="ka-GE"/>
        </w:rPr>
      </w:pPr>
      <w:r w:rsidRPr="00A57A6F">
        <w:rPr>
          <w:rFonts w:ascii="Sylfaen" w:hAnsi="Sylfaen"/>
          <w:sz w:val="22"/>
          <w:szCs w:val="22"/>
          <w:lang w:val="ka-GE"/>
        </w:rPr>
        <w:t>ბეტა</w:t>
      </w:r>
    </w:p>
    <w:p w14:paraId="40DD0368" w14:textId="36978D5F" w:rsidR="001A4348" w:rsidRPr="00831ED4" w:rsidRDefault="6A614480" w:rsidP="00646F3A">
      <w:pPr>
        <w:jc w:val="both"/>
        <w:rPr>
          <w:rFonts w:ascii="Sylfaen" w:hAnsi="Sylfaen"/>
          <w:lang w:val="ka-GE"/>
        </w:rPr>
      </w:pPr>
      <w:r w:rsidRPr="00EB3950">
        <w:rPr>
          <w:rFonts w:ascii="Sylfaen" w:hAnsi="Sylfaen"/>
          <w:lang w:val="ka-GE"/>
        </w:rPr>
        <w:t xml:space="preserve">სისტემური რისკი </w:t>
      </w:r>
      <w:r w:rsidR="009A4D83" w:rsidRPr="00EB3950">
        <w:rPr>
          <w:rFonts w:ascii="Sylfaen" w:hAnsi="Sylfaen"/>
          <w:lang w:val="ka-GE"/>
        </w:rPr>
        <w:t xml:space="preserve">- </w:t>
      </w:r>
      <w:r w:rsidRPr="00EB3950">
        <w:rPr>
          <w:rFonts w:ascii="Sylfaen" w:hAnsi="Sylfaen"/>
          <w:lang w:val="ka-GE"/>
        </w:rPr>
        <w:t>საბაზრო პირობებით (საპროცენტო განაკვეთი, ვალუტის გაცვლითი კურსი და სხვა) გამოწვეული რისკია, რომლის დივერსიფიცირებაც ვერ ხდება. სექტორული რისკის კოეფიციენტი (β)-ს კორექტირებასთან დაკავშირებით კაპიტალის საშუალო შეწონილი ღირებულების კალკულაციაში, კომისი</w:t>
      </w:r>
      <w:r w:rsidR="000C0B3B" w:rsidRPr="00EB3950">
        <w:rPr>
          <w:rFonts w:ascii="Sylfaen" w:hAnsi="Sylfaen"/>
          <w:lang w:val="ka-GE"/>
        </w:rPr>
        <w:t>ა</w:t>
      </w:r>
      <w:r w:rsidRPr="00EB3950">
        <w:rPr>
          <w:rFonts w:ascii="Sylfaen" w:hAnsi="Sylfaen"/>
          <w:lang w:val="ka-GE"/>
        </w:rPr>
        <w:t xml:space="preserve"> იზიარებს PWC-ს რეკომენდაციებს, რომლის მიხედვითაც კაპიტალის ღირებულებაში სისტემური რისკის უკეთ ასახვისთვის </w:t>
      </w:r>
      <w:r w:rsidR="00744D59" w:rsidRPr="00EB3950">
        <w:rPr>
          <w:rFonts w:ascii="Sylfaen" w:hAnsi="Sylfaen"/>
          <w:lang w:val="ka-GE"/>
        </w:rPr>
        <w:t>BEREC</w:t>
      </w:r>
      <w:r w:rsidRPr="00EB3950">
        <w:rPr>
          <w:rFonts w:ascii="Sylfaen" w:hAnsi="Sylfaen"/>
          <w:lang w:val="ka-GE"/>
        </w:rPr>
        <w:t xml:space="preserve">-ის სახელმძღვანელოს მიერ რეკომენდირებული 14 ევროპული </w:t>
      </w:r>
      <w:r w:rsidR="00DD6C0E" w:rsidRPr="00EB3950">
        <w:rPr>
          <w:rFonts w:ascii="Sylfaen" w:hAnsi="Sylfaen"/>
          <w:lang w:val="ka-GE"/>
        </w:rPr>
        <w:t xml:space="preserve">ანალოგიური </w:t>
      </w:r>
      <w:r w:rsidR="00744D59" w:rsidRPr="00EB3950">
        <w:rPr>
          <w:rFonts w:ascii="Sylfaen" w:hAnsi="Sylfaen"/>
          <w:lang w:val="ka-GE"/>
        </w:rPr>
        <w:t>(</w:t>
      </w:r>
      <w:proofErr w:type="spellStart"/>
      <w:r w:rsidR="00DD6C0E" w:rsidRPr="00EB3950">
        <w:rPr>
          <w:rFonts w:ascii="Sylfaen" w:hAnsi="Sylfaen"/>
          <w:lang w:val="ka-GE"/>
        </w:rPr>
        <w:t>ე.წ</w:t>
      </w:r>
      <w:proofErr w:type="spellEnd"/>
      <w:r w:rsidR="00DD6C0E" w:rsidRPr="00EB3950">
        <w:rPr>
          <w:rFonts w:ascii="Sylfaen" w:hAnsi="Sylfaen"/>
          <w:lang w:val="ka-GE"/>
        </w:rPr>
        <w:t xml:space="preserve">. </w:t>
      </w:r>
      <w:proofErr w:type="spellStart"/>
      <w:r w:rsidR="00744D59" w:rsidRPr="00EB3950">
        <w:rPr>
          <w:rFonts w:ascii="Sylfaen" w:hAnsi="Sylfaen"/>
          <w:lang w:val="ka-GE"/>
        </w:rPr>
        <w:t>Peer</w:t>
      </w:r>
      <w:proofErr w:type="spellEnd"/>
      <w:r w:rsidR="00744D59" w:rsidRPr="00EB3950">
        <w:rPr>
          <w:rFonts w:ascii="Sylfaen" w:hAnsi="Sylfaen"/>
          <w:lang w:val="ka-GE"/>
        </w:rPr>
        <w:t xml:space="preserve"> </w:t>
      </w:r>
      <w:proofErr w:type="spellStart"/>
      <w:r w:rsidR="00744D59" w:rsidRPr="00EB3950">
        <w:rPr>
          <w:rFonts w:ascii="Sylfaen" w:hAnsi="Sylfaen"/>
          <w:lang w:val="ka-GE"/>
        </w:rPr>
        <w:t>group</w:t>
      </w:r>
      <w:proofErr w:type="spellEnd"/>
      <w:r w:rsidR="00744D59" w:rsidRPr="00EB3950">
        <w:rPr>
          <w:rFonts w:ascii="Sylfaen" w:hAnsi="Sylfaen"/>
          <w:lang w:val="ka-GE"/>
        </w:rPr>
        <w:t>)</w:t>
      </w:r>
      <w:r w:rsidRPr="00EB3950">
        <w:rPr>
          <w:rFonts w:ascii="Sylfaen" w:hAnsi="Sylfaen"/>
          <w:lang w:val="ka-GE"/>
        </w:rPr>
        <w:t xml:space="preserve"> კომპანიის გარდა თურქული, ჩინური და რუსული კომპანიები დაემატა. </w:t>
      </w:r>
      <w:r w:rsidR="00432A95" w:rsidRPr="00EB3950">
        <w:rPr>
          <w:rFonts w:ascii="Sylfaen" w:hAnsi="Sylfaen"/>
          <w:lang w:val="ka-GE"/>
        </w:rPr>
        <w:t xml:space="preserve">ამასთან დაკავშირებით, </w:t>
      </w:r>
      <w:r w:rsidR="005134FD" w:rsidRPr="00EB3950">
        <w:rPr>
          <w:rFonts w:ascii="Sylfaen" w:hAnsi="Sylfaen"/>
          <w:lang w:val="ka-GE"/>
        </w:rPr>
        <w:t>ოპერატორები</w:t>
      </w:r>
      <w:r w:rsidR="00C30257" w:rsidRPr="00EB3950">
        <w:rPr>
          <w:rFonts w:ascii="Sylfaen" w:hAnsi="Sylfaen"/>
        </w:rPr>
        <w:t xml:space="preserve"> (</w:t>
      </w:r>
      <w:r w:rsidR="00C30257" w:rsidRPr="00EB3950">
        <w:rPr>
          <w:rFonts w:ascii="Sylfaen" w:hAnsi="Sylfaen"/>
          <w:lang w:val="ka-GE"/>
        </w:rPr>
        <w:t>სს „</w:t>
      </w:r>
      <w:proofErr w:type="spellStart"/>
      <w:r w:rsidR="00C30257" w:rsidRPr="00EB3950">
        <w:rPr>
          <w:rFonts w:ascii="Sylfaen" w:hAnsi="Sylfaen"/>
          <w:lang w:val="ka-GE"/>
        </w:rPr>
        <w:t>სილქნეტი</w:t>
      </w:r>
      <w:proofErr w:type="spellEnd"/>
      <w:r w:rsidR="00C30257" w:rsidRPr="00EB3950">
        <w:rPr>
          <w:rFonts w:ascii="Sylfaen" w:hAnsi="Sylfaen"/>
          <w:lang w:val="ka-GE"/>
        </w:rPr>
        <w:t>“)</w:t>
      </w:r>
      <w:r w:rsidR="00BC13FC" w:rsidRPr="00EB3950">
        <w:rPr>
          <w:rFonts w:ascii="Sylfaen" w:hAnsi="Sylfaen"/>
          <w:lang w:val="en-GB"/>
        </w:rPr>
        <w:t xml:space="preserve"> </w:t>
      </w:r>
      <w:r w:rsidR="00BC13FC" w:rsidRPr="00EB3950">
        <w:rPr>
          <w:rFonts w:ascii="Sylfaen" w:hAnsi="Sylfaen"/>
          <w:lang w:val="ka-GE"/>
        </w:rPr>
        <w:t>ზემოთ აღნიშნულ</w:t>
      </w:r>
      <w:r w:rsidR="00BC13FC" w:rsidRPr="00EB3950">
        <w:rPr>
          <w:rFonts w:ascii="Sylfaen" w:hAnsi="Sylfaen"/>
          <w:color w:val="FF0000"/>
          <w:lang w:val="ka-GE"/>
        </w:rPr>
        <w:t xml:space="preserve"> </w:t>
      </w:r>
      <w:r w:rsidR="00BC13FC" w:rsidRPr="00EB3950">
        <w:rPr>
          <w:rFonts w:ascii="Sylfaen" w:hAnsi="Sylfaen"/>
          <w:lang w:val="ka-GE"/>
        </w:rPr>
        <w:t>საჯარო გაცნობისთვის გამოქვეყნებულ</w:t>
      </w:r>
      <w:r w:rsidR="004C070C" w:rsidRPr="00EB3950">
        <w:rPr>
          <w:rFonts w:ascii="Sylfaen" w:hAnsi="Sylfaen"/>
        </w:rPr>
        <w:t>(</w:t>
      </w:r>
      <w:r w:rsidR="004C070C" w:rsidRPr="00EB3950">
        <w:rPr>
          <w:rFonts w:ascii="Sylfaen" w:hAnsi="Sylfaen"/>
          <w:lang w:val="ka-GE"/>
        </w:rPr>
        <w:t>2022 წლის 28 თებერვალს</w:t>
      </w:r>
      <w:r w:rsidR="004C070C" w:rsidRPr="00EB3950">
        <w:rPr>
          <w:rFonts w:ascii="Sylfaen" w:hAnsi="Sylfaen"/>
        </w:rPr>
        <w:t>)</w:t>
      </w:r>
      <w:r w:rsidR="00386431" w:rsidRPr="00EB3950">
        <w:rPr>
          <w:rFonts w:ascii="Sylfaen" w:hAnsi="Sylfaen"/>
          <w:lang w:val="ka-GE"/>
        </w:rPr>
        <w:t xml:space="preserve"> პროექტზე კომენტარებში</w:t>
      </w:r>
      <w:r w:rsidR="005134FD" w:rsidRPr="00EB3950">
        <w:rPr>
          <w:rFonts w:ascii="Sylfaen" w:hAnsi="Sylfaen"/>
          <w:lang w:val="ka-GE"/>
        </w:rPr>
        <w:t xml:space="preserve"> კვლავ გამოთქვამენ მოსაზრებას, რომ შერჩეული კომპანიების </w:t>
      </w:r>
      <w:r w:rsidR="00A83C72" w:rsidRPr="00EB3950">
        <w:rPr>
          <w:rFonts w:ascii="Sylfaen" w:hAnsi="Sylfaen"/>
          <w:lang w:val="ka-GE"/>
        </w:rPr>
        <w:t xml:space="preserve">ზომა </w:t>
      </w:r>
      <w:r w:rsidR="004C070C" w:rsidRPr="00EB3950">
        <w:rPr>
          <w:rFonts w:ascii="Sylfaen" w:hAnsi="Sylfaen"/>
          <w:lang w:val="ka-GE"/>
        </w:rPr>
        <w:t xml:space="preserve">საქართველოს სატელეკომუნიკაციო </w:t>
      </w:r>
      <w:r w:rsidR="00A83C72" w:rsidRPr="00EB3950">
        <w:rPr>
          <w:rFonts w:ascii="Sylfaen" w:hAnsi="Sylfaen"/>
          <w:lang w:val="ka-GE"/>
        </w:rPr>
        <w:t xml:space="preserve">ბაზარზე </w:t>
      </w:r>
      <w:proofErr w:type="spellStart"/>
      <w:r w:rsidR="00A83C72" w:rsidRPr="00EB3950">
        <w:rPr>
          <w:rFonts w:ascii="Sylfaen" w:hAnsi="Sylfaen"/>
          <w:lang w:val="ka-GE"/>
        </w:rPr>
        <w:t>ოპერირებად</w:t>
      </w:r>
      <w:r w:rsidR="004C070C" w:rsidRPr="00EB3950">
        <w:rPr>
          <w:rFonts w:ascii="Sylfaen" w:hAnsi="Sylfaen"/>
          <w:lang w:val="ka-GE"/>
        </w:rPr>
        <w:t>ი</w:t>
      </w:r>
      <w:proofErr w:type="spellEnd"/>
      <w:r w:rsidR="00A83C72" w:rsidRPr="00EB3950">
        <w:rPr>
          <w:rFonts w:ascii="Sylfaen" w:hAnsi="Sylfaen"/>
          <w:lang w:val="ka-GE"/>
        </w:rPr>
        <w:t xml:space="preserve"> კომპ</w:t>
      </w:r>
      <w:r w:rsidR="001821E2" w:rsidRPr="00EB3950">
        <w:rPr>
          <w:rFonts w:ascii="Sylfaen" w:hAnsi="Sylfaen"/>
          <w:lang w:val="ka-GE"/>
        </w:rPr>
        <w:t>ანიებ</w:t>
      </w:r>
      <w:r w:rsidR="00F71479" w:rsidRPr="00EB3950">
        <w:rPr>
          <w:rFonts w:ascii="Sylfaen" w:hAnsi="Sylfaen"/>
          <w:lang w:val="ka-GE"/>
        </w:rPr>
        <w:t xml:space="preserve">ის შესაბამისი არ არის </w:t>
      </w:r>
      <w:r w:rsidR="001821E2" w:rsidRPr="00EB3950">
        <w:rPr>
          <w:rFonts w:ascii="Sylfaen" w:hAnsi="Sylfaen"/>
          <w:lang w:val="ka-GE"/>
        </w:rPr>
        <w:t>და შემოთავაზებულია ალტერნატიული „ანალოგიური კომპანიების“ ჯგუფი,</w:t>
      </w:r>
      <w:r w:rsidR="00FD4A95" w:rsidRPr="00EB3950">
        <w:rPr>
          <w:rFonts w:ascii="Sylfaen" w:hAnsi="Sylfaen"/>
          <w:lang w:val="ka-GE"/>
        </w:rPr>
        <w:t xml:space="preserve"> </w:t>
      </w:r>
      <w:r w:rsidR="003C0E2F" w:rsidRPr="00EB3950">
        <w:rPr>
          <w:rFonts w:ascii="Sylfaen" w:hAnsi="Sylfaen"/>
          <w:lang w:val="ka-GE"/>
        </w:rPr>
        <w:t>რომელთა იდენტიფიცირება</w:t>
      </w:r>
      <w:r w:rsidR="00DB3CB0" w:rsidRPr="00EB3950">
        <w:rPr>
          <w:rFonts w:ascii="Sylfaen" w:hAnsi="Sylfaen"/>
          <w:lang w:val="ka-GE"/>
        </w:rPr>
        <w:t xml:space="preserve"> საბაზრო კაპიტალიზაციის შეფასებით</w:t>
      </w:r>
      <w:r w:rsidR="00BA0095" w:rsidRPr="00EB3950">
        <w:rPr>
          <w:rFonts w:ascii="Sylfaen" w:hAnsi="Sylfaen"/>
          <w:lang w:val="ka-GE"/>
        </w:rPr>
        <w:t xml:space="preserve"> განხორციელდა</w:t>
      </w:r>
      <w:r w:rsidR="00DB3CB0" w:rsidRPr="00EB3950">
        <w:rPr>
          <w:rFonts w:ascii="Sylfaen" w:hAnsi="Sylfaen"/>
          <w:lang w:val="ka-GE"/>
        </w:rPr>
        <w:t>.</w:t>
      </w:r>
      <w:r w:rsidR="00C14699" w:rsidRPr="00EB3950">
        <w:rPr>
          <w:rFonts w:ascii="Sylfaen" w:hAnsi="Sylfaen"/>
          <w:lang w:val="ka-GE"/>
        </w:rPr>
        <w:t xml:space="preserve"> </w:t>
      </w:r>
      <w:r w:rsidR="004C070C" w:rsidRPr="00EB3950">
        <w:rPr>
          <w:rFonts w:ascii="Sylfaen" w:hAnsi="Sylfaen"/>
          <w:lang w:val="ka-GE"/>
        </w:rPr>
        <w:t xml:space="preserve">აღნიშნულთან </w:t>
      </w:r>
      <w:r w:rsidR="00434A40" w:rsidRPr="00EB3950">
        <w:rPr>
          <w:rFonts w:ascii="Sylfaen" w:hAnsi="Sylfaen"/>
          <w:lang w:val="ka-GE"/>
        </w:rPr>
        <w:t>დაკავშ</w:t>
      </w:r>
      <w:r w:rsidR="00E86005" w:rsidRPr="00EB3950">
        <w:rPr>
          <w:rFonts w:ascii="Sylfaen" w:hAnsi="Sylfaen"/>
          <w:lang w:val="ka-GE"/>
        </w:rPr>
        <w:t>ი</w:t>
      </w:r>
      <w:r w:rsidR="00434A40" w:rsidRPr="00EB3950">
        <w:rPr>
          <w:rFonts w:ascii="Sylfaen" w:hAnsi="Sylfaen"/>
          <w:lang w:val="ka-GE"/>
        </w:rPr>
        <w:t xml:space="preserve">რებით </w:t>
      </w:r>
      <w:r w:rsidR="00C14699" w:rsidRPr="00EB3950">
        <w:rPr>
          <w:rFonts w:ascii="Sylfaen" w:hAnsi="Sylfaen"/>
          <w:lang w:val="ka-GE"/>
        </w:rPr>
        <w:t>კომისია</w:t>
      </w:r>
      <w:r w:rsidR="008A7F6F" w:rsidRPr="00EB3950">
        <w:rPr>
          <w:rFonts w:ascii="Sylfaen" w:hAnsi="Sylfaen"/>
          <w:lang w:val="ka-GE"/>
        </w:rPr>
        <w:t xml:space="preserve"> აღნიშნავს, რომ</w:t>
      </w:r>
      <w:r w:rsidR="00195304" w:rsidRPr="00EB3950">
        <w:rPr>
          <w:rFonts w:ascii="Sylfaen" w:hAnsi="Sylfaen"/>
          <w:lang w:val="en-GB"/>
        </w:rPr>
        <w:t xml:space="preserve"> </w:t>
      </w:r>
      <w:r w:rsidR="006B311D" w:rsidRPr="00EB3950">
        <w:rPr>
          <w:rFonts w:ascii="Sylfaen" w:hAnsi="Sylfaen"/>
          <w:lang w:val="ka-GE"/>
        </w:rPr>
        <w:t xml:space="preserve">მხოლოდ ზომის მიხედვით </w:t>
      </w:r>
      <w:r w:rsidR="00DB53AE" w:rsidRPr="00EB3950">
        <w:rPr>
          <w:rFonts w:ascii="Sylfaen" w:hAnsi="Sylfaen"/>
          <w:lang w:val="ka-GE"/>
        </w:rPr>
        <w:t>კომპანიების შერჩევა უგულებელყოფს ოპერატორის საბაზრო ძალაუფლებას</w:t>
      </w:r>
      <w:r w:rsidR="00EB3950" w:rsidRPr="00EB3950">
        <w:rPr>
          <w:rFonts w:ascii="Sylfaen" w:hAnsi="Sylfaen"/>
          <w:lang w:val="ka-GE"/>
        </w:rPr>
        <w:t>.</w:t>
      </w:r>
      <w:r w:rsidR="00922243" w:rsidRPr="00EB3950">
        <w:rPr>
          <w:rFonts w:ascii="Sylfaen" w:hAnsi="Sylfaen"/>
          <w:b/>
          <w:bCs/>
          <w:lang w:val="ka-GE"/>
        </w:rPr>
        <w:t xml:space="preserve"> </w:t>
      </w:r>
      <w:r w:rsidR="00297E37" w:rsidRPr="00EB3950">
        <w:rPr>
          <w:rFonts w:ascii="Sylfaen" w:hAnsi="Sylfaen"/>
          <w:lang w:val="ka-GE"/>
        </w:rPr>
        <w:t>აქვე უნდა აღინიშნოს, რომ</w:t>
      </w:r>
      <w:r w:rsidR="003A629B" w:rsidRPr="00EB3950">
        <w:rPr>
          <w:rFonts w:ascii="Sylfaen" w:hAnsi="Sylfaen"/>
          <w:lang w:val="ka-GE"/>
        </w:rPr>
        <w:t xml:space="preserve"> </w:t>
      </w:r>
      <w:r w:rsidR="00BE31E9" w:rsidRPr="00EB3950">
        <w:rPr>
          <w:rFonts w:ascii="Sylfaen" w:hAnsi="Sylfaen"/>
          <w:lang w:val="ka-GE"/>
        </w:rPr>
        <w:t>მცირე ზომის კომპანიების რისკ</w:t>
      </w:r>
      <w:r w:rsidR="00821B63" w:rsidRPr="00EB3950">
        <w:rPr>
          <w:rFonts w:ascii="Sylfaen" w:hAnsi="Sylfaen"/>
          <w:lang w:val="ka-GE"/>
        </w:rPr>
        <w:t xml:space="preserve">იანობის მაჩვენებლების </w:t>
      </w:r>
      <w:r w:rsidR="00371660" w:rsidRPr="00EB3950">
        <w:rPr>
          <w:rFonts w:ascii="Sylfaen" w:hAnsi="Sylfaen"/>
          <w:lang w:val="ka-GE"/>
        </w:rPr>
        <w:t>გამოყენება მნიშვნელოვანი საბაზრო ძალაუფლების მქონე კომპანიების რისკიანობის</w:t>
      </w:r>
      <w:r w:rsidR="00275E19" w:rsidRPr="00EB3950">
        <w:rPr>
          <w:rFonts w:ascii="Sylfaen" w:hAnsi="Sylfaen"/>
          <w:lang w:val="ka-GE"/>
        </w:rPr>
        <w:t xml:space="preserve"> </w:t>
      </w:r>
      <w:r w:rsidR="005A79CF" w:rsidRPr="00EB3950">
        <w:rPr>
          <w:rFonts w:ascii="Sylfaen" w:hAnsi="Sylfaen"/>
          <w:lang w:val="ka-GE"/>
        </w:rPr>
        <w:t xml:space="preserve">შესაფასებლად </w:t>
      </w:r>
      <w:r w:rsidR="00D31F39" w:rsidRPr="00EB3950">
        <w:rPr>
          <w:rFonts w:ascii="Sylfaen" w:hAnsi="Sylfaen"/>
          <w:lang w:val="ka-GE"/>
        </w:rPr>
        <w:t>არასწორ</w:t>
      </w:r>
      <w:r w:rsidR="00D31F39" w:rsidRPr="00EB3950">
        <w:rPr>
          <w:rFonts w:ascii="Sylfaen" w:hAnsi="Sylfaen"/>
          <w:lang w:val="ka-GE"/>
        </w:rPr>
        <w:t xml:space="preserve"> </w:t>
      </w:r>
      <w:r w:rsidR="00611EB6" w:rsidRPr="00EB3950">
        <w:rPr>
          <w:rFonts w:ascii="Sylfaen" w:hAnsi="Sylfaen"/>
          <w:lang w:val="ka-GE"/>
        </w:rPr>
        <w:t>შედეგში გადაიზრდება</w:t>
      </w:r>
      <w:r w:rsidR="00CF1C53" w:rsidRPr="00EB3950">
        <w:rPr>
          <w:rFonts w:ascii="Sylfaen" w:hAnsi="Sylfaen"/>
          <w:lang w:val="ka-GE"/>
        </w:rPr>
        <w:t>.</w:t>
      </w:r>
      <w:r w:rsidR="00966384" w:rsidRPr="00EB3950">
        <w:rPr>
          <w:rFonts w:ascii="Sylfaen" w:hAnsi="Sylfaen"/>
          <w:lang w:val="ka-GE"/>
        </w:rPr>
        <w:t xml:space="preserve"> </w:t>
      </w:r>
      <w:r w:rsidR="00795AD3" w:rsidRPr="00EB3950">
        <w:rPr>
          <w:rFonts w:ascii="Sylfaen" w:hAnsi="Sylfaen"/>
          <w:lang w:val="ka-GE"/>
        </w:rPr>
        <w:t>აქედან გამომდინარე,</w:t>
      </w:r>
      <w:r w:rsidR="00E857B7" w:rsidRPr="00EB3950">
        <w:rPr>
          <w:rFonts w:ascii="Sylfaen" w:hAnsi="Sylfaen"/>
          <w:lang w:val="ka-GE"/>
        </w:rPr>
        <w:t xml:space="preserve"> „ანალოგიურ</w:t>
      </w:r>
      <w:r w:rsidR="00450E35" w:rsidRPr="00EB3950">
        <w:rPr>
          <w:rFonts w:ascii="Sylfaen" w:hAnsi="Sylfaen"/>
          <w:lang w:val="ka-GE"/>
        </w:rPr>
        <w:t>ი</w:t>
      </w:r>
      <w:r w:rsidR="00E857B7" w:rsidRPr="00EB3950">
        <w:rPr>
          <w:rFonts w:ascii="Sylfaen" w:hAnsi="Sylfaen"/>
          <w:lang w:val="ka-GE"/>
        </w:rPr>
        <w:t xml:space="preserve"> კომპანიებ</w:t>
      </w:r>
      <w:r w:rsidR="00450E35" w:rsidRPr="00EB3950">
        <w:rPr>
          <w:rFonts w:ascii="Sylfaen" w:hAnsi="Sylfaen"/>
          <w:lang w:val="ka-GE"/>
        </w:rPr>
        <w:t xml:space="preserve">ის“ შეზღუდვა მხოლოდ </w:t>
      </w:r>
      <w:r w:rsidR="003F41DB" w:rsidRPr="00EB3950">
        <w:rPr>
          <w:rFonts w:ascii="Sylfaen" w:hAnsi="Sylfaen"/>
          <w:lang w:val="ka-GE"/>
        </w:rPr>
        <w:t>კომპანიის ზომის (</w:t>
      </w:r>
      <w:r w:rsidR="00450E35" w:rsidRPr="00EB3950">
        <w:rPr>
          <w:rFonts w:ascii="Sylfaen" w:hAnsi="Sylfaen"/>
          <w:lang w:val="ka-GE"/>
        </w:rPr>
        <w:t>საბაზრო კაპიტალიზაციის</w:t>
      </w:r>
      <w:r w:rsidR="003F41DB" w:rsidRPr="00EB3950">
        <w:rPr>
          <w:rFonts w:ascii="Sylfaen" w:hAnsi="Sylfaen"/>
          <w:lang w:val="ka-GE"/>
        </w:rPr>
        <w:t>)</w:t>
      </w:r>
      <w:r w:rsidR="00450E35" w:rsidRPr="00EB3950">
        <w:rPr>
          <w:rFonts w:ascii="Sylfaen" w:hAnsi="Sylfaen"/>
          <w:lang w:val="ka-GE"/>
        </w:rPr>
        <w:t xml:space="preserve"> მიხედვით </w:t>
      </w:r>
      <w:r w:rsidR="00DD3BAA" w:rsidRPr="00EB3950">
        <w:rPr>
          <w:rFonts w:ascii="Sylfaen" w:hAnsi="Sylfaen"/>
          <w:lang w:val="ka-GE"/>
        </w:rPr>
        <w:t xml:space="preserve">წინააღმდეგობაში მოდის </w:t>
      </w:r>
      <w:r w:rsidR="00103ABD" w:rsidRPr="00EB3950">
        <w:rPr>
          <w:rFonts w:ascii="Sylfaen" w:hAnsi="Sylfaen"/>
          <w:lang w:val="en-GB"/>
        </w:rPr>
        <w:t>WACC</w:t>
      </w:r>
      <w:r w:rsidR="00103ABD" w:rsidRPr="00EB3950">
        <w:rPr>
          <w:rFonts w:ascii="Sylfaen" w:hAnsi="Sylfaen"/>
        </w:rPr>
        <w:t xml:space="preserve"> </w:t>
      </w:r>
      <w:r w:rsidR="00103ABD" w:rsidRPr="00EB3950">
        <w:rPr>
          <w:rFonts w:ascii="Sylfaen" w:hAnsi="Sylfaen"/>
          <w:lang w:val="ka-GE"/>
        </w:rPr>
        <w:t xml:space="preserve">განსაზღვრის მიზნებთან. </w:t>
      </w:r>
      <w:r w:rsidR="00CF1C53" w:rsidRPr="00EB3950">
        <w:rPr>
          <w:rFonts w:ascii="Sylfaen" w:hAnsi="Sylfaen"/>
          <w:lang w:val="ka-GE"/>
        </w:rPr>
        <w:t>დამ</w:t>
      </w:r>
      <w:r w:rsidR="00906845" w:rsidRPr="00EB3950">
        <w:rPr>
          <w:rFonts w:ascii="Sylfaen" w:hAnsi="Sylfaen"/>
          <w:lang w:val="ka-GE"/>
        </w:rPr>
        <w:t>ა</w:t>
      </w:r>
      <w:r w:rsidR="00CF1C53" w:rsidRPr="00EB3950">
        <w:rPr>
          <w:rFonts w:ascii="Sylfaen" w:hAnsi="Sylfaen"/>
          <w:lang w:val="ka-GE"/>
        </w:rPr>
        <w:t>ტებით</w:t>
      </w:r>
      <w:r w:rsidR="00906845" w:rsidRPr="00EB3950">
        <w:rPr>
          <w:rFonts w:ascii="Sylfaen" w:hAnsi="Sylfaen"/>
          <w:lang w:val="ka-GE"/>
        </w:rPr>
        <w:t xml:space="preserve"> შეიძლება ითქვას, რომ </w:t>
      </w:r>
      <w:r w:rsidR="00831ED4" w:rsidRPr="00EB3950">
        <w:rPr>
          <w:rFonts w:ascii="Sylfaen" w:hAnsi="Sylfaen"/>
          <w:lang w:val="ka-GE"/>
        </w:rPr>
        <w:t>ოპერატორების მიერ შემოთავაზებული ანალოგიური კომპანიების</w:t>
      </w:r>
      <w:r w:rsidR="00E9459F" w:rsidRPr="00EB3950">
        <w:rPr>
          <w:rFonts w:ascii="Sylfaen" w:hAnsi="Sylfaen"/>
          <w:lang w:val="ka-GE"/>
        </w:rPr>
        <w:t xml:space="preserve"> ჯგუფის</w:t>
      </w:r>
      <w:r w:rsidR="00490186" w:rsidRPr="00EB3950">
        <w:rPr>
          <w:rFonts w:ascii="Sylfaen" w:hAnsi="Sylfaen"/>
          <w:lang w:val="ka-GE"/>
        </w:rPr>
        <w:t xml:space="preserve"> გამოყენებას</w:t>
      </w:r>
      <w:r w:rsidR="00831ED4" w:rsidRPr="00EB3950">
        <w:rPr>
          <w:rFonts w:ascii="Sylfaen" w:hAnsi="Sylfaen"/>
          <w:lang w:val="ka-GE"/>
        </w:rPr>
        <w:t xml:space="preserve">, </w:t>
      </w:r>
      <w:r w:rsidR="00831ED4" w:rsidRPr="00EB3950">
        <w:rPr>
          <w:rFonts w:ascii="Sylfaen" w:hAnsi="Sylfaen"/>
          <w:lang w:val="en-GB"/>
        </w:rPr>
        <w:t xml:space="preserve">WACC </w:t>
      </w:r>
      <w:r w:rsidR="00831ED4" w:rsidRPr="00EB3950">
        <w:rPr>
          <w:rFonts w:ascii="Sylfaen" w:hAnsi="Sylfaen"/>
          <w:lang w:val="ka-GE"/>
        </w:rPr>
        <w:t>კალკულაციის საბოლოო შედეგზე მნიშვნელოვანი გავლენა არ აქვს</w:t>
      </w:r>
      <w:r w:rsidR="001B407B" w:rsidRPr="00EB3950">
        <w:rPr>
          <w:rFonts w:ascii="Sylfaen" w:hAnsi="Sylfaen"/>
          <w:lang w:val="ka-GE"/>
        </w:rPr>
        <w:t xml:space="preserve"> და კომისია მიზანშეწონილად არ მიიჩ</w:t>
      </w:r>
      <w:r w:rsidR="00C26CE2" w:rsidRPr="00EB3950">
        <w:rPr>
          <w:rFonts w:ascii="Sylfaen" w:hAnsi="Sylfaen"/>
          <w:lang w:val="ka-GE"/>
        </w:rPr>
        <w:t xml:space="preserve">ნევს </w:t>
      </w:r>
      <w:r w:rsidR="00490186" w:rsidRPr="00EB3950">
        <w:rPr>
          <w:rFonts w:ascii="Sylfaen" w:hAnsi="Sylfaen"/>
          <w:lang w:val="ka-GE"/>
        </w:rPr>
        <w:t xml:space="preserve">გაითვალისწინოს </w:t>
      </w:r>
      <w:r w:rsidR="0067620D" w:rsidRPr="00EB3950">
        <w:rPr>
          <w:rFonts w:ascii="Sylfaen" w:hAnsi="Sylfaen"/>
          <w:lang w:val="ka-GE"/>
        </w:rPr>
        <w:t>ოპერატორების მიერ შემოთავაზებულ</w:t>
      </w:r>
      <w:r w:rsidR="00C26CE2" w:rsidRPr="00EB3950">
        <w:rPr>
          <w:rFonts w:ascii="Sylfaen" w:hAnsi="Sylfaen"/>
          <w:lang w:val="ka-GE"/>
        </w:rPr>
        <w:t xml:space="preserve"> კორექტირებას.</w:t>
      </w:r>
    </w:p>
    <w:p w14:paraId="1BB9E94D" w14:textId="53B79B39" w:rsidR="004B56C7" w:rsidRPr="00F5432B" w:rsidRDefault="00FB617B" w:rsidP="00646F3A">
      <w:pPr>
        <w:jc w:val="both"/>
        <w:rPr>
          <w:rFonts w:ascii="Sylfaen" w:hAnsi="Sylfaen"/>
          <w:lang w:val="ka-GE"/>
        </w:rPr>
      </w:pPr>
      <w:r w:rsidRPr="00AF7B02">
        <w:rPr>
          <w:rFonts w:ascii="Sylfaen" w:hAnsi="Sylfaen"/>
          <w:lang w:val="ka-GE"/>
        </w:rPr>
        <w:t xml:space="preserve">ოპერატორების მიერ, ასევე, </w:t>
      </w:r>
      <w:r w:rsidR="00306F26" w:rsidRPr="00AF7B02">
        <w:rPr>
          <w:rFonts w:ascii="Sylfaen" w:hAnsi="Sylfaen"/>
          <w:lang w:val="ka-GE"/>
        </w:rPr>
        <w:t>გამოითქვა მოსაზრება</w:t>
      </w:r>
      <w:r w:rsidRPr="00AF7B02">
        <w:rPr>
          <w:rFonts w:ascii="Sylfaen" w:hAnsi="Sylfaen"/>
          <w:lang w:val="ka-GE"/>
        </w:rPr>
        <w:t>, რომ კაპიტალის რისკის პრემიუმი</w:t>
      </w:r>
      <w:r w:rsidR="00306F26" w:rsidRPr="00AF7B02">
        <w:rPr>
          <w:rFonts w:ascii="Sylfaen" w:hAnsi="Sylfaen"/>
          <w:lang w:val="ka-GE"/>
        </w:rPr>
        <w:t>ს დათვლისას გათ</w:t>
      </w:r>
      <w:r w:rsidR="004E2A01" w:rsidRPr="00AF7B02">
        <w:rPr>
          <w:rFonts w:ascii="Sylfaen" w:hAnsi="Sylfaen"/>
          <w:lang w:val="ka-GE"/>
        </w:rPr>
        <w:t>ვა</w:t>
      </w:r>
      <w:r w:rsidR="00306F26" w:rsidRPr="00AF7B02">
        <w:rPr>
          <w:rFonts w:ascii="Sylfaen" w:hAnsi="Sylfaen"/>
          <w:lang w:val="ka-GE"/>
        </w:rPr>
        <w:t xml:space="preserve">ლისწინებულ იქნას </w:t>
      </w:r>
      <w:proofErr w:type="spellStart"/>
      <w:r w:rsidR="00306F26" w:rsidRPr="00AF7B02">
        <w:rPr>
          <w:rFonts w:ascii="Sylfaen" w:hAnsi="Sylfaen"/>
          <w:lang w:val="ka-GE"/>
        </w:rPr>
        <w:t>ე.წ</w:t>
      </w:r>
      <w:proofErr w:type="spellEnd"/>
      <w:r w:rsidR="00306F26" w:rsidRPr="00AF7B02">
        <w:rPr>
          <w:rFonts w:ascii="Sylfaen" w:hAnsi="Sylfaen"/>
          <w:lang w:val="ka-GE"/>
        </w:rPr>
        <w:t>. „</w:t>
      </w:r>
      <w:proofErr w:type="spellStart"/>
      <w:r w:rsidR="00306F26" w:rsidRPr="00AF7B02">
        <w:rPr>
          <w:rFonts w:ascii="Sylfaen" w:hAnsi="Sylfaen"/>
          <w:lang w:val="ka-GE"/>
        </w:rPr>
        <w:t>Size</w:t>
      </w:r>
      <w:proofErr w:type="spellEnd"/>
      <w:r w:rsidR="00306F26" w:rsidRPr="00AF7B02">
        <w:rPr>
          <w:rFonts w:ascii="Sylfaen" w:hAnsi="Sylfaen"/>
          <w:lang w:val="ka-GE"/>
        </w:rPr>
        <w:t xml:space="preserve"> </w:t>
      </w:r>
      <w:proofErr w:type="spellStart"/>
      <w:r w:rsidR="00306F26" w:rsidRPr="00AF7B02">
        <w:rPr>
          <w:rFonts w:ascii="Sylfaen" w:hAnsi="Sylfaen"/>
          <w:lang w:val="ka-GE"/>
        </w:rPr>
        <w:t>premium</w:t>
      </w:r>
      <w:proofErr w:type="spellEnd"/>
      <w:r w:rsidR="00306F26" w:rsidRPr="00AF7B02">
        <w:rPr>
          <w:rFonts w:ascii="Sylfaen" w:hAnsi="Sylfaen"/>
          <w:lang w:val="ka-GE"/>
        </w:rPr>
        <w:t>”.  აღსანიშნავია, რომ</w:t>
      </w:r>
      <w:r w:rsidR="00F07794" w:rsidRPr="00AF7B02">
        <w:rPr>
          <w:rFonts w:ascii="Sylfaen" w:hAnsi="Sylfaen"/>
          <w:lang w:val="ka-GE"/>
        </w:rPr>
        <w:t xml:space="preserve"> კაპიტალის ღირებულების </w:t>
      </w:r>
      <w:r w:rsidR="00F1036C" w:rsidRPr="00AF7B02">
        <w:rPr>
          <w:rFonts w:ascii="Sylfaen" w:hAnsi="Sylfaen"/>
          <w:lang w:val="ka-GE"/>
        </w:rPr>
        <w:t xml:space="preserve">გაანგარიშებაში </w:t>
      </w:r>
      <w:r w:rsidR="004F62F8" w:rsidRPr="00AF7B02">
        <w:rPr>
          <w:rFonts w:ascii="Sylfaen" w:hAnsi="Sylfaen"/>
          <w:lang w:val="ka-GE"/>
        </w:rPr>
        <w:t xml:space="preserve">დამატებითი რისკის ასახვის </w:t>
      </w:r>
      <w:r w:rsidR="00F07794" w:rsidRPr="00AF7B02">
        <w:rPr>
          <w:rFonts w:ascii="Sylfaen" w:hAnsi="Sylfaen"/>
          <w:lang w:val="ka-GE"/>
        </w:rPr>
        <w:t>ერთ-ერთი</w:t>
      </w:r>
      <w:r w:rsidR="004F62F8" w:rsidRPr="00AF7B02">
        <w:rPr>
          <w:rFonts w:ascii="Sylfaen" w:hAnsi="Sylfaen"/>
          <w:lang w:val="ka-GE"/>
        </w:rPr>
        <w:t xml:space="preserve"> მიდგომა</w:t>
      </w:r>
      <w:r w:rsidR="007E2DE5" w:rsidRPr="00AF7B02">
        <w:rPr>
          <w:rFonts w:ascii="Sylfaen" w:hAnsi="Sylfaen"/>
          <w:lang w:val="ka-GE"/>
        </w:rPr>
        <w:t xml:space="preserve"> (მა</w:t>
      </w:r>
      <w:r w:rsidR="00AC5F0C" w:rsidRPr="00AF7B02">
        <w:rPr>
          <w:rFonts w:ascii="Sylfaen" w:hAnsi="Sylfaen"/>
          <w:lang w:val="ka-GE"/>
        </w:rPr>
        <w:t>გ</w:t>
      </w:r>
      <w:r w:rsidR="007E2DE5" w:rsidRPr="00AF7B02">
        <w:rPr>
          <w:rFonts w:ascii="Sylfaen" w:hAnsi="Sylfaen"/>
          <w:lang w:val="ka-GE"/>
        </w:rPr>
        <w:t>ალითად</w:t>
      </w:r>
      <w:r w:rsidR="00E2590A" w:rsidRPr="004144CF">
        <w:rPr>
          <w:rFonts w:ascii="Sylfaen" w:hAnsi="Sylfaen"/>
          <w:lang w:val="ka-GE"/>
        </w:rPr>
        <w:t>,</w:t>
      </w:r>
      <w:r w:rsidR="00E2590A" w:rsidRPr="004144CF">
        <w:rPr>
          <w:noProof/>
          <w:lang w:val="ka-GE"/>
        </w:rPr>
        <w:t xml:space="preserve"> </w:t>
      </w:r>
      <w:hyperlink r:id="rId19" w:history="1">
        <w:r w:rsidR="00E2590A" w:rsidRPr="004144CF">
          <w:rPr>
            <w:rStyle w:val="Hyperlink"/>
            <w:noProof/>
            <w:lang w:val="ka-GE"/>
          </w:rPr>
          <w:t>Duff&amp;Phelps, 2021</w:t>
        </w:r>
      </w:hyperlink>
      <w:r w:rsidR="00E2590A" w:rsidRPr="004144CF">
        <w:rPr>
          <w:noProof/>
          <w:lang w:val="ka-GE"/>
        </w:rPr>
        <w:t>)</w:t>
      </w:r>
      <w:r w:rsidR="004F62F8" w:rsidRPr="00AF7B02">
        <w:rPr>
          <w:rFonts w:ascii="Sylfaen" w:hAnsi="Sylfaen"/>
          <w:lang w:val="ka-GE"/>
        </w:rPr>
        <w:t xml:space="preserve"> </w:t>
      </w:r>
      <w:r w:rsidR="00306F26" w:rsidRPr="00AF7B02">
        <w:rPr>
          <w:rFonts w:ascii="Sylfaen" w:hAnsi="Sylfaen"/>
          <w:lang w:val="ka-GE"/>
        </w:rPr>
        <w:t xml:space="preserve">ითვალისწინებს </w:t>
      </w:r>
      <w:r w:rsidR="004F62F8" w:rsidRPr="00AF7B02">
        <w:rPr>
          <w:rFonts w:ascii="Sylfaen" w:hAnsi="Sylfaen"/>
          <w:lang w:val="ka-GE"/>
        </w:rPr>
        <w:t>“</w:t>
      </w:r>
      <w:proofErr w:type="spellStart"/>
      <w:r w:rsidR="004F62F8" w:rsidRPr="00AF7B02">
        <w:rPr>
          <w:rFonts w:ascii="Sylfaen" w:hAnsi="Sylfaen"/>
          <w:lang w:val="ka-GE"/>
        </w:rPr>
        <w:t>Size</w:t>
      </w:r>
      <w:proofErr w:type="spellEnd"/>
      <w:r w:rsidR="004F62F8" w:rsidRPr="00AF7B02">
        <w:rPr>
          <w:rFonts w:ascii="Sylfaen" w:hAnsi="Sylfaen"/>
          <w:lang w:val="ka-GE"/>
        </w:rPr>
        <w:t xml:space="preserve"> </w:t>
      </w:r>
      <w:proofErr w:type="spellStart"/>
      <w:r w:rsidR="004F62F8" w:rsidRPr="00AF7B02">
        <w:rPr>
          <w:rFonts w:ascii="Sylfaen" w:hAnsi="Sylfaen"/>
          <w:lang w:val="ka-GE"/>
        </w:rPr>
        <w:t>premium</w:t>
      </w:r>
      <w:proofErr w:type="spellEnd"/>
      <w:r w:rsidR="004F62F8" w:rsidRPr="00AF7B02">
        <w:rPr>
          <w:rFonts w:ascii="Sylfaen" w:hAnsi="Sylfaen"/>
          <w:lang w:val="ka-GE"/>
        </w:rPr>
        <w:t xml:space="preserve">”-ის </w:t>
      </w:r>
      <w:r w:rsidR="001C31AA" w:rsidRPr="00AF7B02">
        <w:rPr>
          <w:rFonts w:ascii="Sylfaen" w:hAnsi="Sylfaen"/>
          <w:lang w:val="ka-GE"/>
        </w:rPr>
        <w:t>დამატებას</w:t>
      </w:r>
      <w:r w:rsidR="004E2A01" w:rsidRPr="00AF7B02">
        <w:rPr>
          <w:rFonts w:ascii="Sylfaen" w:hAnsi="Sylfaen"/>
          <w:lang w:val="ka-GE"/>
        </w:rPr>
        <w:t>. თუმცა</w:t>
      </w:r>
      <w:r w:rsidR="001C31AA" w:rsidRPr="00AF7B02">
        <w:rPr>
          <w:rFonts w:ascii="Sylfaen" w:hAnsi="Sylfaen"/>
          <w:lang w:val="ka-GE"/>
        </w:rPr>
        <w:t xml:space="preserve"> </w:t>
      </w:r>
      <w:r w:rsidR="004E2A01" w:rsidRPr="00AF7B02">
        <w:rPr>
          <w:rFonts w:ascii="Sylfaen" w:hAnsi="Sylfaen"/>
          <w:lang w:val="ka-GE"/>
        </w:rPr>
        <w:t xml:space="preserve">ეს მიდგომა </w:t>
      </w:r>
      <w:r w:rsidR="004F62F8" w:rsidRPr="00AF7B02">
        <w:rPr>
          <w:rFonts w:ascii="Sylfaen" w:hAnsi="Sylfaen"/>
          <w:lang w:val="ka-GE"/>
        </w:rPr>
        <w:t xml:space="preserve">არ არის რეკომენდირებული </w:t>
      </w:r>
      <w:r w:rsidR="00403668" w:rsidRPr="00AF7B02">
        <w:rPr>
          <w:rFonts w:ascii="Sylfaen" w:hAnsi="Sylfaen"/>
          <w:lang w:val="ka-GE"/>
        </w:rPr>
        <w:t xml:space="preserve">საკონსულტაციო კომპანია </w:t>
      </w:r>
      <w:r w:rsidR="004F62F8" w:rsidRPr="00AF7B02">
        <w:rPr>
          <w:rFonts w:ascii="Sylfaen" w:hAnsi="Sylfaen"/>
          <w:lang w:val="ka-GE"/>
        </w:rPr>
        <w:t>PWC-ს მიერ</w:t>
      </w:r>
      <w:r w:rsidR="005D00C2" w:rsidRPr="00AF7B02">
        <w:rPr>
          <w:rFonts w:ascii="Sylfaen" w:hAnsi="Sylfaen"/>
          <w:lang w:val="ka-GE"/>
        </w:rPr>
        <w:t xml:space="preserve"> (</w:t>
      </w:r>
      <w:r w:rsidR="005F4FFA" w:rsidRPr="00AF7B02">
        <w:rPr>
          <w:rFonts w:ascii="Sylfaen" w:hAnsi="Sylfaen"/>
          <w:lang w:val="ka-GE"/>
        </w:rPr>
        <w:t>რომელიც რიგ შემთხვევებში</w:t>
      </w:r>
      <w:r w:rsidR="005D00C2" w:rsidRPr="00AF7B02">
        <w:rPr>
          <w:rFonts w:ascii="Sylfaen" w:hAnsi="Sylfaen"/>
          <w:lang w:val="ka-GE"/>
        </w:rPr>
        <w:t xml:space="preserve">, </w:t>
      </w:r>
      <w:r w:rsidR="005F4FFA" w:rsidRPr="00AF7B02">
        <w:rPr>
          <w:rFonts w:ascii="Sylfaen" w:hAnsi="Sylfaen"/>
          <w:lang w:val="ka-GE"/>
        </w:rPr>
        <w:t>მაგალითად, საფოსტო და კომუნალური მომსახურებებისთვის არ გამორიცხავს აღნიშნული პრემიუმის გამოყენებას</w:t>
      </w:r>
      <w:r w:rsidR="005D00C2" w:rsidRPr="00AF7B02">
        <w:rPr>
          <w:rFonts w:ascii="Sylfaen" w:hAnsi="Sylfaen"/>
          <w:lang w:val="ka-GE"/>
        </w:rPr>
        <w:t>)</w:t>
      </w:r>
      <w:r w:rsidR="004F62F8" w:rsidRPr="00AF7B02">
        <w:rPr>
          <w:rFonts w:ascii="Sylfaen" w:hAnsi="Sylfaen"/>
          <w:lang w:val="ka-GE"/>
        </w:rPr>
        <w:t xml:space="preserve">. </w:t>
      </w:r>
      <w:r w:rsidR="00403668" w:rsidRPr="00AF7B02">
        <w:rPr>
          <w:rFonts w:ascii="Sylfaen" w:hAnsi="Sylfaen"/>
          <w:lang w:val="ka-GE"/>
        </w:rPr>
        <w:t xml:space="preserve">ამის საფუძველი კი არის საერთაშორისო გამოცდილება რომლის თანახმადაც, </w:t>
      </w:r>
      <w:r w:rsidR="004F62F8" w:rsidRPr="00AF7B02">
        <w:rPr>
          <w:rFonts w:ascii="Sylfaen" w:hAnsi="Sylfaen"/>
          <w:u w:val="single"/>
          <w:lang w:val="ka-GE"/>
        </w:rPr>
        <w:t>ყველა ის შემთხვევა, სადაც ეროვნული მარეგულირებლების მიერ განხორციელდა აღნიშნული პრემიუმის დამატება, ევროკომისიის კრიტიკის და გამოძიების საფუძველი გახდა</w:t>
      </w:r>
      <w:r w:rsidR="005F3231" w:rsidRPr="00AF7B02">
        <w:rPr>
          <w:rFonts w:ascii="Sylfaen" w:hAnsi="Sylfaen"/>
          <w:u w:val="single"/>
          <w:lang w:val="ka-GE"/>
        </w:rPr>
        <w:t xml:space="preserve"> </w:t>
      </w:r>
      <w:hyperlink r:id="rId20" w:history="1">
        <w:r w:rsidR="005F3231" w:rsidRPr="00AF7B02">
          <w:rPr>
            <w:rStyle w:val="Hyperlink"/>
            <w:rFonts w:ascii="Sylfaen" w:hAnsi="Sylfaen"/>
            <w:lang w:val="ka-GE"/>
          </w:rPr>
          <w:t>(სლოვაკეთის,</w:t>
        </w:r>
      </w:hyperlink>
      <w:r w:rsidR="005F3231" w:rsidRPr="00AF7B02">
        <w:rPr>
          <w:rFonts w:ascii="Sylfaen" w:hAnsi="Sylfaen"/>
          <w:u w:val="single"/>
          <w:lang w:val="ka-GE"/>
        </w:rPr>
        <w:t xml:space="preserve"> </w:t>
      </w:r>
      <w:hyperlink r:id="rId21" w:history="1">
        <w:r w:rsidR="005F3231" w:rsidRPr="00AF7B02">
          <w:rPr>
            <w:rStyle w:val="Hyperlink"/>
            <w:rFonts w:ascii="Sylfaen" w:hAnsi="Sylfaen"/>
            <w:lang w:val="ka-GE"/>
          </w:rPr>
          <w:t>უნგრეთი</w:t>
        </w:r>
      </w:hyperlink>
      <w:r w:rsidR="005F3231" w:rsidRPr="00AF7B02">
        <w:rPr>
          <w:rFonts w:ascii="Sylfaen" w:hAnsi="Sylfaen"/>
          <w:u w:val="single"/>
          <w:lang w:val="ka-GE"/>
        </w:rPr>
        <w:t>)</w:t>
      </w:r>
      <w:r w:rsidR="004F62F8" w:rsidRPr="00AF7B02">
        <w:rPr>
          <w:rFonts w:ascii="Sylfaen" w:hAnsi="Sylfaen"/>
          <w:u w:val="single"/>
          <w:lang w:val="ka-GE"/>
        </w:rPr>
        <w:t>.</w:t>
      </w:r>
      <w:r w:rsidR="004F62F8" w:rsidRPr="00AF7B02">
        <w:rPr>
          <w:rFonts w:ascii="Sylfaen" w:hAnsi="Sylfaen"/>
          <w:lang w:val="ka-GE"/>
        </w:rPr>
        <w:t xml:space="preserve"> აღნიშნული გადაწყვეტილებები ასევე გაზიარებულ იქნა ოპერატორებთან. </w:t>
      </w:r>
      <w:r w:rsidR="004F62F8" w:rsidRPr="00AF7B02">
        <w:rPr>
          <w:rFonts w:ascii="Sylfaen" w:hAnsi="Sylfaen"/>
          <w:b/>
          <w:bCs/>
          <w:lang w:val="ka-GE"/>
        </w:rPr>
        <w:t xml:space="preserve">ევროკომისიის განმარტებით </w:t>
      </w:r>
      <w:r w:rsidR="005E50DE" w:rsidRPr="00AF7B02">
        <w:rPr>
          <w:rFonts w:ascii="Sylfaen" w:hAnsi="Sylfaen"/>
          <w:lang w:val="ka-GE"/>
        </w:rPr>
        <w:t>“</w:t>
      </w:r>
      <w:proofErr w:type="spellStart"/>
      <w:r w:rsidR="005E50DE" w:rsidRPr="00AF7B02">
        <w:rPr>
          <w:rFonts w:ascii="Sylfaen" w:hAnsi="Sylfaen"/>
          <w:b/>
          <w:bCs/>
          <w:lang w:val="ka-GE"/>
        </w:rPr>
        <w:t>Size</w:t>
      </w:r>
      <w:proofErr w:type="spellEnd"/>
      <w:r w:rsidR="005E50DE" w:rsidRPr="00AF7B02">
        <w:rPr>
          <w:rFonts w:ascii="Sylfaen" w:hAnsi="Sylfaen"/>
          <w:b/>
          <w:bCs/>
          <w:lang w:val="ka-GE"/>
        </w:rPr>
        <w:t xml:space="preserve"> </w:t>
      </w:r>
      <w:proofErr w:type="spellStart"/>
      <w:r w:rsidR="005E50DE" w:rsidRPr="00AF7B02">
        <w:rPr>
          <w:rFonts w:ascii="Sylfaen" w:hAnsi="Sylfaen"/>
          <w:b/>
          <w:bCs/>
          <w:lang w:val="ka-GE"/>
        </w:rPr>
        <w:t>premium</w:t>
      </w:r>
      <w:proofErr w:type="spellEnd"/>
      <w:r w:rsidR="005E50DE" w:rsidRPr="00AF7B02">
        <w:rPr>
          <w:rFonts w:ascii="Sylfaen" w:hAnsi="Sylfaen"/>
          <w:b/>
          <w:bCs/>
          <w:lang w:val="ka-GE"/>
        </w:rPr>
        <w:t xml:space="preserve">”-ის დამატება </w:t>
      </w:r>
      <w:r w:rsidR="004F62F8" w:rsidRPr="00AF7B02">
        <w:rPr>
          <w:rFonts w:ascii="Sylfaen" w:hAnsi="Sylfaen"/>
          <w:b/>
          <w:bCs/>
          <w:lang w:val="ka-GE"/>
        </w:rPr>
        <w:t>იწვევს</w:t>
      </w:r>
      <w:r w:rsidR="004F62F8" w:rsidRPr="00AF7B02">
        <w:rPr>
          <w:rFonts w:ascii="Sylfaen" w:hAnsi="Sylfaen"/>
          <w:lang w:val="ka-GE"/>
        </w:rPr>
        <w:t xml:space="preserve"> </w:t>
      </w:r>
      <w:r w:rsidR="004F62F8" w:rsidRPr="00AF7B02">
        <w:rPr>
          <w:rFonts w:ascii="Sylfaen" w:hAnsi="Sylfaen"/>
          <w:b/>
          <w:bCs/>
          <w:lang w:val="ka-GE"/>
        </w:rPr>
        <w:t>კაპიტალის ღირებულების გადაჭარბებულ შეფასებას და კომპონენტები, რომლ</w:t>
      </w:r>
      <w:r w:rsidR="00F1036C" w:rsidRPr="00AF7B02">
        <w:rPr>
          <w:rFonts w:ascii="Sylfaen" w:hAnsi="Sylfaen"/>
          <w:b/>
          <w:bCs/>
          <w:lang w:val="ka-GE"/>
        </w:rPr>
        <w:t>ებ</w:t>
      </w:r>
      <w:r w:rsidR="004F62F8" w:rsidRPr="00AF7B02">
        <w:rPr>
          <w:rFonts w:ascii="Sylfaen" w:hAnsi="Sylfaen"/>
          <w:b/>
          <w:bCs/>
          <w:lang w:val="ka-GE"/>
        </w:rPr>
        <w:t>იც რეკომენდირებულია კაპიტალის საშუალო შეწონილი ღირებულების გაანგარიშებაში, თავის მხრივ ყველა შესაძლო რისკს მოიცავს</w:t>
      </w:r>
      <w:r w:rsidR="004B56C7" w:rsidRPr="00AF7B02">
        <w:rPr>
          <w:rFonts w:ascii="Sylfaen" w:hAnsi="Sylfaen"/>
          <w:b/>
          <w:bCs/>
          <w:lang w:val="ka-GE"/>
        </w:rPr>
        <w:t>.</w:t>
      </w:r>
      <w:r w:rsidR="004B56C7" w:rsidRPr="00AF7B02">
        <w:rPr>
          <w:rFonts w:ascii="Sylfaen" w:hAnsi="Sylfaen"/>
          <w:lang w:val="ka-GE"/>
        </w:rPr>
        <w:t xml:space="preserve"> ამ საკითხთან დაკავშირებით იგივე მიდგომა აქვს </w:t>
      </w:r>
      <w:r w:rsidR="00E328CD" w:rsidRPr="00AF7B02">
        <w:rPr>
          <w:rFonts w:ascii="Sylfaen" w:hAnsi="Sylfaen"/>
          <w:lang w:val="ka-GE"/>
        </w:rPr>
        <w:t>BEREC</w:t>
      </w:r>
      <w:r w:rsidR="004B56C7" w:rsidRPr="00AF7B02">
        <w:rPr>
          <w:rFonts w:ascii="Sylfaen" w:hAnsi="Sylfaen"/>
          <w:lang w:val="ka-GE"/>
        </w:rPr>
        <w:t>-ს</w:t>
      </w:r>
      <w:r w:rsidR="006570D1" w:rsidRPr="00AF7B02">
        <w:rPr>
          <w:rFonts w:ascii="Sylfaen" w:hAnsi="Sylfaen"/>
          <w:lang w:val="ka-GE"/>
        </w:rPr>
        <w:t xml:space="preserve"> </w:t>
      </w:r>
      <w:hyperlink r:id="rId22" w:history="1">
        <w:sdt>
          <w:sdtPr>
            <w:rPr>
              <w:rStyle w:val="Hyperlink"/>
              <w:rFonts w:ascii="Sylfaen" w:hAnsi="Sylfaen"/>
              <w:lang w:val="en-GB"/>
            </w:rPr>
            <w:id w:val="-1787573406"/>
            <w:citation/>
          </w:sdtPr>
          <w:sdtEndPr>
            <w:rPr>
              <w:rStyle w:val="Hyperlink"/>
            </w:rPr>
          </w:sdtEndPr>
          <w:sdtContent>
            <w:r w:rsidR="006570D1" w:rsidRPr="00AF7B02">
              <w:rPr>
                <w:rStyle w:val="Hyperlink"/>
                <w:rFonts w:ascii="Sylfaen" w:hAnsi="Sylfaen"/>
                <w:lang w:val="en-GB"/>
              </w:rPr>
              <w:fldChar w:fldCharType="begin"/>
            </w:r>
            <w:r w:rsidR="006570D1" w:rsidRPr="00AF7B02">
              <w:rPr>
                <w:rStyle w:val="Hyperlink"/>
                <w:rFonts w:ascii="Sylfaen" w:hAnsi="Sylfaen"/>
                <w:lang w:val="ka-GE"/>
              </w:rPr>
              <w:instrText xml:space="preserve"> CITATION BER19 \l 2057 </w:instrText>
            </w:r>
            <w:r w:rsidR="006570D1" w:rsidRPr="00AF7B02">
              <w:rPr>
                <w:rStyle w:val="Hyperlink"/>
                <w:rFonts w:ascii="Sylfaen" w:hAnsi="Sylfaen"/>
                <w:lang w:val="en-GB"/>
              </w:rPr>
              <w:fldChar w:fldCharType="separate"/>
            </w:r>
            <w:r w:rsidR="00E328CD" w:rsidRPr="00AF7B02">
              <w:rPr>
                <w:rStyle w:val="Hyperlink"/>
                <w:rFonts w:ascii="Sylfaen" w:hAnsi="Sylfaen"/>
                <w:noProof/>
                <w:lang w:val="ka-GE"/>
              </w:rPr>
              <w:t xml:space="preserve"> </w:t>
            </w:r>
            <w:r w:rsidR="00E328CD" w:rsidRPr="00AF7B02">
              <w:rPr>
                <w:rFonts w:ascii="Sylfaen" w:hAnsi="Sylfaen"/>
                <w:noProof/>
                <w:color w:val="0563C1" w:themeColor="hyperlink"/>
                <w:lang w:val="ka-GE"/>
              </w:rPr>
              <w:t>(BEREC, 2019)</w:t>
            </w:r>
            <w:r w:rsidR="006570D1" w:rsidRPr="00AF7B02">
              <w:rPr>
                <w:rStyle w:val="Hyperlink"/>
                <w:rFonts w:ascii="Sylfaen" w:hAnsi="Sylfaen"/>
                <w:lang w:val="en-GB"/>
              </w:rPr>
              <w:fldChar w:fldCharType="end"/>
            </w:r>
          </w:sdtContent>
        </w:sdt>
      </w:hyperlink>
      <w:r w:rsidR="006570D1" w:rsidRPr="00AF7B02">
        <w:rPr>
          <w:rFonts w:ascii="Sylfaen" w:hAnsi="Sylfaen"/>
          <w:lang w:val="ka-GE"/>
        </w:rPr>
        <w:t xml:space="preserve">, </w:t>
      </w:r>
      <w:hyperlink r:id="rId23" w:history="1">
        <w:sdt>
          <w:sdtPr>
            <w:rPr>
              <w:rStyle w:val="Hyperlink"/>
              <w:rFonts w:ascii="Sylfaen" w:hAnsi="Sylfaen"/>
              <w:lang w:val="en-GB"/>
            </w:rPr>
            <w:id w:val="-1559156827"/>
            <w:citation/>
          </w:sdtPr>
          <w:sdtEndPr>
            <w:rPr>
              <w:rStyle w:val="Hyperlink"/>
            </w:rPr>
          </w:sdtEndPr>
          <w:sdtContent>
            <w:r w:rsidR="006570D1" w:rsidRPr="00AF7B02">
              <w:rPr>
                <w:rStyle w:val="Hyperlink"/>
                <w:rFonts w:ascii="Sylfaen" w:hAnsi="Sylfaen"/>
                <w:lang w:val="en-GB"/>
              </w:rPr>
              <w:fldChar w:fldCharType="begin"/>
            </w:r>
            <w:r w:rsidR="006570D1" w:rsidRPr="00AF7B02">
              <w:rPr>
                <w:rStyle w:val="Hyperlink"/>
                <w:rFonts w:ascii="Sylfaen" w:hAnsi="Sylfaen"/>
                <w:lang w:val="ka-GE"/>
              </w:rPr>
              <w:instrText xml:space="preserve"> CITATION BER20 \l 2057 </w:instrText>
            </w:r>
            <w:r w:rsidR="006570D1" w:rsidRPr="00AF7B02">
              <w:rPr>
                <w:rStyle w:val="Hyperlink"/>
                <w:rFonts w:ascii="Sylfaen" w:hAnsi="Sylfaen"/>
                <w:lang w:val="en-GB"/>
              </w:rPr>
              <w:fldChar w:fldCharType="separate"/>
            </w:r>
            <w:r w:rsidR="00E328CD" w:rsidRPr="00AF7B02">
              <w:rPr>
                <w:rStyle w:val="Hyperlink"/>
                <w:rFonts w:ascii="Sylfaen" w:hAnsi="Sylfaen"/>
                <w:noProof/>
                <w:lang w:val="ka-GE"/>
              </w:rPr>
              <w:t xml:space="preserve"> </w:t>
            </w:r>
            <w:r w:rsidR="00E328CD" w:rsidRPr="00AF7B02">
              <w:rPr>
                <w:rFonts w:ascii="Sylfaen" w:hAnsi="Sylfaen"/>
                <w:noProof/>
                <w:color w:val="0563C1" w:themeColor="hyperlink"/>
                <w:lang w:val="ka-GE"/>
              </w:rPr>
              <w:t>(BEREC, 2020)</w:t>
            </w:r>
            <w:r w:rsidR="006570D1" w:rsidRPr="00AF7B02">
              <w:rPr>
                <w:rStyle w:val="Hyperlink"/>
                <w:rFonts w:ascii="Sylfaen" w:hAnsi="Sylfaen"/>
                <w:lang w:val="en-GB"/>
              </w:rPr>
              <w:fldChar w:fldCharType="end"/>
            </w:r>
          </w:sdtContent>
        </w:sdt>
      </w:hyperlink>
      <w:r w:rsidR="004B56C7" w:rsidRPr="00AF7B02">
        <w:rPr>
          <w:rFonts w:ascii="Sylfaen" w:hAnsi="Sylfaen"/>
          <w:lang w:val="ka-GE"/>
        </w:rPr>
        <w:t xml:space="preserve"> და აღნიშნავს, რომ WACC-ს ტრადიციული მეთოდით დათვლა ითვალისწინებს ყველა </w:t>
      </w:r>
      <w:r w:rsidR="001D5737" w:rsidRPr="00AF7B02">
        <w:rPr>
          <w:rFonts w:ascii="Sylfaen" w:hAnsi="Sylfaen"/>
          <w:lang w:val="ka-GE"/>
        </w:rPr>
        <w:t>სისტემურ</w:t>
      </w:r>
      <w:r w:rsidR="004B56C7" w:rsidRPr="00AF7B02">
        <w:rPr>
          <w:rFonts w:ascii="Sylfaen" w:hAnsi="Sylfaen"/>
          <w:lang w:val="ka-GE"/>
        </w:rPr>
        <w:t xml:space="preserve"> რისკს</w:t>
      </w:r>
      <w:r w:rsidR="001844B3" w:rsidRPr="00AF7B02">
        <w:rPr>
          <w:rFonts w:ascii="Sylfaen" w:hAnsi="Sylfaen"/>
          <w:lang w:val="ka-GE"/>
        </w:rPr>
        <w:t>,</w:t>
      </w:r>
      <w:r w:rsidR="004B56C7" w:rsidRPr="00AF7B02">
        <w:rPr>
          <w:rFonts w:ascii="Sylfaen" w:hAnsi="Sylfaen"/>
          <w:lang w:val="ka-GE"/>
        </w:rPr>
        <w:t xml:space="preserve"> რომელიც უკავშ</w:t>
      </w:r>
      <w:r w:rsidR="6A614480" w:rsidRPr="00AF7B02">
        <w:rPr>
          <w:rFonts w:ascii="Sylfaen" w:hAnsi="Sylfaen"/>
          <w:lang w:val="ka-GE"/>
        </w:rPr>
        <w:t>ი</w:t>
      </w:r>
      <w:r w:rsidR="004B56C7" w:rsidRPr="00AF7B02">
        <w:rPr>
          <w:rFonts w:ascii="Sylfaen" w:hAnsi="Sylfaen"/>
          <w:lang w:val="ka-GE"/>
        </w:rPr>
        <w:t>რდება რეგულირებად კომპანიებს, რამდენადაც მარეგულირებელი</w:t>
      </w:r>
      <w:r w:rsidR="007D01AA" w:rsidRPr="00AF7B02">
        <w:rPr>
          <w:rFonts w:ascii="Sylfaen" w:hAnsi="Sylfaen"/>
          <w:lang w:val="ka-GE"/>
        </w:rPr>
        <w:t xml:space="preserve"> ორგანო</w:t>
      </w:r>
      <w:r w:rsidR="004B56C7" w:rsidRPr="00AF7B02">
        <w:rPr>
          <w:rFonts w:ascii="Sylfaen" w:hAnsi="Sylfaen"/>
          <w:lang w:val="ka-GE"/>
        </w:rPr>
        <w:t xml:space="preserve"> იყენებს სახელმწიფო ბონდებს </w:t>
      </w:r>
      <w:r w:rsidR="001D5737" w:rsidRPr="00AF7B02">
        <w:rPr>
          <w:rFonts w:ascii="Sylfaen" w:hAnsi="Sylfaen"/>
          <w:lang w:val="ka-GE"/>
        </w:rPr>
        <w:t>ურისკო საპროცენტო გა</w:t>
      </w:r>
      <w:r w:rsidR="6A614480" w:rsidRPr="00AF7B02">
        <w:rPr>
          <w:rFonts w:ascii="Sylfaen" w:hAnsi="Sylfaen"/>
          <w:lang w:val="ka-GE"/>
        </w:rPr>
        <w:t>ნ</w:t>
      </w:r>
      <w:r w:rsidR="001D5737" w:rsidRPr="00AF7B02">
        <w:rPr>
          <w:rFonts w:ascii="Sylfaen" w:hAnsi="Sylfaen"/>
          <w:lang w:val="ka-GE"/>
        </w:rPr>
        <w:t>აკვეთის</w:t>
      </w:r>
      <w:r w:rsidR="004B56C7" w:rsidRPr="00AF7B02">
        <w:rPr>
          <w:rFonts w:ascii="Sylfaen" w:hAnsi="Sylfaen"/>
          <w:lang w:val="ka-GE"/>
        </w:rPr>
        <w:t xml:space="preserve"> დასათვლე</w:t>
      </w:r>
      <w:r w:rsidR="6A614480" w:rsidRPr="00AF7B02">
        <w:rPr>
          <w:rFonts w:ascii="Sylfaen" w:hAnsi="Sylfaen"/>
          <w:lang w:val="ka-GE"/>
        </w:rPr>
        <w:t>ლ</w:t>
      </w:r>
      <w:r w:rsidR="004B56C7" w:rsidRPr="00AF7B02">
        <w:rPr>
          <w:rFonts w:ascii="Sylfaen" w:hAnsi="Sylfaen"/>
          <w:lang w:val="ka-GE"/>
        </w:rPr>
        <w:t>ად</w:t>
      </w:r>
      <w:r w:rsidR="6A614480" w:rsidRPr="00AF7B02">
        <w:rPr>
          <w:rFonts w:ascii="Sylfaen" w:hAnsi="Sylfaen"/>
          <w:lang w:val="ka-GE"/>
        </w:rPr>
        <w:t xml:space="preserve">, რომელიც თავის თავში მოიცავს </w:t>
      </w:r>
      <w:r w:rsidR="6A614480" w:rsidRPr="00AF7B02">
        <w:rPr>
          <w:rFonts w:ascii="Sylfaen" w:hAnsi="Sylfaen"/>
          <w:b/>
          <w:bCs/>
          <w:lang w:val="ka-GE"/>
        </w:rPr>
        <w:t>„ზომის“,</w:t>
      </w:r>
      <w:r w:rsidR="6A614480" w:rsidRPr="00AF7B02">
        <w:rPr>
          <w:rFonts w:ascii="Sylfaen" w:hAnsi="Sylfaen"/>
          <w:lang w:val="ka-GE"/>
        </w:rPr>
        <w:t xml:space="preserve"> </w:t>
      </w:r>
      <w:r w:rsidR="00D560D7" w:rsidRPr="00AF7B02">
        <w:rPr>
          <w:rFonts w:ascii="Sylfaen" w:hAnsi="Sylfaen"/>
          <w:lang w:val="ka-GE"/>
        </w:rPr>
        <w:t>„</w:t>
      </w:r>
      <w:proofErr w:type="spellStart"/>
      <w:r w:rsidR="6A614480" w:rsidRPr="00AF7B02">
        <w:rPr>
          <w:rFonts w:ascii="Sylfaen" w:hAnsi="Sylfaen"/>
          <w:lang w:val="ka-GE"/>
        </w:rPr>
        <w:t>ლიკვიდობის</w:t>
      </w:r>
      <w:proofErr w:type="spellEnd"/>
      <w:r w:rsidR="6A614480" w:rsidRPr="00AF7B02">
        <w:rPr>
          <w:rFonts w:ascii="Sylfaen" w:hAnsi="Sylfaen"/>
          <w:lang w:val="ka-GE"/>
        </w:rPr>
        <w:t>“ და ქვეყნისთვის დამახასიათებელ სხვა სპეციფიკურ რისკებს</w:t>
      </w:r>
      <w:r w:rsidR="001844B3" w:rsidRPr="00AF7B02">
        <w:rPr>
          <w:rFonts w:ascii="Sylfaen" w:hAnsi="Sylfaen"/>
          <w:lang w:val="ka-GE"/>
        </w:rPr>
        <w:t>,</w:t>
      </w:r>
      <w:r w:rsidR="004B56C7" w:rsidRPr="00AF7B02">
        <w:rPr>
          <w:rFonts w:ascii="Sylfaen" w:hAnsi="Sylfaen"/>
          <w:lang w:val="ka-GE"/>
        </w:rPr>
        <w:t xml:space="preserve"> </w:t>
      </w:r>
      <w:r w:rsidR="00A0056D" w:rsidRPr="00AF7B02">
        <w:rPr>
          <w:rFonts w:ascii="Sylfaen" w:hAnsi="Sylfaen"/>
          <w:color w:val="FF0000"/>
          <w:shd w:val="clear" w:color="auto" w:fill="FFFFFF"/>
          <w:lang w:val="ka-GE"/>
        </w:rPr>
        <w:t xml:space="preserve"> </w:t>
      </w:r>
      <w:r w:rsidR="00A0056D" w:rsidRPr="00AF7B02">
        <w:rPr>
          <w:rFonts w:ascii="Sylfaen" w:hAnsi="Sylfaen"/>
          <w:lang w:val="ka-GE"/>
        </w:rPr>
        <w:t>ხოლო რაც შეეხება არასისტემურ რისკებს, იგი შეიძლება დაზღვეულ იქნ</w:t>
      </w:r>
      <w:r w:rsidR="00D1266D" w:rsidRPr="00AF7B02">
        <w:rPr>
          <w:rFonts w:ascii="Sylfaen" w:hAnsi="Sylfaen"/>
          <w:lang w:val="ka-GE"/>
        </w:rPr>
        <w:t>ა</w:t>
      </w:r>
      <w:r w:rsidR="00A0056D" w:rsidRPr="00AF7B02">
        <w:rPr>
          <w:rFonts w:ascii="Sylfaen" w:hAnsi="Sylfaen"/>
          <w:lang w:val="ka-GE"/>
        </w:rPr>
        <w:t>ს სხვა ქვეყ</w:t>
      </w:r>
      <w:r w:rsidR="001A3022" w:rsidRPr="00AF7B02">
        <w:rPr>
          <w:rFonts w:ascii="Sylfaen" w:hAnsi="Sylfaen"/>
          <w:lang w:val="ka-GE"/>
        </w:rPr>
        <w:t>ა</w:t>
      </w:r>
      <w:r w:rsidR="00A0056D" w:rsidRPr="00AF7B02">
        <w:rPr>
          <w:rFonts w:ascii="Sylfaen" w:hAnsi="Sylfaen"/>
          <w:lang w:val="ka-GE"/>
        </w:rPr>
        <w:t>ნ</w:t>
      </w:r>
      <w:r w:rsidR="001C31AA" w:rsidRPr="00AF7B02">
        <w:rPr>
          <w:rFonts w:ascii="Sylfaen" w:hAnsi="Sylfaen"/>
          <w:lang w:val="ka-GE"/>
        </w:rPr>
        <w:t>აში</w:t>
      </w:r>
      <w:r w:rsidR="00A0056D" w:rsidRPr="00AF7B02">
        <w:rPr>
          <w:rFonts w:ascii="Sylfaen" w:hAnsi="Sylfaen"/>
          <w:lang w:val="ka-GE"/>
        </w:rPr>
        <w:t xml:space="preserve"> ან ინდუსტრიაში ინვესტირებით.</w:t>
      </w:r>
    </w:p>
    <w:p w14:paraId="7D87A875" w14:textId="200AC2C9" w:rsidR="008D2D96" w:rsidRDefault="00501859" w:rsidP="00646F3A">
      <w:pPr>
        <w:jc w:val="both"/>
        <w:rPr>
          <w:rFonts w:ascii="Sylfaen" w:hAnsi="Sylfaen"/>
          <w:lang w:val="ka-GE"/>
        </w:rPr>
      </w:pPr>
      <w:r w:rsidRPr="00F5432B">
        <w:rPr>
          <w:rFonts w:ascii="Sylfaen" w:hAnsi="Sylfaen"/>
          <w:lang w:val="ka-GE"/>
        </w:rPr>
        <w:t>ასევე</w:t>
      </w:r>
      <w:r w:rsidR="00C04C1E">
        <w:rPr>
          <w:rFonts w:ascii="Sylfaen" w:hAnsi="Sylfaen"/>
          <w:lang w:val="ka-GE"/>
        </w:rPr>
        <w:t>,</w:t>
      </w:r>
      <w:r w:rsidRPr="00F5432B">
        <w:rPr>
          <w:rFonts w:ascii="Sylfaen" w:hAnsi="Sylfaen"/>
          <w:lang w:val="ka-GE"/>
        </w:rPr>
        <w:t xml:space="preserve"> აღსანიშნავია ევროპული მარეგულირებ</w:t>
      </w:r>
      <w:r w:rsidR="007D01AA">
        <w:rPr>
          <w:rFonts w:ascii="Sylfaen" w:hAnsi="Sylfaen"/>
          <w:lang w:val="ka-GE"/>
        </w:rPr>
        <w:t>ე</w:t>
      </w:r>
      <w:r w:rsidRPr="00F5432B">
        <w:rPr>
          <w:rFonts w:ascii="Sylfaen" w:hAnsi="Sylfaen"/>
          <w:lang w:val="ka-GE"/>
        </w:rPr>
        <w:t>ლ</w:t>
      </w:r>
      <w:r w:rsidR="007D01AA">
        <w:rPr>
          <w:rFonts w:ascii="Sylfaen" w:hAnsi="Sylfaen"/>
          <w:lang w:val="ka-GE"/>
        </w:rPr>
        <w:t>ი ორგანო</w:t>
      </w:r>
      <w:r w:rsidRPr="00F5432B">
        <w:rPr>
          <w:rFonts w:ascii="Sylfaen" w:hAnsi="Sylfaen"/>
          <w:lang w:val="ka-GE"/>
        </w:rPr>
        <w:t xml:space="preserve">ების მიერ განსაზღვრული </w:t>
      </w:r>
      <w:proofErr w:type="spellStart"/>
      <w:r w:rsidRPr="00F5432B">
        <w:rPr>
          <w:rFonts w:ascii="Sylfaen" w:hAnsi="Sylfaen"/>
          <w:lang w:val="ka-GE"/>
        </w:rPr>
        <w:t>ბეტას</w:t>
      </w:r>
      <w:proofErr w:type="spellEnd"/>
      <w:r w:rsidRPr="00F5432B">
        <w:rPr>
          <w:rFonts w:ascii="Sylfaen" w:hAnsi="Sylfaen"/>
          <w:lang w:val="ka-GE"/>
        </w:rPr>
        <w:t xml:space="preserve"> კლების ტენდენცია, რაც ნიშნავს იმას, რომ </w:t>
      </w:r>
      <w:r w:rsidR="00101AEB" w:rsidRPr="00F5432B">
        <w:rPr>
          <w:rFonts w:ascii="Sylfaen" w:hAnsi="Sylfaen"/>
          <w:lang w:val="ka-GE"/>
        </w:rPr>
        <w:t xml:space="preserve">სატელეკომუნიკაციო </w:t>
      </w:r>
      <w:r w:rsidR="008D2D96" w:rsidRPr="00F5432B">
        <w:rPr>
          <w:rFonts w:ascii="Sylfaen" w:hAnsi="Sylfaen"/>
          <w:lang w:val="ka-GE"/>
        </w:rPr>
        <w:t>კომპანიების ამონაგები ნაკლებად მერყევი</w:t>
      </w:r>
      <w:r w:rsidR="00A57A6F">
        <w:rPr>
          <w:rFonts w:ascii="Sylfaen" w:hAnsi="Sylfaen"/>
          <w:lang w:val="ka-GE"/>
        </w:rPr>
        <w:t xml:space="preserve"> </w:t>
      </w:r>
      <w:r w:rsidR="008D2D96" w:rsidRPr="00F5432B">
        <w:rPr>
          <w:rFonts w:ascii="Sylfaen" w:hAnsi="Sylfaen"/>
          <w:lang w:val="ka-GE"/>
        </w:rPr>
        <w:t>ხდება</w:t>
      </w:r>
      <w:r w:rsidR="00E36EDF" w:rsidRPr="00A57A6F">
        <w:rPr>
          <w:rFonts w:ascii="Sylfaen" w:hAnsi="Sylfaen"/>
          <w:lang w:val="ka-GE"/>
        </w:rPr>
        <w:t xml:space="preserve"> </w:t>
      </w:r>
      <w:r w:rsidR="00167EBA">
        <w:rPr>
          <w:rFonts w:ascii="Sylfaen" w:hAnsi="Sylfaen"/>
          <w:lang w:val="ka-GE"/>
        </w:rPr>
        <w:t>ქვეყნის მთლიან ეკონომიკ</w:t>
      </w:r>
      <w:r w:rsidR="00577A21">
        <w:rPr>
          <w:rFonts w:ascii="Sylfaen" w:hAnsi="Sylfaen"/>
          <w:lang w:val="ka-GE"/>
        </w:rPr>
        <w:t>ასთან</w:t>
      </w:r>
      <w:r w:rsidR="00167EBA">
        <w:rPr>
          <w:rFonts w:ascii="Sylfaen" w:hAnsi="Sylfaen"/>
          <w:lang w:val="ka-GE"/>
        </w:rPr>
        <w:t xml:space="preserve"> შედარებით</w:t>
      </w:r>
      <w:r w:rsidR="008D2D96" w:rsidRPr="00F5432B">
        <w:rPr>
          <w:rFonts w:ascii="Sylfaen" w:hAnsi="Sylfaen"/>
          <w:lang w:val="ka-GE"/>
        </w:rPr>
        <w:t xml:space="preserve">. </w:t>
      </w:r>
      <w:proofErr w:type="spellStart"/>
      <w:r w:rsidR="008D2D96" w:rsidRPr="00F5432B">
        <w:rPr>
          <w:rFonts w:ascii="Sylfaen" w:hAnsi="Sylfaen"/>
          <w:lang w:val="ka-GE"/>
        </w:rPr>
        <w:t>ბეტას</w:t>
      </w:r>
      <w:proofErr w:type="spellEnd"/>
      <w:r w:rsidR="008D2D96" w:rsidRPr="00F5432B">
        <w:rPr>
          <w:rFonts w:ascii="Sylfaen" w:hAnsi="Sylfaen"/>
          <w:lang w:val="ka-GE"/>
        </w:rPr>
        <w:t xml:space="preserve"> კლების ტენდენცია მოცემული</w:t>
      </w:r>
      <w:r w:rsidR="00744D59" w:rsidRPr="00F5432B">
        <w:rPr>
          <w:rFonts w:ascii="Sylfaen" w:hAnsi="Sylfaen"/>
          <w:lang w:val="ka-GE"/>
        </w:rPr>
        <w:t>ა</w:t>
      </w:r>
      <w:r w:rsidR="008D2D96" w:rsidRPr="00F5432B">
        <w:rPr>
          <w:rFonts w:ascii="Sylfaen" w:hAnsi="Sylfaen"/>
          <w:lang w:val="ka-GE"/>
        </w:rPr>
        <w:t xml:space="preserve"> შემდეგ</w:t>
      </w:r>
      <w:r w:rsidR="00773442" w:rsidRPr="00A57A6F">
        <w:rPr>
          <w:rFonts w:ascii="Sylfaen" w:hAnsi="Sylfaen"/>
          <w:lang w:val="ka-GE"/>
        </w:rPr>
        <w:t xml:space="preserve"> </w:t>
      </w:r>
      <w:r w:rsidR="000B37D6" w:rsidRPr="00F5432B">
        <w:rPr>
          <w:rFonts w:ascii="Sylfaen" w:hAnsi="Sylfaen"/>
          <w:lang w:val="ka-GE"/>
        </w:rPr>
        <w:t>გრაფიკებზე</w:t>
      </w:r>
      <w:r w:rsidR="008D2D96" w:rsidRPr="00F5432B">
        <w:rPr>
          <w:rFonts w:ascii="Sylfaen" w:hAnsi="Sylfaen"/>
          <w:lang w:val="ka-GE"/>
        </w:rPr>
        <w:t>:</w:t>
      </w:r>
    </w:p>
    <w:p w14:paraId="2E998DA9" w14:textId="78EAE1B0" w:rsidR="00C43529" w:rsidRPr="000030FA" w:rsidRDefault="004B6E6C" w:rsidP="00646F3A">
      <w:pPr>
        <w:pStyle w:val="Caption"/>
        <w:rPr>
          <w:rFonts w:ascii="Sylfaen" w:hAnsi="Sylfaen"/>
          <w:lang w:val="ka-GE"/>
        </w:rPr>
      </w:pPr>
      <w:r>
        <w:rPr>
          <w:rFonts w:ascii="Sylfaen" w:hAnsi="Sylfaen"/>
          <w:sz w:val="22"/>
          <w:szCs w:val="22"/>
          <w:lang w:val="ka-GE"/>
        </w:rPr>
        <w:t>დიაგრამა</w:t>
      </w:r>
      <w:r w:rsidRPr="00577A21">
        <w:rPr>
          <w:rFonts w:ascii="Sylfaen" w:hAnsi="Sylfaen"/>
          <w:sz w:val="22"/>
          <w:szCs w:val="22"/>
        </w:rPr>
        <w:t xml:space="preserve"> </w:t>
      </w:r>
      <w:r w:rsidR="00C43529" w:rsidRPr="00577A21">
        <w:rPr>
          <w:rFonts w:ascii="Sylfaen" w:hAnsi="Sylfaen"/>
          <w:sz w:val="22"/>
          <w:szCs w:val="22"/>
        </w:rPr>
        <w:fldChar w:fldCharType="begin"/>
      </w:r>
      <w:r w:rsidR="00C43529" w:rsidRPr="00577A21">
        <w:rPr>
          <w:rFonts w:ascii="Sylfaen" w:hAnsi="Sylfaen"/>
          <w:sz w:val="22"/>
          <w:szCs w:val="22"/>
        </w:rPr>
        <w:instrText xml:space="preserve"> SEQ ფიგურა \* ARABIC </w:instrText>
      </w:r>
      <w:r w:rsidR="00C43529" w:rsidRPr="00577A21">
        <w:rPr>
          <w:rFonts w:ascii="Sylfaen" w:hAnsi="Sylfaen"/>
          <w:sz w:val="22"/>
          <w:szCs w:val="22"/>
        </w:rPr>
        <w:fldChar w:fldCharType="separate"/>
      </w:r>
      <w:r w:rsidR="00C43529" w:rsidRPr="00577A21">
        <w:rPr>
          <w:rFonts w:ascii="Sylfaen" w:hAnsi="Sylfaen"/>
          <w:noProof/>
          <w:sz w:val="22"/>
          <w:szCs w:val="22"/>
        </w:rPr>
        <w:t>1</w:t>
      </w:r>
      <w:r w:rsidR="00C43529" w:rsidRPr="00577A21">
        <w:rPr>
          <w:rFonts w:ascii="Sylfaen" w:hAnsi="Sylfaen"/>
          <w:sz w:val="22"/>
          <w:szCs w:val="22"/>
        </w:rPr>
        <w:fldChar w:fldCharType="end"/>
      </w:r>
    </w:p>
    <w:p w14:paraId="04D22AB2" w14:textId="232C2E77" w:rsidR="008D2D96" w:rsidRPr="00F5432B" w:rsidRDefault="00A2645F" w:rsidP="00646F3A">
      <w:pPr>
        <w:ind w:left="-142"/>
        <w:jc w:val="both"/>
        <w:rPr>
          <w:rFonts w:ascii="Sylfaen" w:hAnsi="Sylfaen"/>
          <w:lang w:val="ka-GE"/>
        </w:rPr>
      </w:pPr>
      <w:r w:rsidRPr="005E50DE">
        <w:rPr>
          <w:rFonts w:ascii="Sylfaen" w:hAnsi="Sylfaen"/>
          <w:noProof/>
        </w:rPr>
        <w:drawing>
          <wp:inline distT="0" distB="0" distL="0" distR="0" wp14:anchorId="55226BD7" wp14:editId="260BD0D4">
            <wp:extent cx="3181350" cy="2333625"/>
            <wp:effectExtent l="0" t="0" r="0" b="0"/>
            <wp:docPr id="1" name="Chart 1">
              <a:extLst xmlns:a="http://schemas.openxmlformats.org/drawingml/2006/main">
                <a:ext uri="{FF2B5EF4-FFF2-40B4-BE49-F238E27FC236}">
                  <a16:creationId xmlns:a16="http://schemas.microsoft.com/office/drawing/2014/main" id="{560D2F5F-0C53-4971-9E38-6CA43096E5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C628E2" w:rsidRPr="005E50DE">
        <w:rPr>
          <w:rFonts w:ascii="Sylfaen" w:hAnsi="Sylfaen"/>
          <w:noProof/>
        </w:rPr>
        <w:drawing>
          <wp:inline distT="0" distB="0" distL="0" distR="0" wp14:anchorId="70FF4B11" wp14:editId="6AFAA97A">
            <wp:extent cx="3190875" cy="2333625"/>
            <wp:effectExtent l="0" t="0" r="0" b="0"/>
            <wp:docPr id="3" name="Chart 3">
              <a:extLst xmlns:a="http://schemas.openxmlformats.org/drawingml/2006/main">
                <a:ext uri="{FF2B5EF4-FFF2-40B4-BE49-F238E27FC236}">
                  <a16:creationId xmlns:a16="http://schemas.microsoft.com/office/drawing/2014/main" id="{B69B2A05-462E-4A31-AAC4-9962789E28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63DA5C0" w14:textId="5E7732C3" w:rsidR="001F515D" w:rsidRPr="00F5432B" w:rsidRDefault="00D25086" w:rsidP="00646F3A">
      <w:pPr>
        <w:jc w:val="both"/>
        <w:rPr>
          <w:rFonts w:ascii="Sylfaen" w:hAnsi="Sylfaen"/>
          <w:lang w:val="ka-GE"/>
        </w:rPr>
      </w:pPr>
      <w:r w:rsidRPr="005E50DE">
        <w:rPr>
          <w:rFonts w:ascii="Sylfaen" w:hAnsi="Sylfaen"/>
          <w:noProof/>
        </w:rPr>
        <w:drawing>
          <wp:inline distT="0" distB="0" distL="0" distR="0" wp14:anchorId="0FE26101" wp14:editId="3514FDD6">
            <wp:extent cx="3228975" cy="2219325"/>
            <wp:effectExtent l="0" t="0" r="0" b="0"/>
            <wp:docPr id="2" name="Chart 2">
              <a:extLst xmlns:a="http://schemas.openxmlformats.org/drawingml/2006/main">
                <a:ext uri="{FF2B5EF4-FFF2-40B4-BE49-F238E27FC236}">
                  <a16:creationId xmlns:a16="http://schemas.microsoft.com/office/drawing/2014/main" id="{2FB4135F-2CFF-40FF-AF78-6422D1E9C1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8B7E2F7" w14:textId="50D5D448" w:rsidR="00E36EDF" w:rsidRPr="00A57A6F" w:rsidRDefault="00E36EDF" w:rsidP="00646F3A">
      <w:pPr>
        <w:pStyle w:val="Heading2"/>
        <w:rPr>
          <w:rFonts w:ascii="Sylfaen" w:hAnsi="Sylfaen"/>
          <w:sz w:val="22"/>
          <w:szCs w:val="22"/>
          <w:lang w:val="ka-GE"/>
        </w:rPr>
      </w:pPr>
      <w:r w:rsidRPr="00A57A6F">
        <w:rPr>
          <w:rFonts w:ascii="Sylfaen" w:hAnsi="Sylfaen"/>
          <w:sz w:val="22"/>
          <w:szCs w:val="22"/>
          <w:lang w:val="ka-GE"/>
        </w:rPr>
        <w:t>საკურსო რისკები</w:t>
      </w:r>
    </w:p>
    <w:p w14:paraId="43359B00" w14:textId="66124352" w:rsidR="00C628E2" w:rsidRPr="00F5432B" w:rsidRDefault="6A614480" w:rsidP="00646F3A">
      <w:pPr>
        <w:jc w:val="both"/>
        <w:rPr>
          <w:rFonts w:ascii="Sylfaen" w:hAnsi="Sylfaen"/>
          <w:lang w:val="ka-GE"/>
        </w:rPr>
      </w:pPr>
      <w:r w:rsidRPr="00F5432B">
        <w:rPr>
          <w:rFonts w:ascii="Sylfaen" w:hAnsi="Sylfaen"/>
          <w:lang w:val="ka-GE"/>
        </w:rPr>
        <w:t>რაც შეეხება დამატებით საკურსო რისკის ასახვას კალკულაციაში, PWC-ს რეკომენდაციით, საუკეთესო პრაქტიკა არ ითვალისწინებს აღნიშნული რისკ პრემიუმის კალკულაციაში დამატებას. ვინაიდან</w:t>
      </w:r>
      <w:r w:rsidR="0053074B">
        <w:rPr>
          <w:rFonts w:ascii="Sylfaen" w:hAnsi="Sylfaen"/>
          <w:lang w:val="ka-GE"/>
        </w:rPr>
        <w:t>,</w:t>
      </w:r>
      <w:r w:rsidRPr="00F5432B">
        <w:rPr>
          <w:rFonts w:ascii="Sylfaen" w:hAnsi="Sylfaen"/>
          <w:lang w:val="ka-GE"/>
        </w:rPr>
        <w:t xml:space="preserve"> </w:t>
      </w:r>
      <w:r w:rsidRPr="0010506D">
        <w:rPr>
          <w:rFonts w:ascii="Sylfaen" w:hAnsi="Sylfaen"/>
          <w:lang w:val="ka-GE"/>
        </w:rPr>
        <w:t>WACC</w:t>
      </w:r>
      <w:r w:rsidRPr="00F5432B">
        <w:rPr>
          <w:rFonts w:ascii="Sylfaen" w:hAnsi="Sylfaen"/>
          <w:lang w:val="ka-GE"/>
        </w:rPr>
        <w:t>-ის კომპონენტების დათვლა ხდება ეროვნული მონაცემებით</w:t>
      </w:r>
      <w:r w:rsidR="00744D59" w:rsidRPr="0010506D">
        <w:rPr>
          <w:rFonts w:ascii="Sylfaen" w:hAnsi="Sylfaen"/>
          <w:lang w:val="ka-GE"/>
        </w:rPr>
        <w:t>,</w:t>
      </w:r>
      <w:r w:rsidRPr="00F5432B">
        <w:rPr>
          <w:rFonts w:ascii="Sylfaen" w:hAnsi="Sylfaen"/>
          <w:lang w:val="ka-GE"/>
        </w:rPr>
        <w:t xml:space="preserve"> რეკომენდირებული არ არის დამატებითი საკურსო რისკის პრემიუმის დამატება, რამდენადაც ურისკო საპროცენტო განაკვეთი, რომელიც 9.67%-ს შეადგენს, თავის მხრივ მოიცავს საკურსო რისკს.</w:t>
      </w:r>
    </w:p>
    <w:p w14:paraId="7FD55722" w14:textId="6FC1D6AF" w:rsidR="00727B9C" w:rsidRDefault="00EE5F24" w:rsidP="00646F3A">
      <w:pPr>
        <w:jc w:val="both"/>
        <w:rPr>
          <w:rFonts w:ascii="Sylfaen" w:hAnsi="Sylfaen"/>
          <w:lang w:val="ka-GE"/>
        </w:rPr>
      </w:pPr>
      <w:r>
        <w:rPr>
          <w:rFonts w:ascii="Sylfaen" w:hAnsi="Sylfaen"/>
          <w:lang w:val="ka-GE"/>
        </w:rPr>
        <w:t xml:space="preserve">კომისია </w:t>
      </w:r>
      <w:r w:rsidR="00727B9C" w:rsidRPr="00F5432B">
        <w:rPr>
          <w:rFonts w:ascii="Sylfaen" w:hAnsi="Sylfaen"/>
          <w:lang w:val="ka-GE"/>
        </w:rPr>
        <w:t>იზიარებს PWC-ს რეკომენდაციებს სექტორული რისკის კოეფიცი</w:t>
      </w:r>
      <w:r w:rsidR="00D12EF5">
        <w:rPr>
          <w:rFonts w:ascii="Sylfaen" w:hAnsi="Sylfaen"/>
          <w:lang w:val="ka-GE"/>
        </w:rPr>
        <w:t>ე</w:t>
      </w:r>
      <w:r w:rsidR="00727B9C" w:rsidRPr="00F5432B">
        <w:rPr>
          <w:rFonts w:ascii="Sylfaen" w:hAnsi="Sylfaen"/>
          <w:lang w:val="ka-GE"/>
        </w:rPr>
        <w:t>ნტ (β)-სთან და საკურსო რისკთან დაკავშირებით.</w:t>
      </w:r>
    </w:p>
    <w:p w14:paraId="7F808F99" w14:textId="77777777" w:rsidR="00E03F7B" w:rsidRPr="00F5432B" w:rsidRDefault="00E03F7B" w:rsidP="00646F3A">
      <w:pPr>
        <w:jc w:val="both"/>
        <w:rPr>
          <w:rFonts w:ascii="Sylfaen" w:hAnsi="Sylfaen"/>
          <w:lang w:val="ka-GE"/>
        </w:rPr>
      </w:pPr>
    </w:p>
    <w:p w14:paraId="599B456D" w14:textId="4BE407D1" w:rsidR="00C477E9" w:rsidRPr="00A57A6F" w:rsidRDefault="00C477E9" w:rsidP="00646F3A">
      <w:pPr>
        <w:pStyle w:val="Heading2"/>
        <w:rPr>
          <w:rFonts w:ascii="Sylfaen" w:hAnsi="Sylfaen"/>
          <w:sz w:val="22"/>
          <w:szCs w:val="22"/>
          <w:lang w:val="ka-GE"/>
        </w:rPr>
      </w:pPr>
      <w:r w:rsidRPr="00A57A6F">
        <w:rPr>
          <w:rFonts w:ascii="Sylfaen" w:hAnsi="Sylfaen"/>
          <w:sz w:val="22"/>
          <w:szCs w:val="22"/>
          <w:lang w:val="ka-GE"/>
        </w:rPr>
        <w:t>სესხის ღირებულება</w:t>
      </w:r>
    </w:p>
    <w:p w14:paraId="34C35C50" w14:textId="1EF2EC44" w:rsidR="00C477E9" w:rsidRPr="0032620E" w:rsidRDefault="00C477E9" w:rsidP="00646F3A">
      <w:pPr>
        <w:jc w:val="both"/>
        <w:rPr>
          <w:rFonts w:ascii="Sylfaen" w:hAnsi="Sylfaen"/>
          <w:lang w:val="ka-GE"/>
        </w:rPr>
      </w:pPr>
      <w:r w:rsidRPr="00F5432B">
        <w:rPr>
          <w:rFonts w:ascii="Sylfaen" w:hAnsi="Sylfaen"/>
          <w:lang w:val="ka-GE"/>
        </w:rPr>
        <w:t>სესხის ღირებულება წარმოადგენს კომპანიების მიერ მიმდინარე სესხებზე გადახდილ ეფექტურ საპროცენტო განაკვეთს</w:t>
      </w:r>
      <w:r w:rsidR="00E622FA" w:rsidRPr="00F5432B">
        <w:rPr>
          <w:rFonts w:ascii="Sylfaen" w:hAnsi="Sylfaen"/>
          <w:lang w:val="ka-GE"/>
        </w:rPr>
        <w:t xml:space="preserve"> და იგი გამოითვლება ურისკო საპროცენტო განაკვეთზე სესხის პრემიუმის დამატებით.</w:t>
      </w:r>
      <w:r w:rsidRPr="00F5432B">
        <w:rPr>
          <w:rFonts w:ascii="Sylfaen" w:hAnsi="Sylfaen"/>
          <w:lang w:val="ka-GE"/>
        </w:rPr>
        <w:t xml:space="preserve"> PWC-ს მიერ წარმოდგენილი გაანგარიშე</w:t>
      </w:r>
      <w:r w:rsidR="00153593" w:rsidRPr="00F5432B">
        <w:rPr>
          <w:rFonts w:ascii="Sylfaen" w:hAnsi="Sylfaen"/>
          <w:lang w:val="ka-GE"/>
        </w:rPr>
        <w:t>ბ</w:t>
      </w:r>
      <w:r w:rsidR="007972B2" w:rsidRPr="00F5432B">
        <w:rPr>
          <w:rFonts w:ascii="Sylfaen" w:hAnsi="Sylfaen"/>
          <w:lang w:val="ka-GE"/>
        </w:rPr>
        <w:t>ით</w:t>
      </w:r>
      <w:r w:rsidRPr="00F5432B">
        <w:rPr>
          <w:rFonts w:ascii="Sylfaen" w:hAnsi="Sylfaen"/>
          <w:lang w:val="ka-GE"/>
        </w:rPr>
        <w:t xml:space="preserve"> სესხის ღირებულების </w:t>
      </w:r>
      <w:r w:rsidR="00744D59" w:rsidRPr="00F5432B">
        <w:rPr>
          <w:rFonts w:ascii="Sylfaen" w:hAnsi="Sylfaen"/>
          <w:lang w:val="ka-GE"/>
        </w:rPr>
        <w:t>შეფასება ეყრდნობა</w:t>
      </w:r>
      <w:r w:rsidRPr="00F5432B">
        <w:rPr>
          <w:rFonts w:ascii="Sylfaen" w:hAnsi="Sylfaen"/>
          <w:lang w:val="ka-GE"/>
        </w:rPr>
        <w:t xml:space="preserve"> ეროვნული ბანკის მონაცემებს</w:t>
      </w:r>
      <w:r w:rsidR="007972B2" w:rsidRPr="00F5432B">
        <w:rPr>
          <w:rFonts w:ascii="Sylfaen" w:hAnsi="Sylfaen"/>
          <w:lang w:val="ka-GE"/>
        </w:rPr>
        <w:t>, კერძოდ ითვალისწინებს</w:t>
      </w:r>
      <w:r w:rsidRPr="00F5432B">
        <w:rPr>
          <w:rFonts w:ascii="Sylfaen" w:hAnsi="Sylfaen"/>
          <w:lang w:val="ka-GE"/>
        </w:rPr>
        <w:t xml:space="preserve">  2019 წლის ოქტომბრიდან 2020 წლის </w:t>
      </w:r>
      <w:r w:rsidR="007972B2" w:rsidRPr="00F5432B">
        <w:rPr>
          <w:rFonts w:ascii="Sylfaen" w:hAnsi="Sylfaen"/>
          <w:lang w:val="ka-GE"/>
        </w:rPr>
        <w:t xml:space="preserve">სექტემბრის ჩათვლით </w:t>
      </w:r>
      <w:r w:rsidRPr="00F5432B">
        <w:rPr>
          <w:rFonts w:ascii="Sylfaen" w:hAnsi="Sylfaen"/>
          <w:lang w:val="ka-GE"/>
        </w:rPr>
        <w:t>საშუალო საპროცენტო განაკვეთს</w:t>
      </w:r>
      <w:r w:rsidR="00153593" w:rsidRPr="00F5432B">
        <w:rPr>
          <w:rFonts w:ascii="Sylfaen" w:hAnsi="Sylfaen"/>
          <w:lang w:val="ka-GE"/>
        </w:rPr>
        <w:t>,</w:t>
      </w:r>
      <w:r w:rsidRPr="00F5432B">
        <w:rPr>
          <w:rFonts w:ascii="Sylfaen" w:hAnsi="Sylfaen"/>
          <w:lang w:val="ka-GE"/>
        </w:rPr>
        <w:t xml:space="preserve">  რომელიც 11.73% შეადგენს</w:t>
      </w:r>
      <w:r w:rsidR="00B66B36">
        <w:rPr>
          <w:rStyle w:val="FootnoteReference"/>
          <w:rFonts w:ascii="Sylfaen" w:hAnsi="Sylfaen"/>
          <w:lang w:val="ka-GE"/>
        </w:rPr>
        <w:footnoteReference w:id="4"/>
      </w:r>
      <w:r w:rsidRPr="00F5432B">
        <w:rPr>
          <w:rFonts w:ascii="Sylfaen" w:hAnsi="Sylfaen"/>
          <w:lang w:val="ka-GE"/>
        </w:rPr>
        <w:t xml:space="preserve">.  </w:t>
      </w:r>
      <w:r w:rsidR="0020167D" w:rsidRPr="00F5432B">
        <w:rPr>
          <w:rFonts w:ascii="Sylfaen" w:hAnsi="Sylfaen"/>
          <w:lang w:val="ka-GE"/>
        </w:rPr>
        <w:t xml:space="preserve">იქიდან გამომდინარე, რომ </w:t>
      </w:r>
      <w:r w:rsidR="0020167D" w:rsidRPr="00CD410B">
        <w:rPr>
          <w:rFonts w:ascii="Sylfaen" w:hAnsi="Sylfaen"/>
          <w:lang w:val="ka-GE"/>
        </w:rPr>
        <w:t>B</w:t>
      </w:r>
      <w:r w:rsidR="0020167D" w:rsidRPr="005C605F">
        <w:rPr>
          <w:rFonts w:ascii="Sylfaen" w:hAnsi="Sylfaen"/>
          <w:lang w:val="ka-GE"/>
        </w:rPr>
        <w:t>EREC</w:t>
      </w:r>
      <w:r w:rsidR="0020167D" w:rsidRPr="00A57A6F">
        <w:rPr>
          <w:rFonts w:ascii="Sylfaen" w:hAnsi="Sylfaen"/>
          <w:lang w:val="ka-GE"/>
        </w:rPr>
        <w:t>-</w:t>
      </w:r>
      <w:r w:rsidR="0020167D" w:rsidRPr="00F5432B">
        <w:rPr>
          <w:rFonts w:ascii="Sylfaen" w:hAnsi="Sylfaen"/>
          <w:lang w:val="ka-GE"/>
        </w:rPr>
        <w:t>ის</w:t>
      </w:r>
      <w:r w:rsidR="0020167D" w:rsidRPr="00A57A6F">
        <w:rPr>
          <w:rFonts w:ascii="Sylfaen" w:hAnsi="Sylfaen"/>
          <w:lang w:val="ka-GE"/>
        </w:rPr>
        <w:t xml:space="preserve"> </w:t>
      </w:r>
      <w:hyperlink r:id="rId27" w:history="1">
        <w:sdt>
          <w:sdtPr>
            <w:rPr>
              <w:rStyle w:val="Hyperlink"/>
              <w:rFonts w:ascii="Sylfaen" w:hAnsi="Sylfaen"/>
              <w:lang w:val="en-GB"/>
            </w:rPr>
            <w:id w:val="-490485574"/>
            <w:citation/>
          </w:sdtPr>
          <w:sdtEndPr>
            <w:rPr>
              <w:rStyle w:val="Hyperlink"/>
            </w:rPr>
          </w:sdtEndPr>
          <w:sdtContent>
            <w:r w:rsidR="0020167D" w:rsidRPr="00A57A6F">
              <w:rPr>
                <w:rStyle w:val="Hyperlink"/>
              </w:rPr>
              <w:fldChar w:fldCharType="begin"/>
            </w:r>
            <w:r w:rsidR="0020167D" w:rsidRPr="00A57A6F">
              <w:rPr>
                <w:rStyle w:val="Hyperlink"/>
                <w:lang w:val="ka-GE"/>
              </w:rPr>
              <w:instrText xml:space="preserve"> CITATION BER20 \l 2057 </w:instrText>
            </w:r>
            <w:r w:rsidR="0020167D" w:rsidRPr="00A57A6F">
              <w:rPr>
                <w:rStyle w:val="Hyperlink"/>
              </w:rPr>
              <w:fldChar w:fldCharType="separate"/>
            </w:r>
            <w:r w:rsidR="0020167D" w:rsidRPr="00A57A6F">
              <w:rPr>
                <w:rStyle w:val="Hyperlink"/>
                <w:rFonts w:ascii="Sylfaen" w:hAnsi="Sylfaen"/>
                <w:noProof/>
                <w:lang w:val="ka-GE"/>
              </w:rPr>
              <w:t xml:space="preserve"> </w:t>
            </w:r>
            <w:r w:rsidR="0020167D" w:rsidRPr="00A57A6F">
              <w:rPr>
                <w:rFonts w:ascii="Sylfaen" w:hAnsi="Sylfaen"/>
                <w:noProof/>
                <w:color w:val="0563C1" w:themeColor="hyperlink"/>
                <w:lang w:val="ka-GE"/>
              </w:rPr>
              <w:t>(BEREC, 2020)</w:t>
            </w:r>
            <w:r w:rsidR="0020167D" w:rsidRPr="00A57A6F">
              <w:rPr>
                <w:rStyle w:val="Hyperlink"/>
              </w:rPr>
              <w:fldChar w:fldCharType="end"/>
            </w:r>
          </w:sdtContent>
        </w:sdt>
      </w:hyperlink>
      <w:r w:rsidR="0020167D" w:rsidRPr="00F5432B">
        <w:rPr>
          <w:rFonts w:ascii="Sylfaen" w:hAnsi="Sylfaen"/>
          <w:lang w:val="ka-GE"/>
        </w:rPr>
        <w:t xml:space="preserve"> რეკომენდაციის მიხედვით სესხის ღირებულების გამოსათვლელი კომპონენტები უნდა იყოს მხოლოდ ეროვნულ ვალ</w:t>
      </w:r>
      <w:r w:rsidR="0020167D" w:rsidRPr="00A57A6F">
        <w:rPr>
          <w:rFonts w:ascii="Sylfaen" w:hAnsi="Sylfaen"/>
          <w:lang w:val="ka-GE"/>
        </w:rPr>
        <w:t>უტაში</w:t>
      </w:r>
      <w:r w:rsidR="0020167D">
        <w:rPr>
          <w:rFonts w:ascii="Sylfaen" w:hAnsi="Sylfaen"/>
          <w:lang w:val="ka-GE"/>
        </w:rPr>
        <w:t>,</w:t>
      </w:r>
      <w:r w:rsidR="0020167D" w:rsidRPr="00A57A6F">
        <w:rPr>
          <w:rFonts w:ascii="Sylfaen" w:hAnsi="Sylfaen"/>
          <w:lang w:val="ka-GE"/>
        </w:rPr>
        <w:t xml:space="preserve">  კომისია იზიარებს აღნიშნულ რეკომენდაციას და სესხის ღირებულების დასათვლელად იყენებს </w:t>
      </w:r>
      <w:r w:rsidR="00AB17D3">
        <w:rPr>
          <w:rFonts w:ascii="Sylfaen" w:hAnsi="Sylfaen"/>
          <w:lang w:val="ka-GE"/>
        </w:rPr>
        <w:t xml:space="preserve">იურიდიულ პირებზე </w:t>
      </w:r>
      <w:r w:rsidR="007D266E">
        <w:rPr>
          <w:rFonts w:ascii="Sylfaen" w:hAnsi="Sylfaen"/>
          <w:lang w:val="ka-GE"/>
        </w:rPr>
        <w:t xml:space="preserve">ლარში </w:t>
      </w:r>
      <w:r w:rsidR="0020167D" w:rsidRPr="00A57A6F">
        <w:rPr>
          <w:rFonts w:ascii="Sylfaen" w:hAnsi="Sylfaen"/>
          <w:lang w:val="ka-GE"/>
        </w:rPr>
        <w:t xml:space="preserve">გაცემული სესხების </w:t>
      </w:r>
      <w:r w:rsidR="0020167D">
        <w:rPr>
          <w:rFonts w:ascii="Sylfaen" w:hAnsi="Sylfaen"/>
          <w:lang w:val="ka-GE"/>
        </w:rPr>
        <w:t>საპროცენტო განაკვეთს</w:t>
      </w:r>
      <w:r w:rsidR="00AB17D3">
        <w:rPr>
          <w:rFonts w:ascii="Sylfaen" w:hAnsi="Sylfaen"/>
          <w:lang w:val="ka-GE"/>
        </w:rPr>
        <w:t xml:space="preserve">. გარდა ამისა, </w:t>
      </w:r>
      <w:r w:rsidR="00AA2071">
        <w:rPr>
          <w:rFonts w:ascii="Sylfaen" w:hAnsi="Sylfaen"/>
          <w:lang w:val="ka-GE"/>
        </w:rPr>
        <w:t xml:space="preserve">ევროკომისიის </w:t>
      </w:r>
      <w:hyperlink r:id="rId28" w:history="1">
        <w:r w:rsidR="00AA2071" w:rsidRPr="00E03F7B">
          <w:rPr>
            <w:rStyle w:val="Hyperlink"/>
            <w:rFonts w:ascii="Sylfaen" w:hAnsi="Sylfaen"/>
            <w:lang w:val="ka-GE"/>
          </w:rPr>
          <w:t>რეკომენდაციების</w:t>
        </w:r>
      </w:hyperlink>
      <w:r w:rsidR="00D33843" w:rsidRPr="00E03F7B">
        <w:rPr>
          <w:rStyle w:val="FootnoteReference"/>
          <w:rFonts w:ascii="Sylfaen" w:hAnsi="Sylfaen"/>
          <w:lang w:val="ka-GE"/>
        </w:rPr>
        <w:footnoteReference w:id="5"/>
      </w:r>
      <w:r w:rsidR="00AA2071">
        <w:rPr>
          <w:rFonts w:ascii="Sylfaen" w:hAnsi="Sylfaen"/>
          <w:lang w:val="ka-GE"/>
        </w:rPr>
        <w:t xml:space="preserve"> შესაბამისად </w:t>
      </w:r>
      <w:r w:rsidR="00AA2071" w:rsidRPr="00D44296">
        <w:rPr>
          <w:rFonts w:ascii="Sylfaen" w:hAnsi="Sylfaen"/>
          <w:lang w:val="ka-GE"/>
        </w:rPr>
        <w:t>WACC</w:t>
      </w:r>
      <w:r w:rsidR="00AA2071">
        <w:rPr>
          <w:rFonts w:ascii="Sylfaen" w:hAnsi="Sylfaen"/>
          <w:lang w:val="ka-GE"/>
        </w:rPr>
        <w:t xml:space="preserve"> დათვლის მეთოდოლოგია და მასში გამოყენებული პარამეტრები ყველა დაინტერესებული მხარისათვის უნდა იყოს მაქსიმალურად გამჭვირვალე და სადაც რელევანტურია იგი უნდა ეფუძნებოდეს საჯარო ინფორმაციას. ამ კრიტერიუმი</w:t>
      </w:r>
      <w:r w:rsidR="00F950AA">
        <w:rPr>
          <w:rFonts w:ascii="Sylfaen" w:hAnsi="Sylfaen"/>
          <w:lang w:val="ka-GE"/>
        </w:rPr>
        <w:t>ს</w:t>
      </w:r>
      <w:r w:rsidR="00AA2071">
        <w:rPr>
          <w:rFonts w:ascii="Sylfaen" w:hAnsi="Sylfaen"/>
          <w:lang w:val="ka-GE"/>
        </w:rPr>
        <w:t xml:space="preserve"> მიხედვით, საქართველოს ეროვნული ბანკის მონაცემები</w:t>
      </w:r>
      <w:r w:rsidR="00B257E4">
        <w:rPr>
          <w:rFonts w:ascii="Sylfaen" w:hAnsi="Sylfaen"/>
          <w:lang w:val="ka-GE"/>
        </w:rPr>
        <w:t xml:space="preserve"> შესაბამისობაშია რეკომენდაციასთან.</w:t>
      </w:r>
    </w:p>
    <w:p w14:paraId="45B92A40" w14:textId="63CC57B8" w:rsidR="00C477E9" w:rsidRPr="00C96FE2" w:rsidRDefault="00C477E9" w:rsidP="00646F3A">
      <w:pPr>
        <w:jc w:val="both"/>
        <w:rPr>
          <w:rFonts w:ascii="Sylfaen" w:hAnsi="Sylfaen"/>
          <w:lang w:val="ka-GE"/>
        </w:rPr>
      </w:pPr>
      <w:r w:rsidRPr="00ED25B6">
        <w:rPr>
          <w:rFonts w:ascii="Sylfaen" w:hAnsi="Sylfaen"/>
          <w:lang w:val="ka-GE"/>
        </w:rPr>
        <w:t>ოპერატორებ</w:t>
      </w:r>
      <w:r w:rsidR="00E927D8">
        <w:rPr>
          <w:rFonts w:ascii="Sylfaen" w:hAnsi="Sylfaen"/>
          <w:lang w:val="ka-GE"/>
        </w:rPr>
        <w:t>მა 2021 წლის იანვარ-მარტში გამართულ სამუშაო შეხვედრებზე</w:t>
      </w:r>
      <w:r w:rsidRPr="00ED25B6">
        <w:rPr>
          <w:rFonts w:ascii="Sylfaen" w:hAnsi="Sylfaen"/>
          <w:lang w:val="ka-GE"/>
        </w:rPr>
        <w:t xml:space="preserve"> </w:t>
      </w:r>
      <w:r w:rsidR="00E927D8">
        <w:rPr>
          <w:rFonts w:ascii="Sylfaen" w:hAnsi="Sylfaen"/>
          <w:lang w:val="ka-GE"/>
        </w:rPr>
        <w:t>წარმოადგინეს</w:t>
      </w:r>
      <w:r w:rsidR="00E927D8" w:rsidRPr="00ED25B6">
        <w:rPr>
          <w:rFonts w:ascii="Sylfaen" w:hAnsi="Sylfaen"/>
          <w:lang w:val="ka-GE"/>
        </w:rPr>
        <w:t xml:space="preserve"> </w:t>
      </w:r>
      <w:r w:rsidR="00EF4210" w:rsidRPr="00ED25B6">
        <w:rPr>
          <w:rFonts w:ascii="Sylfaen" w:hAnsi="Sylfaen"/>
          <w:lang w:val="ka-GE"/>
        </w:rPr>
        <w:t xml:space="preserve"> პოზიცია, რომ</w:t>
      </w:r>
      <w:r w:rsidR="008E07DD" w:rsidRPr="00ED25B6">
        <w:rPr>
          <w:rFonts w:ascii="Sylfaen" w:hAnsi="Sylfaen"/>
          <w:lang w:val="ka-GE"/>
        </w:rPr>
        <w:t xml:space="preserve"> </w:t>
      </w:r>
      <w:r w:rsidRPr="00ED25B6">
        <w:rPr>
          <w:rFonts w:ascii="Sylfaen" w:hAnsi="Sylfaen"/>
          <w:lang w:val="ka-GE"/>
        </w:rPr>
        <w:t>აღნიშნული პროცენტი არ არის საკმარისი სატელეკომუნიკაციო ბაზარზე არსებული სასესხო მოთხოვნის დასაკმაყოფილებლად</w:t>
      </w:r>
      <w:r w:rsidR="00E927D8">
        <w:rPr>
          <w:rFonts w:ascii="Sylfaen" w:hAnsi="Sylfaen"/>
          <w:lang w:val="ka-GE"/>
        </w:rPr>
        <w:t>.</w:t>
      </w:r>
      <w:r w:rsidRPr="00ED25B6">
        <w:rPr>
          <w:rFonts w:ascii="Sylfaen" w:hAnsi="Sylfaen"/>
          <w:lang w:val="ka-GE"/>
        </w:rPr>
        <w:t xml:space="preserve"> კონკრეტულად</w:t>
      </w:r>
      <w:r w:rsidR="00E927D8">
        <w:rPr>
          <w:rFonts w:ascii="Sylfaen" w:hAnsi="Sylfaen"/>
          <w:lang w:val="ka-GE"/>
        </w:rPr>
        <w:t>,</w:t>
      </w:r>
      <w:r w:rsidRPr="00ED25B6">
        <w:rPr>
          <w:rFonts w:ascii="Sylfaen" w:hAnsi="Sylfaen"/>
          <w:lang w:val="ka-GE"/>
        </w:rPr>
        <w:t xml:space="preserve"> ოპერატორები აღნიშნავენ, რომ საქართველოს ბაზარზე შეუძლებელია დიდი მოცულობის სესხების ათვისება, რის გამოც საჭირო ხდება სესხის მოზიდვა საერთაშორისო ბაზრებიდან უცხოურ </w:t>
      </w:r>
      <w:r w:rsidR="006C4B8E" w:rsidRPr="00ED25B6">
        <w:rPr>
          <w:rFonts w:ascii="Sylfaen" w:hAnsi="Sylfaen"/>
          <w:lang w:val="ka-GE"/>
        </w:rPr>
        <w:t>ვალუტაში</w:t>
      </w:r>
      <w:r w:rsidR="006C4B8E" w:rsidRPr="00ED25B6">
        <w:rPr>
          <w:rFonts w:ascii="Sylfaen" w:hAnsi="Sylfaen"/>
          <w:lang w:val="en-GB"/>
        </w:rPr>
        <w:t xml:space="preserve"> </w:t>
      </w:r>
      <w:r w:rsidR="006C4B8E" w:rsidRPr="00ED25B6">
        <w:rPr>
          <w:rFonts w:ascii="Sylfaen" w:hAnsi="Sylfaen"/>
          <w:lang w:val="ka-GE"/>
        </w:rPr>
        <w:t xml:space="preserve">და </w:t>
      </w:r>
      <w:r w:rsidR="009B2218" w:rsidRPr="00ED25B6">
        <w:rPr>
          <w:rFonts w:ascii="Sylfaen" w:hAnsi="Sylfaen"/>
          <w:lang w:val="ka-GE"/>
        </w:rPr>
        <w:t>შემოთავაზებულ იქნა</w:t>
      </w:r>
      <w:r w:rsidR="00202F94" w:rsidRPr="00ED25B6">
        <w:rPr>
          <w:rFonts w:ascii="Sylfaen" w:hAnsi="Sylfaen"/>
          <w:lang w:val="ka-GE"/>
        </w:rPr>
        <w:t>, რომ</w:t>
      </w:r>
      <w:r w:rsidR="009B2218" w:rsidRPr="00ED25B6">
        <w:rPr>
          <w:rFonts w:ascii="Sylfaen" w:hAnsi="Sylfaen"/>
          <w:lang w:val="ka-GE"/>
        </w:rPr>
        <w:t xml:space="preserve"> კომისიამ განიხილოს</w:t>
      </w:r>
      <w:r w:rsidR="004E591B" w:rsidRPr="00ED25B6">
        <w:rPr>
          <w:rFonts w:ascii="Sylfaen" w:hAnsi="Sylfaen"/>
          <w:lang w:val="ka-GE"/>
        </w:rPr>
        <w:t xml:space="preserve"> </w:t>
      </w:r>
      <w:r w:rsidR="00FF0072" w:rsidRPr="00ED25B6">
        <w:rPr>
          <w:rFonts w:ascii="Sylfaen" w:hAnsi="Sylfaen"/>
          <w:lang w:val="ka-GE"/>
        </w:rPr>
        <w:t xml:space="preserve">სეგმენტზე </w:t>
      </w:r>
      <w:r w:rsidR="00EF4210" w:rsidRPr="00ED25B6">
        <w:rPr>
          <w:rFonts w:ascii="Sylfaen" w:hAnsi="Sylfaen"/>
          <w:lang w:val="ka-GE"/>
        </w:rPr>
        <w:t xml:space="preserve">ფაქტობრივად </w:t>
      </w:r>
      <w:r w:rsidR="00FF0072" w:rsidRPr="00ED25B6">
        <w:rPr>
          <w:rFonts w:ascii="Sylfaen" w:hAnsi="Sylfaen"/>
          <w:lang w:val="ka-GE"/>
        </w:rPr>
        <w:t xml:space="preserve"> გაცემული სესხების</w:t>
      </w:r>
      <w:r w:rsidR="0043591B" w:rsidRPr="00ED25B6">
        <w:rPr>
          <w:rFonts w:ascii="Sylfaen" w:hAnsi="Sylfaen"/>
          <w:lang w:val="ka-GE"/>
        </w:rPr>
        <w:t xml:space="preserve"> მოცულობა</w:t>
      </w:r>
      <w:r w:rsidR="0077382C" w:rsidRPr="00ED25B6">
        <w:rPr>
          <w:rFonts w:ascii="Sylfaen" w:hAnsi="Sylfaen"/>
          <w:lang w:val="ka-GE"/>
        </w:rPr>
        <w:t xml:space="preserve"> და</w:t>
      </w:r>
      <w:r w:rsidR="00FF0072" w:rsidRPr="00ED25B6">
        <w:rPr>
          <w:rFonts w:ascii="Sylfaen" w:hAnsi="Sylfaen"/>
          <w:lang w:val="ka-GE"/>
        </w:rPr>
        <w:t xml:space="preserve"> საპროცენტო განაკვეთი.</w:t>
      </w:r>
      <w:r w:rsidR="001C4011" w:rsidRPr="00ED25B6">
        <w:rPr>
          <w:rFonts w:ascii="Sylfaen" w:hAnsi="Sylfaen"/>
          <w:lang w:val="ka-GE"/>
        </w:rPr>
        <w:t xml:space="preserve"> </w:t>
      </w:r>
      <w:r w:rsidR="001C4011" w:rsidRPr="00523544">
        <w:rPr>
          <w:rFonts w:ascii="Sylfaen" w:hAnsi="Sylfaen"/>
          <w:lang w:val="ka-GE"/>
        </w:rPr>
        <w:t>ასევე,</w:t>
      </w:r>
      <w:r w:rsidR="00E927D8" w:rsidRPr="00523544">
        <w:rPr>
          <w:rFonts w:ascii="Sylfaen" w:hAnsi="Sylfaen"/>
        </w:rPr>
        <w:t xml:space="preserve"> </w:t>
      </w:r>
      <w:r w:rsidR="00E927D8" w:rsidRPr="00523544">
        <w:rPr>
          <w:rFonts w:ascii="Sylfaen" w:hAnsi="Sylfaen"/>
          <w:lang w:val="ka-GE"/>
        </w:rPr>
        <w:t>სს „</w:t>
      </w:r>
      <w:proofErr w:type="spellStart"/>
      <w:r w:rsidR="00E927D8" w:rsidRPr="00523544">
        <w:rPr>
          <w:rFonts w:ascii="Sylfaen" w:hAnsi="Sylfaen"/>
          <w:lang w:val="ka-GE"/>
        </w:rPr>
        <w:t>სილქნეტ</w:t>
      </w:r>
      <w:r w:rsidR="00245A5B" w:rsidRPr="00523544">
        <w:rPr>
          <w:rFonts w:ascii="Sylfaen" w:hAnsi="Sylfaen"/>
          <w:lang w:val="ka-GE"/>
        </w:rPr>
        <w:t>ის</w:t>
      </w:r>
      <w:proofErr w:type="spellEnd"/>
      <w:r w:rsidR="00E927D8" w:rsidRPr="00523544">
        <w:rPr>
          <w:rFonts w:ascii="Sylfaen" w:hAnsi="Sylfaen"/>
          <w:lang w:val="ka-GE"/>
        </w:rPr>
        <w:t>“ 2022 წლის 18 აპრილის</w:t>
      </w:r>
      <w:r w:rsidR="00E927D8" w:rsidRPr="00523544">
        <w:rPr>
          <w:rFonts w:ascii="Sylfaen" w:hAnsi="Sylfaen"/>
          <w:lang w:val="en-GB"/>
        </w:rPr>
        <w:t xml:space="preserve"> </w:t>
      </w:r>
      <w:r w:rsidR="00245A5B" w:rsidRPr="00523544">
        <w:rPr>
          <w:rFonts w:ascii="Sylfaen" w:hAnsi="Sylfaen"/>
          <w:lang w:val="ka-GE"/>
        </w:rPr>
        <w:t xml:space="preserve">წერილის </w:t>
      </w:r>
      <w:r w:rsidR="00E927D8" w:rsidRPr="00523544">
        <w:rPr>
          <w:rFonts w:ascii="Sylfaen" w:hAnsi="Sylfaen"/>
          <w:lang w:val="ka-GE"/>
        </w:rPr>
        <w:t>(შ-22-6/1531)</w:t>
      </w:r>
      <w:r w:rsidR="00245A5B" w:rsidRPr="00523544">
        <w:rPr>
          <w:rFonts w:ascii="Sylfaen" w:hAnsi="Sylfaen"/>
          <w:lang w:val="ka-GE"/>
        </w:rPr>
        <w:t xml:space="preserve"> დანართით წარმოდგენილ </w:t>
      </w:r>
      <w:r w:rsidR="00245A5B" w:rsidRPr="00523544">
        <w:rPr>
          <w:rFonts w:ascii="Sylfaen" w:hAnsi="Sylfaen"/>
        </w:rPr>
        <w:t xml:space="preserve">WACC </w:t>
      </w:r>
      <w:r w:rsidR="00245A5B" w:rsidRPr="00523544">
        <w:rPr>
          <w:rFonts w:ascii="Sylfaen" w:hAnsi="Sylfaen"/>
          <w:lang w:val="ka-GE"/>
        </w:rPr>
        <w:t xml:space="preserve">კალკულაციაში </w:t>
      </w:r>
      <w:r w:rsidR="001C4011" w:rsidRPr="00523544">
        <w:rPr>
          <w:rFonts w:ascii="Sylfaen" w:hAnsi="Sylfaen"/>
          <w:lang w:val="ka-GE"/>
        </w:rPr>
        <w:t>დამატებით შემოთავაზებულია</w:t>
      </w:r>
      <w:r w:rsidR="00386634" w:rsidRPr="00523544">
        <w:rPr>
          <w:rFonts w:ascii="Sylfaen" w:hAnsi="Sylfaen"/>
          <w:lang w:val="ka-GE"/>
        </w:rPr>
        <w:t xml:space="preserve"> ჰიპოთეტური </w:t>
      </w:r>
      <w:r w:rsidR="006868A2" w:rsidRPr="00523544">
        <w:rPr>
          <w:rFonts w:ascii="Sylfaen" w:hAnsi="Sylfaen"/>
          <w:lang w:val="ka-GE"/>
        </w:rPr>
        <w:t xml:space="preserve">სასესხო განაკვეთის </w:t>
      </w:r>
      <w:r w:rsidR="00B704A8" w:rsidRPr="00523544">
        <w:rPr>
          <w:rFonts w:ascii="Sylfaen" w:hAnsi="Sylfaen"/>
          <w:lang w:val="ka-GE"/>
        </w:rPr>
        <w:t xml:space="preserve">გამოთვლა </w:t>
      </w:r>
      <w:proofErr w:type="spellStart"/>
      <w:r w:rsidR="00B704A8" w:rsidRPr="00523544">
        <w:rPr>
          <w:rFonts w:ascii="Sylfaen" w:hAnsi="Sylfaen"/>
          <w:lang w:val="ka-GE"/>
        </w:rPr>
        <w:t>ე.წ</w:t>
      </w:r>
      <w:proofErr w:type="spellEnd"/>
      <w:r w:rsidR="00B704A8" w:rsidRPr="00523544">
        <w:rPr>
          <w:rFonts w:ascii="Sylfaen" w:hAnsi="Sylfaen"/>
          <w:lang w:val="ka-GE"/>
        </w:rPr>
        <w:t>. „</w:t>
      </w:r>
      <w:r w:rsidR="00B704A8" w:rsidRPr="00523544">
        <w:rPr>
          <w:rFonts w:ascii="Sylfaen" w:hAnsi="Sylfaen"/>
          <w:lang w:val="en-GB"/>
        </w:rPr>
        <w:t>build-up”</w:t>
      </w:r>
      <w:r w:rsidR="00C96FE2" w:rsidRPr="00523544">
        <w:rPr>
          <w:rFonts w:ascii="Sylfaen" w:hAnsi="Sylfaen"/>
          <w:lang w:val="ka-GE"/>
        </w:rPr>
        <w:t xml:space="preserve"> მეთოდით, რომელიც</w:t>
      </w:r>
      <w:r w:rsidR="00782730" w:rsidRPr="00523544">
        <w:rPr>
          <w:rFonts w:ascii="Sylfaen" w:hAnsi="Sylfaen"/>
          <w:lang w:val="ka-GE"/>
        </w:rPr>
        <w:t>,</w:t>
      </w:r>
      <w:r w:rsidR="004A530A" w:rsidRPr="00523544">
        <w:rPr>
          <w:rFonts w:ascii="Sylfaen" w:hAnsi="Sylfaen"/>
          <w:lang w:val="ka-GE"/>
        </w:rPr>
        <w:t xml:space="preserve"> თავის მხრივ</w:t>
      </w:r>
      <w:r w:rsidR="00782730" w:rsidRPr="00523544">
        <w:rPr>
          <w:rFonts w:ascii="Sylfaen" w:hAnsi="Sylfaen"/>
          <w:lang w:val="ka-GE"/>
        </w:rPr>
        <w:t>,</w:t>
      </w:r>
      <w:r w:rsidR="004A530A" w:rsidRPr="00523544">
        <w:rPr>
          <w:rFonts w:ascii="Sylfaen" w:hAnsi="Sylfaen"/>
          <w:lang w:val="ka-GE"/>
        </w:rPr>
        <w:t xml:space="preserve"> ითვალისწინებს საქართ</w:t>
      </w:r>
      <w:r w:rsidR="00FC6264" w:rsidRPr="00523544">
        <w:rPr>
          <w:rFonts w:ascii="Sylfaen" w:hAnsi="Sylfaen"/>
          <w:lang w:val="ka-GE"/>
        </w:rPr>
        <w:t>ვ</w:t>
      </w:r>
      <w:r w:rsidR="004A530A" w:rsidRPr="00523544">
        <w:rPr>
          <w:rFonts w:ascii="Sylfaen" w:hAnsi="Sylfaen"/>
          <w:lang w:val="ka-GE"/>
        </w:rPr>
        <w:t>ელოს ტელეკომ ოპერატორების საკრედიტო</w:t>
      </w:r>
      <w:r w:rsidR="00FC6264" w:rsidRPr="00523544">
        <w:rPr>
          <w:rFonts w:ascii="Sylfaen" w:hAnsi="Sylfaen"/>
          <w:lang w:val="ka-GE"/>
        </w:rPr>
        <w:t xml:space="preserve"> რეიტინგს და რეიტინგის შესაბამის</w:t>
      </w:r>
      <w:r w:rsidR="00F90C38" w:rsidRPr="00523544">
        <w:rPr>
          <w:rFonts w:ascii="Sylfaen" w:hAnsi="Sylfaen"/>
          <w:lang w:val="ka-GE"/>
        </w:rPr>
        <w:t xml:space="preserve"> რისკის პრემიუმს ამატებს ურისკო საპროცენტო განაკვეთს</w:t>
      </w:r>
      <w:r w:rsidR="00162626" w:rsidRPr="00523544">
        <w:rPr>
          <w:rFonts w:ascii="Sylfaen" w:hAnsi="Sylfaen"/>
          <w:lang w:val="ka-GE"/>
        </w:rPr>
        <w:t>.</w:t>
      </w:r>
      <w:r w:rsidR="00C96FE2" w:rsidRPr="00ED25B6">
        <w:rPr>
          <w:rFonts w:ascii="Sylfaen" w:hAnsi="Sylfaen"/>
          <w:lang w:val="ka-GE"/>
        </w:rPr>
        <w:t xml:space="preserve"> </w:t>
      </w:r>
      <w:r w:rsidR="006F18D3" w:rsidRPr="00ED25B6">
        <w:rPr>
          <w:rFonts w:ascii="Sylfaen" w:hAnsi="Sylfaen"/>
          <w:lang w:val="ka-GE"/>
        </w:rPr>
        <w:t xml:space="preserve"> </w:t>
      </w:r>
    </w:p>
    <w:p w14:paraId="708418C1" w14:textId="55363A9D" w:rsidR="00B2451E" w:rsidRDefault="0053074B" w:rsidP="00646F3A">
      <w:pPr>
        <w:jc w:val="both"/>
        <w:rPr>
          <w:rFonts w:ascii="Sylfaen" w:hAnsi="Sylfaen"/>
          <w:lang w:val="ka-GE"/>
        </w:rPr>
      </w:pPr>
      <w:r w:rsidRPr="00A93D2C">
        <w:rPr>
          <w:rFonts w:ascii="Sylfaen" w:hAnsi="Sylfaen"/>
          <w:lang w:val="ka-GE"/>
        </w:rPr>
        <w:t>ზემო</w:t>
      </w:r>
      <w:r w:rsidR="00C477E9" w:rsidRPr="00A93D2C">
        <w:rPr>
          <w:rFonts w:ascii="Sylfaen" w:hAnsi="Sylfaen"/>
          <w:lang w:val="ka-GE"/>
        </w:rPr>
        <w:t>აღნიშნული კომენტარი</w:t>
      </w:r>
      <w:r w:rsidRPr="00A93D2C">
        <w:rPr>
          <w:rFonts w:ascii="Sylfaen" w:hAnsi="Sylfaen"/>
          <w:lang w:val="ka-GE"/>
        </w:rPr>
        <w:t xml:space="preserve"> კომისი</w:t>
      </w:r>
      <w:r w:rsidR="00420D3B">
        <w:rPr>
          <w:rFonts w:ascii="Sylfaen" w:hAnsi="Sylfaen"/>
          <w:lang w:val="ka-GE"/>
        </w:rPr>
        <w:t>ამ</w:t>
      </w:r>
      <w:r w:rsidRPr="00A93D2C">
        <w:rPr>
          <w:rFonts w:ascii="Sylfaen" w:hAnsi="Sylfaen"/>
          <w:lang w:val="ka-GE"/>
        </w:rPr>
        <w:t xml:space="preserve"> </w:t>
      </w:r>
      <w:r w:rsidR="00C477E9" w:rsidRPr="00A93D2C">
        <w:rPr>
          <w:rFonts w:ascii="Sylfaen" w:hAnsi="Sylfaen"/>
          <w:lang w:val="ka-GE"/>
        </w:rPr>
        <w:t>მიიჩნია დამატებითი ანალიზის საფუძვლად</w:t>
      </w:r>
      <w:r w:rsidR="001844B3" w:rsidRPr="00A93D2C">
        <w:rPr>
          <w:rFonts w:ascii="Sylfaen" w:hAnsi="Sylfaen"/>
          <w:lang w:val="ka-GE"/>
        </w:rPr>
        <w:t>.</w:t>
      </w:r>
      <w:r w:rsidR="00C477E9" w:rsidRPr="00A93D2C">
        <w:rPr>
          <w:rFonts w:ascii="Sylfaen" w:hAnsi="Sylfaen"/>
          <w:lang w:val="ka-GE"/>
        </w:rPr>
        <w:t xml:space="preserve"> </w:t>
      </w:r>
      <w:r w:rsidR="007972B2" w:rsidRPr="00A93D2C">
        <w:rPr>
          <w:rFonts w:ascii="Sylfaen" w:hAnsi="Sylfaen"/>
          <w:lang w:val="ka-GE"/>
        </w:rPr>
        <w:t xml:space="preserve">ამ  მიზნით საქართველოს ეროვნული ბანკისგან </w:t>
      </w:r>
      <w:r w:rsidR="00C477E9" w:rsidRPr="00A93D2C">
        <w:rPr>
          <w:rFonts w:ascii="Sylfaen" w:hAnsi="Sylfaen"/>
          <w:lang w:val="ka-GE"/>
        </w:rPr>
        <w:t>გამოთხოვილ იქნა უფრო დეტალური მონაცემები</w:t>
      </w:r>
      <w:r w:rsidR="00C04C1E" w:rsidRPr="00A93D2C">
        <w:rPr>
          <w:rFonts w:ascii="Sylfaen" w:hAnsi="Sylfaen"/>
          <w:lang w:val="ka-GE"/>
        </w:rPr>
        <w:t xml:space="preserve"> კომერციული ბანკების მიერ</w:t>
      </w:r>
      <w:r w:rsidR="00C477E9" w:rsidRPr="00A93D2C">
        <w:rPr>
          <w:rFonts w:ascii="Sylfaen" w:hAnsi="Sylfaen"/>
          <w:lang w:val="ka-GE"/>
        </w:rPr>
        <w:t xml:space="preserve"> ტელეკომუნიკაციების </w:t>
      </w:r>
      <w:r w:rsidR="003212E0" w:rsidRPr="00A93D2C">
        <w:rPr>
          <w:rFonts w:ascii="Sylfaen" w:hAnsi="Sylfaen"/>
          <w:lang w:val="ka-GE"/>
        </w:rPr>
        <w:t xml:space="preserve">სექტორზე </w:t>
      </w:r>
      <w:r w:rsidR="007972B2" w:rsidRPr="00A93D2C">
        <w:rPr>
          <w:rFonts w:ascii="Sylfaen" w:hAnsi="Sylfaen"/>
          <w:lang w:val="ka-GE"/>
        </w:rPr>
        <w:t xml:space="preserve"> </w:t>
      </w:r>
      <w:r w:rsidR="00C477E9" w:rsidRPr="00A93D2C">
        <w:rPr>
          <w:rFonts w:ascii="Sylfaen" w:hAnsi="Sylfaen"/>
          <w:lang w:val="ka-GE"/>
        </w:rPr>
        <w:t>გაცემულ სესხებზე</w:t>
      </w:r>
      <w:r w:rsidR="007972B2" w:rsidRPr="00A93D2C">
        <w:rPr>
          <w:rFonts w:ascii="Sylfaen" w:hAnsi="Sylfaen"/>
          <w:lang w:val="ka-GE"/>
        </w:rPr>
        <w:t>.</w:t>
      </w:r>
      <w:r w:rsidR="009814F4" w:rsidRPr="00A93D2C">
        <w:rPr>
          <w:rFonts w:ascii="Sylfaen" w:hAnsi="Sylfaen"/>
          <w:lang w:val="ka-GE"/>
        </w:rPr>
        <w:t xml:space="preserve"> კერძოდ, კომისია</w:t>
      </w:r>
      <w:r w:rsidR="00DB1FC1" w:rsidRPr="00A93D2C">
        <w:rPr>
          <w:rFonts w:ascii="Sylfaen" w:hAnsi="Sylfaen"/>
          <w:lang w:val="ka-GE"/>
        </w:rPr>
        <w:t>მ</w:t>
      </w:r>
      <w:r w:rsidR="00BD1C52" w:rsidRPr="00A93D2C">
        <w:rPr>
          <w:rFonts w:ascii="Sylfaen" w:hAnsi="Sylfaen"/>
          <w:lang w:val="ka-GE"/>
        </w:rPr>
        <w:t xml:space="preserve"> რეკომენდაციის შესაბამისად </w:t>
      </w:r>
      <w:r w:rsidR="00EF4210" w:rsidRPr="00A93D2C">
        <w:rPr>
          <w:rFonts w:ascii="Sylfaen" w:hAnsi="Sylfaen"/>
          <w:lang w:val="ka-GE"/>
        </w:rPr>
        <w:t>გააანალიზა</w:t>
      </w:r>
      <w:r w:rsidR="00BD1C52" w:rsidRPr="00A93D2C">
        <w:rPr>
          <w:rFonts w:ascii="Sylfaen" w:hAnsi="Sylfaen"/>
          <w:lang w:val="ka-GE"/>
        </w:rPr>
        <w:t xml:space="preserve"> ლარში გაცემული სესხების საპროცენტო განაკვეთ</w:t>
      </w:r>
      <w:r w:rsidR="00EF4210" w:rsidRPr="00A93D2C">
        <w:rPr>
          <w:rFonts w:ascii="Sylfaen" w:hAnsi="Sylfaen"/>
          <w:lang w:val="ka-GE"/>
        </w:rPr>
        <w:t>ი</w:t>
      </w:r>
      <w:r w:rsidR="00BD1C52" w:rsidRPr="00A93D2C">
        <w:rPr>
          <w:rFonts w:ascii="Sylfaen" w:hAnsi="Sylfaen"/>
          <w:lang w:val="ka-GE"/>
        </w:rPr>
        <w:t xml:space="preserve">, რადგან </w:t>
      </w:r>
      <w:r w:rsidR="002108D8" w:rsidRPr="00A93D2C">
        <w:rPr>
          <w:rFonts w:ascii="Sylfaen" w:hAnsi="Sylfaen"/>
          <w:lang w:val="ka-GE"/>
        </w:rPr>
        <w:t>იგი სავალუტო რისკსაც მოიცავს.</w:t>
      </w:r>
      <w:r w:rsidR="00C477E9" w:rsidRPr="00A93D2C">
        <w:rPr>
          <w:rFonts w:ascii="Sylfaen" w:hAnsi="Sylfaen"/>
          <w:lang w:val="ka-GE"/>
        </w:rPr>
        <w:t xml:space="preserve"> </w:t>
      </w:r>
      <w:r w:rsidR="00B257E4" w:rsidRPr="00A93D2C">
        <w:rPr>
          <w:rFonts w:ascii="Sylfaen" w:hAnsi="Sylfaen"/>
          <w:lang w:val="ka-GE"/>
        </w:rPr>
        <w:t xml:space="preserve">წარმოდგენილი ინფორმაციის შესწავლის შედეგად გამოიკვეთა, რომ </w:t>
      </w:r>
      <w:r w:rsidR="00B2451E" w:rsidRPr="00A93D2C">
        <w:rPr>
          <w:rFonts w:ascii="Sylfaen" w:hAnsi="Sylfaen"/>
          <w:lang w:val="ka-GE"/>
        </w:rPr>
        <w:t>იგი შესაბამისობაში</w:t>
      </w:r>
      <w:r w:rsidR="00A80E94" w:rsidRPr="00A93D2C">
        <w:rPr>
          <w:rFonts w:ascii="Sylfaen" w:hAnsi="Sylfaen"/>
          <w:lang w:val="en-GB"/>
        </w:rPr>
        <w:t xml:space="preserve"> </w:t>
      </w:r>
      <w:r w:rsidR="00B2451E" w:rsidRPr="00A93D2C">
        <w:rPr>
          <w:rFonts w:ascii="Sylfaen" w:hAnsi="Sylfaen"/>
          <w:lang w:val="ka-GE"/>
        </w:rPr>
        <w:t xml:space="preserve">არ მოდის </w:t>
      </w:r>
      <w:r w:rsidR="00B2451E" w:rsidRPr="00A93D2C">
        <w:rPr>
          <w:rFonts w:ascii="Sylfaen" w:hAnsi="Sylfaen"/>
        </w:rPr>
        <w:t xml:space="preserve">WACC </w:t>
      </w:r>
      <w:r w:rsidR="00B2451E" w:rsidRPr="00A93D2C">
        <w:rPr>
          <w:rFonts w:ascii="Sylfaen" w:hAnsi="Sylfaen"/>
          <w:lang w:val="ka-GE"/>
        </w:rPr>
        <w:t>კალკულაციის მიზნებ</w:t>
      </w:r>
      <w:r w:rsidR="007E6FBE" w:rsidRPr="00A93D2C">
        <w:rPr>
          <w:rFonts w:ascii="Sylfaen" w:hAnsi="Sylfaen"/>
          <w:lang w:val="ka-GE"/>
        </w:rPr>
        <w:t>თან; კერძოდ,</w:t>
      </w:r>
      <w:r w:rsidR="00B2451E" w:rsidRPr="00A93D2C">
        <w:rPr>
          <w:rFonts w:ascii="Sylfaen" w:hAnsi="Sylfaen"/>
          <w:lang w:val="ka-GE"/>
        </w:rPr>
        <w:t xml:space="preserve"> ტელეკომუნიკაციების სექტორის ეფექტიანი ოპერატორის </w:t>
      </w:r>
      <w:r w:rsidR="007E6FBE" w:rsidRPr="00A93D2C">
        <w:rPr>
          <w:rFonts w:ascii="Sylfaen" w:hAnsi="Sylfaen"/>
          <w:lang w:val="ka-GE"/>
        </w:rPr>
        <w:t>სესხის ღირებულებასთან</w:t>
      </w:r>
      <w:r w:rsidR="00B2451E" w:rsidRPr="00A93D2C">
        <w:rPr>
          <w:rFonts w:ascii="Sylfaen" w:hAnsi="Sylfaen"/>
          <w:lang w:val="ka-GE"/>
        </w:rPr>
        <w:t>:</w:t>
      </w:r>
    </w:p>
    <w:p w14:paraId="18919D0E" w14:textId="77777777" w:rsidR="00B2451E" w:rsidRPr="00BC3BC7" w:rsidRDefault="00B2451E" w:rsidP="00646F3A">
      <w:pPr>
        <w:pStyle w:val="ListParagraph"/>
        <w:numPr>
          <w:ilvl w:val="0"/>
          <w:numId w:val="10"/>
        </w:numPr>
        <w:jc w:val="both"/>
        <w:rPr>
          <w:rFonts w:ascii="Sylfaen" w:hAnsi="Sylfaen"/>
          <w:lang w:val="ka-GE"/>
        </w:rPr>
      </w:pPr>
      <w:r w:rsidRPr="00BC3BC7">
        <w:rPr>
          <w:rFonts w:ascii="Sylfaen" w:hAnsi="Sylfaen"/>
          <w:lang w:val="ka-GE"/>
        </w:rPr>
        <w:t>ი</w:t>
      </w:r>
      <w:r w:rsidR="00E51225" w:rsidRPr="00BC3BC7">
        <w:rPr>
          <w:rFonts w:ascii="Sylfaen" w:hAnsi="Sylfaen"/>
          <w:lang w:val="ka-GE"/>
        </w:rPr>
        <w:t>გი ასახავს</w:t>
      </w:r>
      <w:r w:rsidR="00B3574C" w:rsidRPr="00BC3BC7">
        <w:rPr>
          <w:rFonts w:ascii="Sylfaen" w:hAnsi="Sylfaen"/>
          <w:lang w:val="ka-GE"/>
        </w:rPr>
        <w:t xml:space="preserve"> არა მარტო  ტელეკომუნიკაციების სექტორის მაჩვენებელს, არამედ ტელე-მაუწყებლობის სეგმენტსაც. </w:t>
      </w:r>
    </w:p>
    <w:p w14:paraId="6B96B423" w14:textId="1F724901" w:rsidR="00C477E9" w:rsidRPr="00BC3BC7" w:rsidRDefault="00B3574C" w:rsidP="00646F3A">
      <w:pPr>
        <w:pStyle w:val="ListParagraph"/>
        <w:numPr>
          <w:ilvl w:val="0"/>
          <w:numId w:val="10"/>
        </w:numPr>
        <w:jc w:val="both"/>
        <w:rPr>
          <w:rFonts w:ascii="Sylfaen" w:hAnsi="Sylfaen"/>
          <w:lang w:val="ka-GE"/>
        </w:rPr>
      </w:pPr>
      <w:r w:rsidRPr="00BC3BC7">
        <w:rPr>
          <w:rFonts w:ascii="Sylfaen" w:hAnsi="Sylfaen"/>
          <w:lang w:val="ka-GE"/>
        </w:rPr>
        <w:t xml:space="preserve">გარდა ამისა, სესხების კლასიფიკაცია ხდება არა სესხის მიზნობრიობის, არამედ სესხის დაფარვის წყაროს მიხევდით. </w:t>
      </w:r>
    </w:p>
    <w:p w14:paraId="7E676940" w14:textId="7346D674" w:rsidR="00B2451E" w:rsidRDefault="004F27B3" w:rsidP="00646F3A">
      <w:pPr>
        <w:pStyle w:val="ListParagraph"/>
        <w:numPr>
          <w:ilvl w:val="0"/>
          <w:numId w:val="10"/>
        </w:numPr>
        <w:jc w:val="both"/>
        <w:rPr>
          <w:rFonts w:ascii="Sylfaen" w:hAnsi="Sylfaen"/>
          <w:lang w:val="ka-GE"/>
        </w:rPr>
      </w:pPr>
      <w:r w:rsidRPr="00BC3BC7">
        <w:rPr>
          <w:rFonts w:ascii="Sylfaen" w:hAnsi="Sylfaen"/>
          <w:lang w:val="ka-GE"/>
        </w:rPr>
        <w:t xml:space="preserve">არ წარმოადგენს </w:t>
      </w:r>
      <w:r w:rsidR="0039303D">
        <w:rPr>
          <w:rFonts w:ascii="Sylfaen" w:hAnsi="Sylfaen"/>
          <w:lang w:val="ka-GE"/>
        </w:rPr>
        <w:t>ბაზარზე მსხვილი მოთამაშეების</w:t>
      </w:r>
      <w:r w:rsidRPr="00BC3BC7">
        <w:rPr>
          <w:rFonts w:ascii="Sylfaen" w:hAnsi="Sylfaen"/>
          <w:lang w:val="ka-GE"/>
        </w:rPr>
        <w:t xml:space="preserve"> სესხის ღირებულებას, არამედ იგი ასახავს მცირე ზომის ოპერატორების </w:t>
      </w:r>
      <w:r w:rsidR="00475F45">
        <w:rPr>
          <w:rFonts w:ascii="Sylfaen" w:hAnsi="Sylfaen"/>
          <w:lang w:val="ka-GE"/>
        </w:rPr>
        <w:t>სესხის ხარჯს</w:t>
      </w:r>
      <w:r w:rsidRPr="00BC3BC7">
        <w:rPr>
          <w:rFonts w:ascii="Sylfaen" w:hAnsi="Sylfaen"/>
          <w:lang w:val="ka-GE"/>
        </w:rPr>
        <w:t>.</w:t>
      </w:r>
    </w:p>
    <w:p w14:paraId="15881349" w14:textId="636FED57" w:rsidR="00794665" w:rsidRDefault="00794665" w:rsidP="00646F3A">
      <w:pPr>
        <w:pStyle w:val="ListParagraph"/>
        <w:jc w:val="both"/>
        <w:rPr>
          <w:rFonts w:ascii="Sylfaen" w:hAnsi="Sylfaen"/>
          <w:lang w:val="en-GB"/>
        </w:rPr>
      </w:pPr>
    </w:p>
    <w:p w14:paraId="57F101FD" w14:textId="71D8D7DB" w:rsidR="001D71F7" w:rsidRPr="00BC3BC7" w:rsidRDefault="001D71F7" w:rsidP="00646F3A">
      <w:pPr>
        <w:pStyle w:val="ListParagraph"/>
        <w:ind w:left="0"/>
        <w:jc w:val="both"/>
        <w:rPr>
          <w:rFonts w:ascii="Sylfaen" w:hAnsi="Sylfaen"/>
          <w:lang w:val="en-GB"/>
        </w:rPr>
      </w:pPr>
      <w:r>
        <w:rPr>
          <w:rFonts w:ascii="Sylfaen" w:hAnsi="Sylfaen"/>
          <w:lang w:val="ka-GE"/>
        </w:rPr>
        <w:t>მონაცემების მიხედვით, ლარში გაცემული სატელეკომუნიკაციო სექტორის სესხების საშუალო საპროცენტო განაკვეთი</w:t>
      </w:r>
      <w:r w:rsidRPr="00A57A6F">
        <w:rPr>
          <w:rFonts w:ascii="Sylfaen" w:hAnsi="Sylfaen"/>
          <w:color w:val="FF0000"/>
          <w:lang w:val="ka-GE"/>
        </w:rPr>
        <w:t xml:space="preserve"> </w:t>
      </w:r>
      <w:r w:rsidRPr="00F5432B">
        <w:rPr>
          <w:rFonts w:ascii="Sylfaen" w:hAnsi="Sylfaen"/>
          <w:lang w:val="ka-GE"/>
        </w:rPr>
        <w:t xml:space="preserve">2019 წლის ოქტომბრიდან 2020 წლის სექტემბრის ჩათვლით </w:t>
      </w:r>
      <w:r>
        <w:rPr>
          <w:rFonts w:ascii="Sylfaen" w:hAnsi="Sylfaen"/>
          <w:lang w:val="ka-GE"/>
        </w:rPr>
        <w:t xml:space="preserve">საშუალოდ </w:t>
      </w:r>
      <w:r w:rsidRPr="00F5432B">
        <w:rPr>
          <w:rFonts w:ascii="Sylfaen" w:hAnsi="Sylfaen"/>
          <w:lang w:val="ka-GE"/>
        </w:rPr>
        <w:t>13.28%-ს</w:t>
      </w:r>
      <w:r>
        <w:rPr>
          <w:rFonts w:ascii="Sylfaen" w:hAnsi="Sylfaen"/>
          <w:lang w:val="ka-GE"/>
        </w:rPr>
        <w:t xml:space="preserve"> </w:t>
      </w:r>
      <w:r w:rsidRPr="00F5432B">
        <w:rPr>
          <w:rFonts w:ascii="Sylfaen" w:hAnsi="Sylfaen"/>
          <w:lang w:val="ka-GE"/>
        </w:rPr>
        <w:t>შეადგენს.</w:t>
      </w:r>
    </w:p>
    <w:p w14:paraId="66CEE37F" w14:textId="3E586EE8" w:rsidR="009D5AC6" w:rsidRDefault="00475F45" w:rsidP="00646F3A">
      <w:pPr>
        <w:pStyle w:val="ListParagraph"/>
        <w:ind w:left="0"/>
        <w:jc w:val="both"/>
        <w:rPr>
          <w:rFonts w:ascii="Sylfaen" w:hAnsi="Sylfaen"/>
          <w:lang w:val="ka-GE"/>
        </w:rPr>
      </w:pPr>
      <w:r>
        <w:rPr>
          <w:rFonts w:ascii="Sylfaen" w:hAnsi="Sylfaen"/>
          <w:lang w:val="ka-GE"/>
        </w:rPr>
        <w:t>ამავდროულად, ეროვნულ ბანკთან</w:t>
      </w:r>
      <w:r w:rsidR="00794665">
        <w:rPr>
          <w:rFonts w:ascii="Sylfaen" w:hAnsi="Sylfaen"/>
          <w:lang w:val="ka-GE"/>
        </w:rPr>
        <w:t xml:space="preserve"> </w:t>
      </w:r>
      <w:r w:rsidR="00F00FBC">
        <w:rPr>
          <w:rFonts w:ascii="Sylfaen" w:hAnsi="Sylfaen"/>
          <w:lang w:val="ka-GE"/>
        </w:rPr>
        <w:t>დაზუსტდა</w:t>
      </w:r>
      <w:r w:rsidR="00794665">
        <w:rPr>
          <w:rFonts w:ascii="Sylfaen" w:hAnsi="Sylfaen"/>
          <w:lang w:val="ka-GE"/>
        </w:rPr>
        <w:t xml:space="preserve"> რომ </w:t>
      </w:r>
      <w:r w:rsidR="00794665" w:rsidRPr="00794665">
        <w:rPr>
          <w:rFonts w:ascii="Sylfaen" w:hAnsi="Sylfaen"/>
          <w:lang w:val="ka-GE"/>
        </w:rPr>
        <w:t>ეროვნული ბანკის დაკვირვებ</w:t>
      </w:r>
      <w:r w:rsidR="00794665">
        <w:rPr>
          <w:rFonts w:ascii="Sylfaen" w:hAnsi="Sylfaen"/>
          <w:lang w:val="ka-GE"/>
        </w:rPr>
        <w:t>ით</w:t>
      </w:r>
      <w:r w:rsidR="00794665" w:rsidRPr="00794665">
        <w:rPr>
          <w:rFonts w:ascii="Sylfaen" w:hAnsi="Sylfaen"/>
        </w:rPr>
        <w:t xml:space="preserve"> </w:t>
      </w:r>
      <w:r w:rsidR="00794665" w:rsidRPr="00794665">
        <w:rPr>
          <w:rFonts w:ascii="Sylfaen" w:hAnsi="Sylfaen"/>
          <w:lang w:val="ka-GE"/>
        </w:rPr>
        <w:t xml:space="preserve">სატელეკომუნიკაციო სექტორისთვის რისკების განაკვეთის დადგენისას უნდა გავითვალისწინოთ არსებული ფაქტორები, რომლის მიხედვით ტელეკომ სექტორი საკმაოდ სტაბილურია ადგილობრივ ბაზარზეც სასესხო კაპიტალის მოზიდვის თვალსაზრისით. </w:t>
      </w:r>
      <w:r w:rsidR="00C12876">
        <w:rPr>
          <w:rFonts w:ascii="Sylfaen" w:hAnsi="Sylfaen"/>
          <w:lang w:val="ka-GE"/>
        </w:rPr>
        <w:t>ამას</w:t>
      </w:r>
      <w:r w:rsidR="00794665" w:rsidRPr="00794665">
        <w:rPr>
          <w:rFonts w:ascii="Sylfaen" w:hAnsi="Sylfaen"/>
          <w:lang w:val="ka-GE"/>
        </w:rPr>
        <w:t xml:space="preserve"> ადასტურებს </w:t>
      </w:r>
      <w:r w:rsidR="00794665" w:rsidRPr="00794665">
        <w:rPr>
          <w:rFonts w:ascii="Sylfaen" w:hAnsi="Sylfaen"/>
        </w:rPr>
        <w:t>COVID</w:t>
      </w:r>
      <w:r w:rsidR="00FD64A8">
        <w:rPr>
          <w:rFonts w:ascii="Sylfaen" w:hAnsi="Sylfaen"/>
          <w:lang w:val="ka-GE"/>
        </w:rPr>
        <w:t>-19</w:t>
      </w:r>
      <w:r w:rsidR="00794665" w:rsidRPr="00794665">
        <w:rPr>
          <w:rFonts w:ascii="Sylfaen" w:hAnsi="Sylfaen"/>
        </w:rPr>
        <w:t xml:space="preserve"> </w:t>
      </w:r>
      <w:r w:rsidR="00794665" w:rsidRPr="00794665">
        <w:rPr>
          <w:rFonts w:ascii="Sylfaen" w:hAnsi="Sylfaen"/>
          <w:lang w:val="ka-GE"/>
        </w:rPr>
        <w:t xml:space="preserve">პანდემიის პირობებშიც სექტორის მდგრადობა და რეზისტენტობა გაზრდილი რისკის </w:t>
      </w:r>
      <w:r w:rsidR="002F1E3B">
        <w:rPr>
          <w:rFonts w:ascii="Sylfaen" w:hAnsi="Sylfaen"/>
          <w:lang w:val="ka-GE"/>
        </w:rPr>
        <w:t>მიმართ</w:t>
      </w:r>
      <w:r w:rsidR="00E426D2">
        <w:rPr>
          <w:rFonts w:ascii="Sylfaen" w:hAnsi="Sylfaen"/>
          <w:lang w:val="ka-GE"/>
        </w:rPr>
        <w:t xml:space="preserve"> და</w:t>
      </w:r>
      <w:r w:rsidR="00794665" w:rsidRPr="00794665">
        <w:rPr>
          <w:rFonts w:ascii="Sylfaen" w:hAnsi="Sylfaen"/>
          <w:lang w:val="ka-GE"/>
        </w:rPr>
        <w:t xml:space="preserve"> ასევე, ეკონომიკის სხვა სექტორებისაგან განსხვავებით</w:t>
      </w:r>
      <w:r w:rsidR="002F1E3B">
        <w:rPr>
          <w:rFonts w:ascii="Sylfaen" w:hAnsi="Sylfaen"/>
          <w:lang w:val="ka-GE"/>
        </w:rPr>
        <w:t xml:space="preserve"> </w:t>
      </w:r>
      <w:r w:rsidR="002F1E3B" w:rsidRPr="00794665">
        <w:rPr>
          <w:rFonts w:ascii="Sylfaen" w:hAnsi="Sylfaen"/>
          <w:lang w:val="ka-GE"/>
        </w:rPr>
        <w:t>მომგებიანობის მაჩვენებლების სტაბილური შენარჩუნება</w:t>
      </w:r>
      <w:r w:rsidR="00794665" w:rsidRPr="00794665">
        <w:rPr>
          <w:rFonts w:ascii="Sylfaen" w:hAnsi="Sylfaen"/>
          <w:lang w:val="ka-GE"/>
        </w:rPr>
        <w:t xml:space="preserve">. შესაბამისად, ტელეკომუნიკაციების სექტორი ვერ ჩაითვლება უფრო მაღალი რისკის მატარებლად, ვიდრე მთლიანად საქართველოში ფუნქციონირებადი სხვა ბიზნესი. </w:t>
      </w:r>
      <w:r w:rsidR="00794665">
        <w:rPr>
          <w:rFonts w:ascii="Sylfaen" w:hAnsi="Sylfaen"/>
          <w:lang w:val="ka-GE"/>
        </w:rPr>
        <w:t>სექტორის მდგრადობას</w:t>
      </w:r>
      <w:r w:rsidR="00F56462">
        <w:rPr>
          <w:rFonts w:ascii="Sylfaen" w:hAnsi="Sylfaen"/>
          <w:lang w:val="ka-GE"/>
        </w:rPr>
        <w:t xml:space="preserve"> ხაზს უსვამს არაერთი კვლევითი ორგანიზაცია საქართველოში, როგორებიცაა </w:t>
      </w:r>
      <w:hyperlink r:id="rId29" w:history="1">
        <w:r w:rsidR="00F56462" w:rsidRPr="00082745">
          <w:rPr>
            <w:rStyle w:val="Hyperlink"/>
            <w:rFonts w:ascii="Sylfaen" w:hAnsi="Sylfaen"/>
            <w:lang w:val="en-GB"/>
          </w:rPr>
          <w:t xml:space="preserve">TBC </w:t>
        </w:r>
        <w:r w:rsidR="00F56462" w:rsidRPr="00082745">
          <w:rPr>
            <w:rStyle w:val="Hyperlink"/>
            <w:rFonts w:ascii="Sylfaen" w:hAnsi="Sylfaen"/>
          </w:rPr>
          <w:t>Capital</w:t>
        </w:r>
      </w:hyperlink>
      <w:r w:rsidR="00F56462">
        <w:rPr>
          <w:rFonts w:ascii="Sylfaen" w:hAnsi="Sylfaen"/>
        </w:rPr>
        <w:t xml:space="preserve"> </w:t>
      </w:r>
      <w:r w:rsidR="00F56462">
        <w:rPr>
          <w:rFonts w:ascii="Sylfaen" w:hAnsi="Sylfaen"/>
          <w:lang w:val="ka-GE"/>
        </w:rPr>
        <w:t xml:space="preserve">და </w:t>
      </w:r>
      <w:hyperlink r:id="rId30" w:history="1">
        <w:proofErr w:type="spellStart"/>
        <w:r w:rsidR="00F56462" w:rsidRPr="000316DC">
          <w:rPr>
            <w:rStyle w:val="Hyperlink"/>
            <w:rFonts w:ascii="Sylfaen" w:hAnsi="Sylfaen"/>
            <w:lang w:val="en-GB"/>
          </w:rPr>
          <w:t>Galt</w:t>
        </w:r>
        <w:r w:rsidR="00082745" w:rsidRPr="000316DC">
          <w:rPr>
            <w:rStyle w:val="Hyperlink"/>
            <w:rFonts w:ascii="Sylfaen" w:hAnsi="Sylfaen"/>
            <w:lang w:val="en-GB"/>
          </w:rPr>
          <w:t>&amp;Taggart</w:t>
        </w:r>
        <w:proofErr w:type="spellEnd"/>
      </w:hyperlink>
      <w:r w:rsidR="00082745">
        <w:rPr>
          <w:rFonts w:ascii="Sylfaen" w:hAnsi="Sylfaen"/>
          <w:lang w:val="en-GB"/>
        </w:rPr>
        <w:t>.</w:t>
      </w:r>
      <w:r w:rsidR="00F2539A">
        <w:rPr>
          <w:rFonts w:ascii="Sylfaen" w:hAnsi="Sylfaen"/>
          <w:lang w:val="en-GB"/>
        </w:rPr>
        <w:t xml:space="preserve"> </w:t>
      </w:r>
      <w:r w:rsidR="00F2539A">
        <w:rPr>
          <w:rFonts w:ascii="Sylfaen" w:hAnsi="Sylfaen"/>
          <w:lang w:val="ka-GE"/>
        </w:rPr>
        <w:t>შესაბამისად, ტელეკომუნიკაციების სექტორი საქართველოში არ არის შეფასებული, როგორც მაღალი არასისტემური რისკის მატარებელი.</w:t>
      </w:r>
      <w:r w:rsidR="00D328B9">
        <w:rPr>
          <w:rFonts w:ascii="Sylfaen" w:hAnsi="Sylfaen"/>
          <w:lang w:val="ka-GE"/>
        </w:rPr>
        <w:t xml:space="preserve"> მსგავსი ტრენდი შეინიშნება საერთაშორისო </w:t>
      </w:r>
      <w:r w:rsidR="00115AA7">
        <w:rPr>
          <w:rFonts w:ascii="Sylfaen" w:hAnsi="Sylfaen"/>
          <w:lang w:val="ka-GE"/>
        </w:rPr>
        <w:t>მასშტაბითაც;</w:t>
      </w:r>
      <w:r w:rsidR="009D5AC6">
        <w:rPr>
          <w:rFonts w:ascii="Sylfaen" w:hAnsi="Sylfaen"/>
          <w:lang w:val="ka-GE"/>
        </w:rPr>
        <w:t xml:space="preserve"> </w:t>
      </w:r>
      <w:hyperlink r:id="rId31" w:history="1">
        <w:proofErr w:type="spellStart"/>
        <w:r w:rsidR="00BC3BC7" w:rsidRPr="00BC3BC7">
          <w:rPr>
            <w:rStyle w:val="Hyperlink"/>
            <w:rFonts w:ascii="Sylfaen" w:hAnsi="Sylfaen"/>
            <w:lang w:val="ka-GE"/>
          </w:rPr>
          <w:t>დამოდარანის</w:t>
        </w:r>
        <w:proofErr w:type="spellEnd"/>
      </w:hyperlink>
      <w:r w:rsidR="00BC3BC7">
        <w:rPr>
          <w:rFonts w:ascii="Sylfaen" w:hAnsi="Sylfaen"/>
          <w:lang w:val="ka-GE"/>
        </w:rPr>
        <w:t xml:space="preserve"> </w:t>
      </w:r>
      <w:r w:rsidR="009D5AC6">
        <w:rPr>
          <w:rFonts w:ascii="Sylfaen" w:hAnsi="Sylfaen"/>
          <w:lang w:val="ka-GE"/>
        </w:rPr>
        <w:t>უახლესი კვლევის მიხედვით სესხის ხარჯი ტელეკომუნიკაციების სექტორისთვის არ განსხვავდება მთლიანი ეკონომიკის საშუალო ხარჯისაგან</w:t>
      </w:r>
      <w:r w:rsidR="00872CDE">
        <w:rPr>
          <w:rFonts w:ascii="Sylfaen" w:hAnsi="Sylfaen"/>
          <w:lang w:val="ka-GE"/>
        </w:rPr>
        <w:t xml:space="preserve"> როგორც მსოფლიო მასშტაბით, ასევე</w:t>
      </w:r>
      <w:r w:rsidR="002753EB">
        <w:rPr>
          <w:rFonts w:ascii="Sylfaen" w:hAnsi="Sylfaen"/>
          <w:lang w:val="ka-GE"/>
        </w:rPr>
        <w:t xml:space="preserve"> </w:t>
      </w:r>
      <w:r w:rsidR="002753EB" w:rsidRPr="002753EB">
        <w:rPr>
          <w:rFonts w:ascii="Sylfaen" w:hAnsi="Sylfaen"/>
          <w:lang w:val="ka-GE"/>
        </w:rPr>
        <w:t>„</w:t>
      </w:r>
      <w:r w:rsidR="002753EB" w:rsidRPr="002753EB">
        <w:rPr>
          <w:rFonts w:ascii="Sylfaen" w:hAnsi="Sylfaen"/>
          <w:lang w:val="ka-GE"/>
        </w:rPr>
        <w:fldChar w:fldCharType="begin"/>
      </w:r>
      <w:r w:rsidR="002753EB" w:rsidRPr="002753EB">
        <w:rPr>
          <w:rFonts w:ascii="Sylfaen" w:hAnsi="Sylfaen"/>
          <w:lang w:val="ka-GE"/>
        </w:rPr>
        <w:instrText xml:space="preserve"> REF _Ref92985986 \h </w:instrText>
      </w:r>
      <w:r w:rsidR="002753EB">
        <w:rPr>
          <w:rFonts w:ascii="Sylfaen" w:hAnsi="Sylfaen"/>
          <w:lang w:val="ka-GE"/>
        </w:rPr>
        <w:instrText xml:space="preserve"> \* MERGEFORMAT </w:instrText>
      </w:r>
      <w:r w:rsidR="002753EB" w:rsidRPr="002753EB">
        <w:rPr>
          <w:rFonts w:ascii="Sylfaen" w:hAnsi="Sylfaen"/>
          <w:lang w:val="ka-GE"/>
        </w:rPr>
      </w:r>
      <w:r w:rsidR="002753EB" w:rsidRPr="002753EB">
        <w:rPr>
          <w:rFonts w:ascii="Sylfaen" w:hAnsi="Sylfaen"/>
          <w:lang w:val="ka-GE"/>
        </w:rPr>
        <w:fldChar w:fldCharType="separate"/>
      </w:r>
      <w:proofErr w:type="spellStart"/>
      <w:r w:rsidR="002753EB" w:rsidRPr="002753EB">
        <w:rPr>
          <w:rFonts w:ascii="Sylfaen" w:hAnsi="Sylfaen"/>
          <w:i/>
          <w:iCs/>
        </w:rPr>
        <w:t>ფიგურა</w:t>
      </w:r>
      <w:proofErr w:type="spellEnd"/>
      <w:r w:rsidR="002753EB" w:rsidRPr="002753EB">
        <w:rPr>
          <w:rFonts w:ascii="Sylfaen" w:hAnsi="Sylfaen"/>
          <w:i/>
          <w:iCs/>
        </w:rPr>
        <w:t xml:space="preserve"> </w:t>
      </w:r>
      <w:r w:rsidR="002753EB" w:rsidRPr="002753EB">
        <w:rPr>
          <w:rFonts w:ascii="Sylfaen" w:hAnsi="Sylfaen"/>
          <w:noProof/>
        </w:rPr>
        <w:t>2</w:t>
      </w:r>
      <w:r w:rsidR="002753EB" w:rsidRPr="002753EB">
        <w:rPr>
          <w:rFonts w:ascii="Sylfaen" w:hAnsi="Sylfaen"/>
          <w:lang w:val="ka-GE"/>
        </w:rPr>
        <w:fldChar w:fldCharType="end"/>
      </w:r>
      <w:r w:rsidR="002753EB">
        <w:rPr>
          <w:rFonts w:ascii="Sylfaen" w:hAnsi="Sylfaen"/>
          <w:lang w:val="en-GB"/>
        </w:rPr>
        <w:t>”-</w:t>
      </w:r>
      <w:r w:rsidR="002753EB">
        <w:rPr>
          <w:rFonts w:ascii="Sylfaen" w:hAnsi="Sylfaen"/>
          <w:lang w:val="ka-GE"/>
        </w:rPr>
        <w:t>ზე მოცემული</w:t>
      </w:r>
      <w:r w:rsidR="00517E0D">
        <w:rPr>
          <w:rFonts w:ascii="Sylfaen" w:hAnsi="Sylfaen"/>
          <w:lang w:val="ka-GE"/>
        </w:rPr>
        <w:t xml:space="preserve"> რეგიონებისთვის (ევროპა, განვითარებადი ქვეყნებ</w:t>
      </w:r>
      <w:r w:rsidR="00BE7F09">
        <w:rPr>
          <w:rFonts w:ascii="Sylfaen" w:hAnsi="Sylfaen"/>
          <w:lang w:val="ka-GE"/>
        </w:rPr>
        <w:t>ი)</w:t>
      </w:r>
      <w:r w:rsidR="009D5AC6">
        <w:rPr>
          <w:rFonts w:ascii="Sylfaen" w:hAnsi="Sylfaen"/>
          <w:lang w:val="ka-GE"/>
        </w:rPr>
        <w:t>.</w:t>
      </w:r>
      <w:r w:rsidR="00223F99">
        <w:rPr>
          <w:rFonts w:ascii="Sylfaen" w:hAnsi="Sylfaen"/>
          <w:lang w:val="en-GB"/>
        </w:rPr>
        <w:t xml:space="preserve"> </w:t>
      </w:r>
      <w:r w:rsidR="00223F99">
        <w:rPr>
          <w:rFonts w:ascii="Sylfaen" w:hAnsi="Sylfaen"/>
          <w:lang w:val="ka-GE"/>
        </w:rPr>
        <w:t>იმავე შედეგს აჩვენებს 2021 წელს გერმანი</w:t>
      </w:r>
      <w:r w:rsidR="00997F03">
        <w:rPr>
          <w:rFonts w:ascii="Sylfaen" w:hAnsi="Sylfaen"/>
          <w:lang w:val="ka-GE"/>
        </w:rPr>
        <w:t>ის</w:t>
      </w:r>
      <w:r w:rsidR="00223F99">
        <w:rPr>
          <w:rFonts w:ascii="Sylfaen" w:hAnsi="Sylfaen"/>
          <w:lang w:val="ka-GE"/>
        </w:rPr>
        <w:t>, ავსტრი</w:t>
      </w:r>
      <w:r w:rsidR="00997F03">
        <w:rPr>
          <w:rFonts w:ascii="Sylfaen" w:hAnsi="Sylfaen"/>
          <w:lang w:val="ka-GE"/>
        </w:rPr>
        <w:t>ის</w:t>
      </w:r>
      <w:r w:rsidR="00223F99">
        <w:rPr>
          <w:rFonts w:ascii="Sylfaen" w:hAnsi="Sylfaen"/>
          <w:lang w:val="ka-GE"/>
        </w:rPr>
        <w:t xml:space="preserve"> და შვეიცარი</w:t>
      </w:r>
      <w:r w:rsidR="00997F03">
        <w:rPr>
          <w:rFonts w:ascii="Sylfaen" w:hAnsi="Sylfaen"/>
          <w:lang w:val="ka-GE"/>
        </w:rPr>
        <w:t xml:space="preserve">ის 300-ზე მეტ კომპანიაში </w:t>
      </w:r>
      <w:r w:rsidR="00997F03">
        <w:rPr>
          <w:rFonts w:ascii="Sylfaen" w:hAnsi="Sylfaen"/>
          <w:lang w:val="en-GB"/>
        </w:rPr>
        <w:t>KPMG</w:t>
      </w:r>
      <w:r w:rsidR="00997F03">
        <w:rPr>
          <w:rFonts w:ascii="Sylfaen" w:hAnsi="Sylfaen"/>
        </w:rPr>
        <w:t>-</w:t>
      </w:r>
      <w:r w:rsidR="00997F03">
        <w:rPr>
          <w:rFonts w:ascii="Sylfaen" w:hAnsi="Sylfaen"/>
          <w:lang w:val="ka-GE"/>
        </w:rPr>
        <w:t>ს მიერ ჩატარებული კვლევა</w:t>
      </w:r>
      <w:r w:rsidR="00223F99">
        <w:rPr>
          <w:rFonts w:ascii="Sylfaen" w:hAnsi="Sylfaen"/>
          <w:lang w:val="ka-GE"/>
        </w:rPr>
        <w:t>.</w:t>
      </w:r>
    </w:p>
    <w:p w14:paraId="306B9296" w14:textId="3D302288" w:rsidR="00C63166" w:rsidRDefault="00C63166" w:rsidP="00646F3A">
      <w:pPr>
        <w:pStyle w:val="ListParagraph"/>
        <w:ind w:left="0"/>
        <w:jc w:val="both"/>
        <w:rPr>
          <w:rFonts w:ascii="Sylfaen" w:hAnsi="Sylfaen"/>
          <w:lang w:val="ka-GE"/>
        </w:rPr>
      </w:pPr>
    </w:p>
    <w:p w14:paraId="260AA694" w14:textId="0EF0E2FC" w:rsidR="00397B7C" w:rsidRPr="00223F99" w:rsidRDefault="00970DF7" w:rsidP="00646F3A">
      <w:pPr>
        <w:pStyle w:val="Caption"/>
        <w:rPr>
          <w:rFonts w:ascii="Sylfaen" w:hAnsi="Sylfaen"/>
          <w:lang w:val="ka-GE"/>
        </w:rPr>
      </w:pPr>
      <w:bookmarkStart w:id="4" w:name="_Ref92985986"/>
      <w:r>
        <w:rPr>
          <w:rFonts w:ascii="Sylfaen" w:hAnsi="Sylfaen"/>
          <w:sz w:val="22"/>
          <w:szCs w:val="22"/>
          <w:lang w:val="ka-GE"/>
        </w:rPr>
        <w:t>დიაგრამა</w:t>
      </w:r>
      <w:r w:rsidR="00C63166" w:rsidRPr="006C630E">
        <w:rPr>
          <w:rFonts w:ascii="Sylfaen" w:hAnsi="Sylfaen"/>
          <w:sz w:val="22"/>
          <w:szCs w:val="22"/>
        </w:rPr>
        <w:t xml:space="preserve"> </w:t>
      </w:r>
      <w:r w:rsidR="00C63166" w:rsidRPr="006C630E">
        <w:rPr>
          <w:rFonts w:ascii="Sylfaen" w:hAnsi="Sylfaen"/>
          <w:sz w:val="22"/>
          <w:szCs w:val="22"/>
        </w:rPr>
        <w:fldChar w:fldCharType="begin"/>
      </w:r>
      <w:r w:rsidR="00C63166" w:rsidRPr="006C630E">
        <w:rPr>
          <w:rFonts w:ascii="Sylfaen" w:hAnsi="Sylfaen"/>
          <w:sz w:val="22"/>
          <w:szCs w:val="22"/>
        </w:rPr>
        <w:instrText xml:space="preserve"> SEQ ფიგურა \* ARABIC </w:instrText>
      </w:r>
      <w:r w:rsidR="00C63166" w:rsidRPr="006C630E">
        <w:rPr>
          <w:rFonts w:ascii="Sylfaen" w:hAnsi="Sylfaen"/>
          <w:sz w:val="22"/>
          <w:szCs w:val="22"/>
        </w:rPr>
        <w:fldChar w:fldCharType="separate"/>
      </w:r>
      <w:r w:rsidR="00C43529">
        <w:rPr>
          <w:rFonts w:ascii="Sylfaen" w:hAnsi="Sylfaen"/>
          <w:noProof/>
          <w:sz w:val="22"/>
          <w:szCs w:val="22"/>
        </w:rPr>
        <w:t>2</w:t>
      </w:r>
      <w:r w:rsidR="00C63166" w:rsidRPr="006C630E">
        <w:rPr>
          <w:rFonts w:ascii="Sylfaen" w:hAnsi="Sylfaen"/>
          <w:sz w:val="22"/>
          <w:szCs w:val="22"/>
        </w:rPr>
        <w:fldChar w:fldCharType="end"/>
      </w:r>
      <w:bookmarkEnd w:id="4"/>
    </w:p>
    <w:p w14:paraId="720FE95F" w14:textId="614A69DF" w:rsidR="00115AA7" w:rsidRDefault="00397B7C" w:rsidP="00646F3A">
      <w:pPr>
        <w:pStyle w:val="ListParagraph"/>
        <w:ind w:left="0"/>
        <w:jc w:val="center"/>
        <w:rPr>
          <w:rFonts w:ascii="Sylfaen" w:hAnsi="Sylfaen"/>
          <w:lang w:val="ka-GE"/>
        </w:rPr>
      </w:pPr>
      <w:r>
        <w:rPr>
          <w:noProof/>
        </w:rPr>
        <w:drawing>
          <wp:inline distT="0" distB="0" distL="0" distR="0" wp14:anchorId="7ECC86B2" wp14:editId="5971ED99">
            <wp:extent cx="3028950" cy="2647950"/>
            <wp:effectExtent l="0" t="0" r="0" b="0"/>
            <wp:docPr id="11" name="Chart 11">
              <a:extLst xmlns:a="http://schemas.openxmlformats.org/drawingml/2006/main">
                <a:ext uri="{FF2B5EF4-FFF2-40B4-BE49-F238E27FC236}">
                  <a16:creationId xmlns:a16="http://schemas.microsoft.com/office/drawing/2014/main" id="{0BA4A7D8-08E4-44B1-B127-EA75B8CCDA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noProof/>
        </w:rPr>
        <w:drawing>
          <wp:inline distT="0" distB="0" distL="0" distR="0" wp14:anchorId="76268C4B" wp14:editId="6D59B4B0">
            <wp:extent cx="3105150" cy="2647950"/>
            <wp:effectExtent l="0" t="0" r="0" b="0"/>
            <wp:docPr id="8" name="Chart 8">
              <a:extLst xmlns:a="http://schemas.openxmlformats.org/drawingml/2006/main">
                <a:ext uri="{FF2B5EF4-FFF2-40B4-BE49-F238E27FC236}">
                  <a16:creationId xmlns:a16="http://schemas.microsoft.com/office/drawing/2014/main" id="{DD900779-5824-46A8-9F7B-0FF2B3DE12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73D195E" w14:textId="707DFBB0" w:rsidR="00115AA7" w:rsidRPr="00EE2893" w:rsidRDefault="00223F99" w:rsidP="00646F3A">
      <w:pPr>
        <w:pStyle w:val="ListParagraph"/>
        <w:ind w:left="0"/>
        <w:jc w:val="both"/>
        <w:rPr>
          <w:rFonts w:ascii="Sylfaen" w:hAnsi="Sylfaen"/>
          <w:lang w:val="ka-GE"/>
        </w:rPr>
      </w:pPr>
      <w:r>
        <w:rPr>
          <w:rFonts w:ascii="Sylfaen" w:hAnsi="Sylfaen"/>
          <w:lang w:val="ka-GE"/>
        </w:rPr>
        <w:t xml:space="preserve">წყარო: </w:t>
      </w:r>
      <w:hyperlink r:id="rId34" w:history="1">
        <w:proofErr w:type="spellStart"/>
        <w:r w:rsidR="00397B7C">
          <w:rPr>
            <w:rStyle w:val="Hyperlink"/>
            <w:rFonts w:ascii="Sylfaen" w:hAnsi="Sylfaen"/>
            <w:lang w:val="ka-GE"/>
          </w:rPr>
          <w:t>Damodaran</w:t>
        </w:r>
        <w:proofErr w:type="spellEnd"/>
      </w:hyperlink>
      <w:r w:rsidR="00397B7C">
        <w:rPr>
          <w:rFonts w:ascii="Sylfaen" w:hAnsi="Sylfaen"/>
          <w:lang w:val="ka-GE"/>
        </w:rPr>
        <w:tab/>
      </w:r>
      <w:r w:rsidR="00397B7C">
        <w:rPr>
          <w:rFonts w:ascii="Sylfaen" w:hAnsi="Sylfaen"/>
          <w:lang w:val="ka-GE"/>
        </w:rPr>
        <w:tab/>
      </w:r>
      <w:r w:rsidR="00397B7C">
        <w:rPr>
          <w:rFonts w:ascii="Sylfaen" w:hAnsi="Sylfaen"/>
          <w:lang w:val="ka-GE"/>
        </w:rPr>
        <w:tab/>
      </w:r>
      <w:r w:rsidR="00397B7C">
        <w:rPr>
          <w:rFonts w:ascii="Sylfaen" w:hAnsi="Sylfaen"/>
          <w:lang w:val="ka-GE"/>
        </w:rPr>
        <w:tab/>
      </w:r>
      <w:r w:rsidR="00397B7C">
        <w:rPr>
          <w:rFonts w:ascii="Sylfaen" w:hAnsi="Sylfaen"/>
          <w:lang w:val="ka-GE"/>
        </w:rPr>
        <w:tab/>
      </w:r>
      <w:r w:rsidR="00997F03" w:rsidRPr="00EE2893">
        <w:rPr>
          <w:rFonts w:ascii="Sylfaen" w:hAnsi="Sylfaen"/>
          <w:lang w:val="ka-GE"/>
        </w:rPr>
        <w:t xml:space="preserve">  </w:t>
      </w:r>
      <w:r w:rsidR="00D766AB">
        <w:rPr>
          <w:rFonts w:ascii="Sylfaen" w:hAnsi="Sylfaen"/>
          <w:lang w:val="ka-GE"/>
        </w:rPr>
        <w:t>წყარო:</w:t>
      </w:r>
      <w:r w:rsidR="00397B7C">
        <w:rPr>
          <w:rFonts w:ascii="Sylfaen" w:hAnsi="Sylfaen"/>
          <w:lang w:val="ka-GE"/>
        </w:rPr>
        <w:tab/>
      </w:r>
      <w:hyperlink r:id="rId35" w:history="1">
        <w:r w:rsidR="00D766AB" w:rsidRPr="00EE2893">
          <w:rPr>
            <w:rStyle w:val="Hyperlink"/>
            <w:rFonts w:ascii="Sylfaen" w:hAnsi="Sylfaen"/>
            <w:lang w:val="ka-GE"/>
          </w:rPr>
          <w:t>KPMG</w:t>
        </w:r>
      </w:hyperlink>
    </w:p>
    <w:p w14:paraId="0DA2DF46" w14:textId="77777777" w:rsidR="00397B7C" w:rsidRDefault="00397B7C" w:rsidP="00646F3A">
      <w:pPr>
        <w:pStyle w:val="ListParagraph"/>
        <w:ind w:left="0"/>
        <w:jc w:val="both"/>
        <w:rPr>
          <w:rFonts w:ascii="Sylfaen" w:hAnsi="Sylfaen"/>
          <w:lang w:val="ka-GE"/>
        </w:rPr>
      </w:pPr>
    </w:p>
    <w:p w14:paraId="26823DAB" w14:textId="5474D486" w:rsidR="00794665" w:rsidRPr="00F2539A" w:rsidRDefault="00C12876" w:rsidP="00646F3A">
      <w:pPr>
        <w:pStyle w:val="ListParagraph"/>
        <w:ind w:left="0"/>
        <w:jc w:val="both"/>
        <w:rPr>
          <w:rFonts w:ascii="Sylfaen" w:hAnsi="Sylfaen"/>
          <w:lang w:val="ka-GE"/>
        </w:rPr>
      </w:pPr>
      <w:r>
        <w:rPr>
          <w:rFonts w:ascii="Sylfaen" w:hAnsi="Sylfaen"/>
          <w:lang w:val="ka-GE"/>
        </w:rPr>
        <w:t>აღნიშნული</w:t>
      </w:r>
      <w:r w:rsidR="00115AA7">
        <w:rPr>
          <w:rFonts w:ascii="Sylfaen" w:hAnsi="Sylfaen"/>
          <w:lang w:val="ka-GE"/>
        </w:rPr>
        <w:t xml:space="preserve"> ფაქტორები</w:t>
      </w:r>
      <w:r w:rsidR="00F00FBC">
        <w:rPr>
          <w:rFonts w:ascii="Sylfaen" w:hAnsi="Sylfaen"/>
          <w:lang w:val="ka-GE"/>
        </w:rPr>
        <w:t xml:space="preserve"> განამტკიცებს</w:t>
      </w:r>
      <w:r w:rsidR="00F2539A">
        <w:rPr>
          <w:rFonts w:ascii="Sylfaen" w:hAnsi="Sylfaen"/>
          <w:lang w:val="ka-GE"/>
        </w:rPr>
        <w:t xml:space="preserve"> </w:t>
      </w:r>
      <w:r w:rsidR="00277A4D" w:rsidRPr="00F5432B">
        <w:rPr>
          <w:rFonts w:ascii="Sylfaen" w:hAnsi="Sylfaen"/>
          <w:lang w:val="ka-GE"/>
        </w:rPr>
        <w:t>PWC</w:t>
      </w:r>
      <w:r w:rsidR="00277A4D">
        <w:rPr>
          <w:rFonts w:ascii="Sylfaen" w:hAnsi="Sylfaen"/>
          <w:lang w:val="ka-GE"/>
        </w:rPr>
        <w:t xml:space="preserve">-ს </w:t>
      </w:r>
      <w:r w:rsidR="00F2539A">
        <w:rPr>
          <w:rFonts w:ascii="Sylfaen" w:hAnsi="Sylfaen"/>
          <w:lang w:val="ka-GE"/>
        </w:rPr>
        <w:t>რეკომენდაციას</w:t>
      </w:r>
      <w:r w:rsidR="00277A4D">
        <w:rPr>
          <w:rFonts w:ascii="Sylfaen" w:hAnsi="Sylfaen"/>
          <w:lang w:val="ka-GE"/>
        </w:rPr>
        <w:t>, რომ</w:t>
      </w:r>
      <w:r w:rsidR="00F2539A">
        <w:rPr>
          <w:rFonts w:ascii="Sylfaen" w:hAnsi="Sylfaen"/>
          <w:lang w:val="ka-GE"/>
        </w:rPr>
        <w:t xml:space="preserve"> სექტორის</w:t>
      </w:r>
      <w:r w:rsidR="0067634E">
        <w:rPr>
          <w:rFonts w:ascii="Sylfaen" w:hAnsi="Sylfaen"/>
          <w:lang w:val="ka-GE"/>
        </w:rPr>
        <w:t xml:space="preserve"> ეფექტური ოპერატორის</w:t>
      </w:r>
      <w:r w:rsidR="00F2539A">
        <w:rPr>
          <w:rFonts w:ascii="Sylfaen" w:hAnsi="Sylfaen"/>
          <w:lang w:val="ka-GE"/>
        </w:rPr>
        <w:t xml:space="preserve"> სესხის ხარჯი დათვლ</w:t>
      </w:r>
      <w:r w:rsidR="00277A4D">
        <w:rPr>
          <w:rFonts w:ascii="Sylfaen" w:hAnsi="Sylfaen"/>
          <w:lang w:val="ka-GE"/>
        </w:rPr>
        <w:t>ი</w:t>
      </w:r>
      <w:r w:rsidR="00F2539A">
        <w:rPr>
          <w:rFonts w:ascii="Sylfaen" w:hAnsi="Sylfaen"/>
          <w:lang w:val="ka-GE"/>
        </w:rPr>
        <w:t>ლ</w:t>
      </w:r>
      <w:r w:rsidR="00277A4D">
        <w:rPr>
          <w:rFonts w:ascii="Sylfaen" w:hAnsi="Sylfaen"/>
          <w:lang w:val="ka-GE"/>
        </w:rPr>
        <w:t xml:space="preserve"> იქნა</w:t>
      </w:r>
      <w:r w:rsidR="00C8695B">
        <w:rPr>
          <w:rFonts w:ascii="Sylfaen" w:hAnsi="Sylfaen"/>
          <w:lang w:val="ka-GE"/>
        </w:rPr>
        <w:t>ს იურიდიულ პირებზე ლარში გაცემული სესხების საშუალო საპროცენტო განაკვეთ</w:t>
      </w:r>
      <w:r w:rsidR="00277A4D">
        <w:rPr>
          <w:rFonts w:ascii="Sylfaen" w:hAnsi="Sylfaen"/>
          <w:lang w:val="ka-GE"/>
        </w:rPr>
        <w:t>ით</w:t>
      </w:r>
      <w:r w:rsidR="00C8695B">
        <w:rPr>
          <w:rFonts w:ascii="Sylfaen" w:hAnsi="Sylfaen"/>
          <w:lang w:val="ka-GE"/>
        </w:rPr>
        <w:t xml:space="preserve">.  </w:t>
      </w:r>
    </w:p>
    <w:p w14:paraId="73374545" w14:textId="070A5632" w:rsidR="00ED53C1" w:rsidRDefault="00691E7E" w:rsidP="00646F3A">
      <w:pPr>
        <w:jc w:val="both"/>
        <w:rPr>
          <w:rFonts w:ascii="Sylfaen" w:hAnsi="Sylfaen"/>
          <w:b/>
          <w:bCs/>
          <w:lang w:val="ka-GE"/>
        </w:rPr>
      </w:pPr>
      <w:r w:rsidRPr="00F5432B">
        <w:rPr>
          <w:rFonts w:ascii="Sylfaen" w:hAnsi="Sylfaen"/>
          <w:lang w:val="ka-GE"/>
        </w:rPr>
        <w:t>ამასთანავე</w:t>
      </w:r>
      <w:r w:rsidR="00C477E9" w:rsidRPr="00F5432B">
        <w:rPr>
          <w:rFonts w:ascii="Sylfaen" w:hAnsi="Sylfaen"/>
          <w:lang w:val="ka-GE"/>
        </w:rPr>
        <w:t xml:space="preserve"> აღსანიშნია, რომ </w:t>
      </w:r>
      <w:r w:rsidR="00C477E9" w:rsidRPr="00B351F3">
        <w:rPr>
          <w:rFonts w:ascii="Sylfaen" w:hAnsi="Sylfaen"/>
          <w:b/>
          <w:bCs/>
          <w:lang w:val="ka-GE"/>
        </w:rPr>
        <w:t>WACC ითვლება ჰიპოთეტური ეფექტური ოპერატორისთვის და შესაბამისად</w:t>
      </w:r>
      <w:r w:rsidR="0053074B" w:rsidRPr="00B351F3">
        <w:rPr>
          <w:rFonts w:ascii="Sylfaen" w:hAnsi="Sylfaen"/>
          <w:b/>
          <w:bCs/>
          <w:lang w:val="ka-GE"/>
        </w:rPr>
        <w:t>,</w:t>
      </w:r>
      <w:r w:rsidR="00C477E9" w:rsidRPr="00B351F3">
        <w:rPr>
          <w:rFonts w:ascii="Sylfaen" w:hAnsi="Sylfaen"/>
          <w:b/>
          <w:bCs/>
          <w:lang w:val="ka-GE"/>
        </w:rPr>
        <w:t xml:space="preserve"> </w:t>
      </w:r>
      <w:r w:rsidR="00A06AF1" w:rsidRPr="00B351F3">
        <w:rPr>
          <w:rFonts w:ascii="Sylfaen" w:hAnsi="Sylfaen"/>
          <w:b/>
          <w:bCs/>
          <w:lang w:val="ka-GE"/>
        </w:rPr>
        <w:t xml:space="preserve">კონკრეტული </w:t>
      </w:r>
      <w:r w:rsidR="00C477E9" w:rsidRPr="00B351F3">
        <w:rPr>
          <w:rFonts w:ascii="Sylfaen" w:hAnsi="Sylfaen"/>
          <w:b/>
          <w:bCs/>
          <w:lang w:val="ka-GE"/>
        </w:rPr>
        <w:t>კომპანიის სპეციფიკური ფაქტორების   გათვალისწინება მიუღებელია</w:t>
      </w:r>
      <w:r w:rsidR="00535C78" w:rsidRPr="00B351F3">
        <w:rPr>
          <w:rFonts w:ascii="Sylfaen" w:hAnsi="Sylfaen"/>
          <w:b/>
          <w:bCs/>
          <w:lang w:val="ka-GE"/>
        </w:rPr>
        <w:t xml:space="preserve"> </w:t>
      </w:r>
      <w:r w:rsidR="00AC5F62" w:rsidRPr="00B351F3">
        <w:rPr>
          <w:rFonts w:ascii="Sylfaen" w:hAnsi="Sylfaen"/>
          <w:b/>
          <w:bCs/>
          <w:lang w:val="ka-GE"/>
        </w:rPr>
        <w:t>სექტორული WACC დადგენ</w:t>
      </w:r>
      <w:r w:rsidR="00AC5F62" w:rsidRPr="00D31548">
        <w:rPr>
          <w:rFonts w:ascii="Sylfaen" w:hAnsi="Sylfaen"/>
          <w:b/>
          <w:bCs/>
          <w:lang w:val="ka-GE"/>
        </w:rPr>
        <w:t>ისას</w:t>
      </w:r>
      <w:r w:rsidR="00794E5B" w:rsidRPr="00D31548">
        <w:rPr>
          <w:rFonts w:ascii="Sylfaen" w:hAnsi="Sylfaen"/>
          <w:b/>
          <w:bCs/>
          <w:lang w:val="ka-GE"/>
        </w:rPr>
        <w:t xml:space="preserve"> </w:t>
      </w:r>
      <w:sdt>
        <w:sdtPr>
          <w:rPr>
            <w:rFonts w:ascii="Sylfaen" w:hAnsi="Sylfaen"/>
            <w:b/>
            <w:bCs/>
            <w:lang w:val="en-GB"/>
          </w:rPr>
          <w:id w:val="801344376"/>
          <w:citation/>
        </w:sdtPr>
        <w:sdtEndPr/>
        <w:sdtContent>
          <w:r w:rsidR="00535C78" w:rsidRPr="00D31548">
            <w:rPr>
              <w:rFonts w:ascii="Sylfaen" w:hAnsi="Sylfaen"/>
              <w:b/>
              <w:bCs/>
              <w:lang w:val="en-GB"/>
            </w:rPr>
            <w:fldChar w:fldCharType="begin"/>
          </w:r>
          <w:r w:rsidR="00535C78" w:rsidRPr="00D31548">
            <w:rPr>
              <w:rFonts w:ascii="Sylfaen" w:hAnsi="Sylfaen"/>
              <w:b/>
              <w:bCs/>
              <w:lang w:val="ka-GE"/>
            </w:rPr>
            <w:instrText xml:space="preserve"> CITATION BER20 \l 2057 </w:instrText>
          </w:r>
          <w:r w:rsidR="00535C78" w:rsidRPr="00D31548">
            <w:rPr>
              <w:rFonts w:ascii="Sylfaen" w:hAnsi="Sylfaen"/>
              <w:b/>
              <w:bCs/>
              <w:lang w:val="en-GB"/>
            </w:rPr>
            <w:fldChar w:fldCharType="separate"/>
          </w:r>
          <w:r w:rsidR="00535C78" w:rsidRPr="00D31548">
            <w:rPr>
              <w:rFonts w:ascii="Sylfaen" w:hAnsi="Sylfaen"/>
              <w:b/>
              <w:bCs/>
              <w:noProof/>
              <w:lang w:val="ka-GE"/>
            </w:rPr>
            <w:t>(BEREC, 2020)</w:t>
          </w:r>
          <w:r w:rsidR="00535C78" w:rsidRPr="00D31548">
            <w:rPr>
              <w:rFonts w:ascii="Sylfaen" w:hAnsi="Sylfaen"/>
              <w:b/>
              <w:bCs/>
              <w:lang w:val="en-GB"/>
            </w:rPr>
            <w:fldChar w:fldCharType="end"/>
          </w:r>
        </w:sdtContent>
      </w:sdt>
      <w:r w:rsidR="00535C78" w:rsidRPr="00D31548">
        <w:rPr>
          <w:rFonts w:ascii="Sylfaen" w:hAnsi="Sylfaen"/>
          <w:b/>
          <w:bCs/>
          <w:lang w:val="ka-GE"/>
        </w:rPr>
        <w:t xml:space="preserve">, </w:t>
      </w:r>
      <w:sdt>
        <w:sdtPr>
          <w:rPr>
            <w:rFonts w:ascii="Sylfaen" w:hAnsi="Sylfaen"/>
            <w:b/>
            <w:bCs/>
            <w:lang w:val="en-GB"/>
          </w:rPr>
          <w:id w:val="1883203987"/>
          <w:citation/>
        </w:sdtPr>
        <w:sdtEndPr/>
        <w:sdtContent>
          <w:r w:rsidR="00535C78" w:rsidRPr="00D31548">
            <w:rPr>
              <w:rFonts w:ascii="Sylfaen" w:hAnsi="Sylfaen"/>
              <w:b/>
              <w:bCs/>
              <w:lang w:val="en-GB"/>
            </w:rPr>
            <w:fldChar w:fldCharType="begin"/>
          </w:r>
          <w:r w:rsidR="00535C78" w:rsidRPr="00D31548">
            <w:rPr>
              <w:rFonts w:ascii="Sylfaen" w:hAnsi="Sylfaen"/>
              <w:b/>
              <w:bCs/>
              <w:lang w:val="ka-GE"/>
            </w:rPr>
            <w:instrText xml:space="preserve"> CITATION Ofc21 \l 2057 </w:instrText>
          </w:r>
          <w:r w:rsidR="00535C78" w:rsidRPr="00D31548">
            <w:rPr>
              <w:rFonts w:ascii="Sylfaen" w:hAnsi="Sylfaen"/>
              <w:b/>
              <w:bCs/>
              <w:lang w:val="en-GB"/>
            </w:rPr>
            <w:fldChar w:fldCharType="separate"/>
          </w:r>
          <w:r w:rsidR="00535C78" w:rsidRPr="00D31548">
            <w:rPr>
              <w:rFonts w:ascii="Sylfaen" w:hAnsi="Sylfaen"/>
              <w:b/>
              <w:bCs/>
              <w:noProof/>
              <w:lang w:val="ka-GE"/>
            </w:rPr>
            <w:t>(Ofcom, 2021)</w:t>
          </w:r>
          <w:r w:rsidR="00535C78" w:rsidRPr="00D31548">
            <w:rPr>
              <w:rFonts w:ascii="Sylfaen" w:hAnsi="Sylfaen"/>
              <w:b/>
              <w:bCs/>
              <w:lang w:val="en-GB"/>
            </w:rPr>
            <w:fldChar w:fldCharType="end"/>
          </w:r>
        </w:sdtContent>
      </w:sdt>
      <w:r w:rsidR="00C477E9" w:rsidRPr="00D31548">
        <w:rPr>
          <w:rFonts w:ascii="Sylfaen" w:hAnsi="Sylfaen"/>
          <w:b/>
          <w:bCs/>
          <w:lang w:val="ka-GE"/>
        </w:rPr>
        <w:t>. აქედან გამომდინარე</w:t>
      </w:r>
      <w:r w:rsidR="003212E0" w:rsidRPr="00D31548">
        <w:rPr>
          <w:rFonts w:ascii="Sylfaen" w:hAnsi="Sylfaen"/>
          <w:b/>
          <w:bCs/>
          <w:lang w:val="ka-GE"/>
        </w:rPr>
        <w:t>,</w:t>
      </w:r>
      <w:r w:rsidR="00C477E9" w:rsidRPr="00D31548">
        <w:rPr>
          <w:rFonts w:ascii="Sylfaen" w:hAnsi="Sylfaen"/>
          <w:b/>
          <w:bCs/>
          <w:lang w:val="ka-GE"/>
        </w:rPr>
        <w:t xml:space="preserve"> </w:t>
      </w:r>
      <w:r w:rsidR="00E622FA" w:rsidRPr="00D31548">
        <w:rPr>
          <w:rFonts w:ascii="Sylfaen" w:hAnsi="Sylfaen"/>
          <w:b/>
          <w:bCs/>
          <w:lang w:val="ka-GE"/>
        </w:rPr>
        <w:t>კონკრეტული</w:t>
      </w:r>
      <w:r w:rsidR="00C477E9" w:rsidRPr="00D31548">
        <w:rPr>
          <w:rFonts w:ascii="Sylfaen" w:hAnsi="Sylfaen"/>
          <w:b/>
          <w:bCs/>
          <w:lang w:val="ka-GE"/>
        </w:rPr>
        <w:t xml:space="preserve"> ოპერატორის სესხის მაღალი საპროცენტო ხარჯი არ შეიძლება გათვალისწინებულ </w:t>
      </w:r>
      <w:r w:rsidR="00601705" w:rsidRPr="00D31548">
        <w:rPr>
          <w:rFonts w:ascii="Sylfaen" w:hAnsi="Sylfaen"/>
          <w:b/>
          <w:bCs/>
          <w:lang w:val="ka-GE"/>
        </w:rPr>
        <w:t xml:space="preserve">იქნას </w:t>
      </w:r>
      <w:r w:rsidR="00C477E9" w:rsidRPr="00D31548">
        <w:rPr>
          <w:rFonts w:ascii="Sylfaen" w:hAnsi="Sylfaen"/>
          <w:b/>
          <w:bCs/>
          <w:lang w:val="ka-GE"/>
        </w:rPr>
        <w:t>ტელეკომუნიკაციების ბაზრის WACC დათვლისას, მითუმეტეს</w:t>
      </w:r>
      <w:r w:rsidR="00601705" w:rsidRPr="00D31548">
        <w:rPr>
          <w:rFonts w:ascii="Sylfaen" w:hAnsi="Sylfaen"/>
          <w:b/>
          <w:bCs/>
          <w:lang w:val="ka-GE"/>
        </w:rPr>
        <w:t>,</w:t>
      </w:r>
      <w:r w:rsidR="00C477E9" w:rsidRPr="00D31548">
        <w:rPr>
          <w:rFonts w:ascii="Sylfaen" w:hAnsi="Sylfaen"/>
          <w:b/>
          <w:bCs/>
          <w:lang w:val="ka-GE"/>
        </w:rPr>
        <w:t xml:space="preserve"> როდესაც სხვა კომპანიების მიერ სესხების უფრო დაბალ </w:t>
      </w:r>
      <w:r w:rsidR="007972B2" w:rsidRPr="00D31548">
        <w:rPr>
          <w:rFonts w:ascii="Sylfaen" w:hAnsi="Sylfaen"/>
          <w:b/>
          <w:bCs/>
          <w:lang w:val="ka-GE"/>
        </w:rPr>
        <w:t xml:space="preserve">საპროცენტო განაკვეთში </w:t>
      </w:r>
      <w:r w:rsidR="00C477E9" w:rsidRPr="00D31548">
        <w:rPr>
          <w:rFonts w:ascii="Sylfaen" w:hAnsi="Sylfaen"/>
          <w:b/>
          <w:bCs/>
          <w:lang w:val="ka-GE"/>
        </w:rPr>
        <w:t>მოზიდვის</w:t>
      </w:r>
      <w:r w:rsidR="00FF55AF" w:rsidRPr="00D31548">
        <w:rPr>
          <w:rFonts w:ascii="Sylfaen" w:hAnsi="Sylfaen"/>
          <w:b/>
          <w:bCs/>
          <w:lang w:val="ka-GE"/>
        </w:rPr>
        <w:t xml:space="preserve"> პრეცენდენტები არსებობს</w:t>
      </w:r>
      <w:r w:rsidR="00C477E9" w:rsidRPr="00D31548">
        <w:rPr>
          <w:rFonts w:ascii="Sylfaen" w:hAnsi="Sylfaen"/>
          <w:b/>
          <w:bCs/>
          <w:lang w:val="ka-GE"/>
        </w:rPr>
        <w:t>.</w:t>
      </w:r>
    </w:p>
    <w:p w14:paraId="44EC4646" w14:textId="78939996" w:rsidR="00D31548" w:rsidRPr="00C96FE2" w:rsidRDefault="00382BE6" w:rsidP="00D31548">
      <w:pPr>
        <w:jc w:val="both"/>
        <w:rPr>
          <w:rFonts w:ascii="Sylfaen" w:hAnsi="Sylfaen"/>
          <w:lang w:val="ka-GE"/>
        </w:rPr>
      </w:pPr>
      <w:r w:rsidRPr="00523544">
        <w:rPr>
          <w:rFonts w:ascii="Sylfaen" w:hAnsi="Sylfaen"/>
          <w:lang w:val="ka-GE"/>
        </w:rPr>
        <w:t>რაც შეეხება „</w:t>
      </w:r>
      <w:proofErr w:type="spellStart"/>
      <w:r w:rsidRPr="00523544">
        <w:rPr>
          <w:rFonts w:ascii="Sylfaen" w:hAnsi="Sylfaen"/>
        </w:rPr>
        <w:t>Bui</w:t>
      </w:r>
      <w:r w:rsidR="001F2530" w:rsidRPr="00523544">
        <w:rPr>
          <w:rFonts w:ascii="Sylfaen" w:hAnsi="Sylfaen"/>
        </w:rPr>
        <w:t>ld up</w:t>
      </w:r>
      <w:proofErr w:type="spellEnd"/>
      <w:r w:rsidR="001F2530" w:rsidRPr="00523544">
        <w:rPr>
          <w:rFonts w:ascii="Sylfaen" w:hAnsi="Sylfaen"/>
        </w:rPr>
        <w:t xml:space="preserve">” </w:t>
      </w:r>
      <w:r w:rsidR="001F2530" w:rsidRPr="00523544">
        <w:rPr>
          <w:rFonts w:ascii="Sylfaen" w:hAnsi="Sylfaen"/>
          <w:lang w:val="ka-GE"/>
        </w:rPr>
        <w:t xml:space="preserve">მეთოდით სესხის ღირებულების დათვლას, </w:t>
      </w:r>
      <w:r w:rsidR="00D31548" w:rsidRPr="00523544">
        <w:rPr>
          <w:rFonts w:ascii="Sylfaen" w:hAnsi="Sylfaen"/>
          <w:lang w:val="ka-GE"/>
        </w:rPr>
        <w:t>ამასთან დაკავშირებით</w:t>
      </w:r>
      <w:r w:rsidR="001F2530" w:rsidRPr="00523544">
        <w:rPr>
          <w:rFonts w:ascii="Sylfaen" w:hAnsi="Sylfaen"/>
          <w:lang w:val="ka-GE"/>
        </w:rPr>
        <w:t xml:space="preserve"> </w:t>
      </w:r>
      <w:r w:rsidR="00D31548" w:rsidRPr="00523544">
        <w:rPr>
          <w:rFonts w:ascii="Sylfaen" w:hAnsi="Sylfaen"/>
          <w:lang w:val="ka-GE"/>
        </w:rPr>
        <w:t xml:space="preserve">კომისია აღნიშნავს, რომ </w:t>
      </w:r>
      <w:r w:rsidR="007E524A" w:rsidRPr="00523544">
        <w:rPr>
          <w:rFonts w:ascii="Sylfaen" w:hAnsi="Sylfaen"/>
          <w:lang w:val="ka-GE"/>
        </w:rPr>
        <w:t xml:space="preserve">აღნიშნული </w:t>
      </w:r>
      <w:r w:rsidR="001F2530" w:rsidRPr="00523544">
        <w:rPr>
          <w:rFonts w:ascii="Sylfaen" w:hAnsi="Sylfaen"/>
          <w:lang w:val="ka-GE"/>
        </w:rPr>
        <w:t xml:space="preserve">მეთოდის მიხედვით გათვალისწინებული </w:t>
      </w:r>
      <w:r w:rsidR="002213F4" w:rsidRPr="00523544">
        <w:rPr>
          <w:rFonts w:ascii="Sylfaen" w:hAnsi="Sylfaen"/>
          <w:lang w:val="ka-GE"/>
        </w:rPr>
        <w:t xml:space="preserve">საკრედიტო </w:t>
      </w:r>
      <w:r w:rsidR="00300EC1" w:rsidRPr="00523544">
        <w:rPr>
          <w:rFonts w:ascii="Sylfaen" w:hAnsi="Sylfaen"/>
          <w:lang w:val="ka-GE"/>
        </w:rPr>
        <w:t>რეიტინგის</w:t>
      </w:r>
      <w:r w:rsidR="004E13A0" w:rsidRPr="00523544">
        <w:rPr>
          <w:rFonts w:ascii="Sylfaen" w:hAnsi="Sylfaen"/>
          <w:lang w:val="ka-GE"/>
        </w:rPr>
        <w:t xml:space="preserve"> კორექტირება </w:t>
      </w:r>
      <w:r w:rsidR="00D31548" w:rsidRPr="00523544">
        <w:rPr>
          <w:rFonts w:ascii="Sylfaen" w:hAnsi="Sylfaen"/>
          <w:lang w:val="ka-GE"/>
        </w:rPr>
        <w:t>მნიშვნელოვანწილად ეყრდნობა სუბიექტურ შეფასებებს</w:t>
      </w:r>
      <w:r w:rsidR="00CE6C6E" w:rsidRPr="00523544">
        <w:rPr>
          <w:rFonts w:ascii="Sylfaen" w:hAnsi="Sylfaen"/>
          <w:lang w:val="ka-GE"/>
        </w:rPr>
        <w:t xml:space="preserve">. კერძოდ, </w:t>
      </w:r>
      <w:r w:rsidR="00342994" w:rsidRPr="00523544">
        <w:rPr>
          <w:rFonts w:ascii="Sylfaen" w:hAnsi="Sylfaen"/>
          <w:lang w:val="ka-GE"/>
        </w:rPr>
        <w:t xml:space="preserve"> </w:t>
      </w:r>
      <w:r w:rsidR="006376DD" w:rsidRPr="00523544">
        <w:rPr>
          <w:rFonts w:ascii="Sylfaen" w:hAnsi="Sylfaen"/>
          <w:lang w:val="ka-GE"/>
        </w:rPr>
        <w:t xml:space="preserve">რადგან საქართველოში ტელეკომუნიკაციების სექტორის ოპერატორების საკრედიტო რეიტინგები </w:t>
      </w:r>
      <w:r w:rsidR="006F44E5" w:rsidRPr="00523544">
        <w:rPr>
          <w:rFonts w:ascii="Sylfaen" w:hAnsi="Sylfaen"/>
          <w:lang w:val="ka-GE"/>
        </w:rPr>
        <w:t xml:space="preserve">საერთაშორისო სარეიტინგო კომპანიების მიერ </w:t>
      </w:r>
      <w:r w:rsidR="006376DD" w:rsidRPr="00523544">
        <w:rPr>
          <w:rFonts w:ascii="Sylfaen" w:hAnsi="Sylfaen"/>
          <w:lang w:val="ka-GE"/>
        </w:rPr>
        <w:t>შეფასებული არ არის</w:t>
      </w:r>
      <w:r w:rsidR="006376DD" w:rsidRPr="00523544">
        <w:rPr>
          <w:rFonts w:ascii="Sylfaen" w:hAnsi="Sylfaen"/>
          <w:lang w:val="en-GB"/>
        </w:rPr>
        <w:t xml:space="preserve">, </w:t>
      </w:r>
      <w:r w:rsidR="00C95C1A" w:rsidRPr="00523544">
        <w:rPr>
          <w:rFonts w:ascii="Sylfaen" w:hAnsi="Sylfaen"/>
          <w:lang w:val="ka-GE"/>
        </w:rPr>
        <w:t>ტელეკომ ოპერატორის საკრედიტო რეიტინგ</w:t>
      </w:r>
      <w:r w:rsidR="00342994" w:rsidRPr="00523544">
        <w:rPr>
          <w:rFonts w:ascii="Sylfaen" w:hAnsi="Sylfaen"/>
          <w:lang w:val="ka-GE"/>
        </w:rPr>
        <w:t>ის შესაფასებლად საქართველოს სუვერენული საკრედიტო რეიტინგი 2 ერთეულით</w:t>
      </w:r>
      <w:r w:rsidR="00D951EB" w:rsidRPr="00523544">
        <w:rPr>
          <w:rFonts w:ascii="Sylfaen" w:hAnsi="Sylfaen"/>
          <w:lang w:val="ka-GE"/>
        </w:rPr>
        <w:t xml:space="preserve"> (</w:t>
      </w:r>
      <w:r w:rsidR="00D951EB" w:rsidRPr="00523544">
        <w:rPr>
          <w:rFonts w:ascii="Sylfaen" w:hAnsi="Sylfaen"/>
          <w:lang w:val="en-GB"/>
        </w:rPr>
        <w:t>notch)</w:t>
      </w:r>
      <w:r w:rsidR="00342994" w:rsidRPr="00523544">
        <w:rPr>
          <w:rFonts w:ascii="Sylfaen" w:hAnsi="Sylfaen"/>
          <w:lang w:val="ka-GE"/>
        </w:rPr>
        <w:t xml:space="preserve"> </w:t>
      </w:r>
      <w:r w:rsidR="007A0E72" w:rsidRPr="00523544">
        <w:rPr>
          <w:rFonts w:ascii="Sylfaen" w:hAnsi="Sylfaen"/>
          <w:lang w:val="ka-GE"/>
        </w:rPr>
        <w:t xml:space="preserve">არის </w:t>
      </w:r>
      <w:r w:rsidR="00342994" w:rsidRPr="00523544">
        <w:rPr>
          <w:rFonts w:ascii="Sylfaen" w:hAnsi="Sylfaen"/>
          <w:lang w:val="ka-GE"/>
        </w:rPr>
        <w:t>შემცირებ</w:t>
      </w:r>
      <w:r w:rsidR="007A0E72" w:rsidRPr="00523544">
        <w:rPr>
          <w:rFonts w:ascii="Sylfaen" w:hAnsi="Sylfaen"/>
          <w:lang w:val="ka-GE"/>
        </w:rPr>
        <w:t>ული</w:t>
      </w:r>
      <w:r w:rsidR="00D16415" w:rsidRPr="00523544">
        <w:rPr>
          <w:rFonts w:ascii="Sylfaen" w:hAnsi="Sylfaen"/>
          <w:lang w:val="ka-GE"/>
        </w:rPr>
        <w:t xml:space="preserve"> </w:t>
      </w:r>
      <w:r w:rsidR="009B13F2" w:rsidRPr="00523544">
        <w:rPr>
          <w:rFonts w:ascii="Sylfaen" w:hAnsi="Sylfaen"/>
          <w:lang w:val="en-GB"/>
        </w:rPr>
        <w:t>(“</w:t>
      </w:r>
      <w:r w:rsidR="00D16415" w:rsidRPr="00523544">
        <w:rPr>
          <w:rFonts w:ascii="Sylfaen" w:hAnsi="Sylfaen"/>
          <w:lang w:val="en-GB"/>
        </w:rPr>
        <w:t>BB</w:t>
      </w:r>
      <w:r w:rsidR="009B13F2" w:rsidRPr="00523544">
        <w:rPr>
          <w:rFonts w:ascii="Sylfaen" w:hAnsi="Sylfaen"/>
          <w:lang w:val="en-GB"/>
        </w:rPr>
        <w:t>”</w:t>
      </w:r>
      <w:r w:rsidR="00D16415" w:rsidRPr="00523544">
        <w:rPr>
          <w:rFonts w:ascii="Sylfaen" w:hAnsi="Sylfaen"/>
          <w:lang w:val="en-GB"/>
        </w:rPr>
        <w:t>-</w:t>
      </w:r>
      <w:r w:rsidR="00D16415" w:rsidRPr="00523544">
        <w:rPr>
          <w:rFonts w:ascii="Sylfaen" w:hAnsi="Sylfaen"/>
          <w:lang w:val="ka-GE"/>
        </w:rPr>
        <w:t xml:space="preserve">დან </w:t>
      </w:r>
      <w:r w:rsidR="009B13F2" w:rsidRPr="00523544">
        <w:rPr>
          <w:rFonts w:ascii="Sylfaen" w:hAnsi="Sylfaen"/>
          <w:lang w:val="en-GB"/>
        </w:rPr>
        <w:t>“B+”</w:t>
      </w:r>
      <w:r w:rsidR="009B13F2" w:rsidRPr="00523544">
        <w:rPr>
          <w:rFonts w:ascii="Sylfaen" w:hAnsi="Sylfaen"/>
          <w:lang w:val="ka-GE"/>
        </w:rPr>
        <w:t>-მდე</w:t>
      </w:r>
      <w:r w:rsidR="009B13F2" w:rsidRPr="00523544">
        <w:rPr>
          <w:rFonts w:ascii="Sylfaen" w:hAnsi="Sylfaen"/>
          <w:lang w:val="en-GB"/>
        </w:rPr>
        <w:t>)</w:t>
      </w:r>
      <w:r w:rsidR="00B60304" w:rsidRPr="00523544">
        <w:rPr>
          <w:rFonts w:ascii="Sylfaen" w:hAnsi="Sylfaen"/>
          <w:lang w:val="ka-GE"/>
        </w:rPr>
        <w:t>,</w:t>
      </w:r>
      <w:r w:rsidR="00D31548" w:rsidRPr="00523544">
        <w:rPr>
          <w:rFonts w:ascii="Sylfaen" w:hAnsi="Sylfaen"/>
          <w:lang w:val="ka-GE"/>
        </w:rPr>
        <w:t xml:space="preserve"> რაც სუბიექტურ შეფასებას წარმოადგენს</w:t>
      </w:r>
      <w:r w:rsidR="00CA4D4A" w:rsidRPr="00523544">
        <w:rPr>
          <w:rFonts w:ascii="Sylfaen" w:hAnsi="Sylfaen"/>
          <w:lang w:val="ka-GE"/>
        </w:rPr>
        <w:t xml:space="preserve">. </w:t>
      </w:r>
      <w:r w:rsidR="0040319A" w:rsidRPr="00523544">
        <w:rPr>
          <w:rFonts w:ascii="Sylfaen" w:hAnsi="Sylfaen"/>
          <w:lang w:val="ka-GE"/>
        </w:rPr>
        <w:t xml:space="preserve">როგორც წინამდებარე გადაწყვეტილების ზემოთ მოცემულ მსჯელობაში ჩანს, </w:t>
      </w:r>
      <w:r w:rsidR="004C46B2" w:rsidRPr="00523544">
        <w:rPr>
          <w:rFonts w:ascii="Sylfaen" w:hAnsi="Sylfaen"/>
          <w:lang w:val="ka-GE"/>
        </w:rPr>
        <w:t>ქვეყნის</w:t>
      </w:r>
      <w:r w:rsidR="00D31548" w:rsidRPr="00523544">
        <w:rPr>
          <w:rFonts w:ascii="Sylfaen" w:hAnsi="Sylfaen"/>
          <w:lang w:val="ka-GE"/>
        </w:rPr>
        <w:t xml:space="preserve"> ეკონომიკური სპეციფიკაციიდან გამომდინარე ტელეკომუნიკაციების სექტორი</w:t>
      </w:r>
      <w:r w:rsidR="004C46B2" w:rsidRPr="00523544">
        <w:rPr>
          <w:rFonts w:ascii="Sylfaen" w:hAnsi="Sylfaen"/>
          <w:lang w:val="ka-GE"/>
        </w:rPr>
        <w:t xml:space="preserve"> საქართველოში</w:t>
      </w:r>
      <w:r w:rsidR="00D31548" w:rsidRPr="00523544">
        <w:rPr>
          <w:rFonts w:ascii="Sylfaen" w:hAnsi="Sylfaen"/>
          <w:lang w:val="ka-GE"/>
        </w:rPr>
        <w:t xml:space="preserve"> ვერ ჩაითვლება უფრო მაღალი რისკის მქონედ, ვიდრე ეკონომიკის სხვა დარგები</w:t>
      </w:r>
      <w:r w:rsidR="00A75BBB" w:rsidRPr="00523544">
        <w:rPr>
          <w:rFonts w:ascii="Sylfaen" w:hAnsi="Sylfaen"/>
          <w:lang w:val="ka-GE"/>
        </w:rPr>
        <w:t>.</w:t>
      </w:r>
      <w:r w:rsidR="00D31548" w:rsidRPr="00523544">
        <w:rPr>
          <w:rFonts w:ascii="Sylfaen" w:hAnsi="Sylfaen"/>
          <w:lang w:val="ka-GE"/>
        </w:rPr>
        <w:t xml:space="preserve"> შესაბამისად, საქართველოში მნიშვნელოვანი ძალაუფლების მქონე </w:t>
      </w:r>
      <w:r w:rsidR="00D31548" w:rsidRPr="00523544">
        <w:rPr>
          <w:rFonts w:ascii="Sylfaen" w:hAnsi="Sylfaen"/>
          <w:b/>
          <w:bCs/>
          <w:lang w:val="ka-GE"/>
        </w:rPr>
        <w:t>ეფექტიანი ოპერატორის</w:t>
      </w:r>
      <w:r w:rsidR="00D31548" w:rsidRPr="00523544">
        <w:rPr>
          <w:rFonts w:ascii="Sylfaen" w:hAnsi="Sylfaen"/>
          <w:lang w:val="ka-GE"/>
        </w:rPr>
        <w:t xml:space="preserve"> საკრედიტო რეიტინგად </w:t>
      </w:r>
      <w:r w:rsidR="00D31548" w:rsidRPr="00523544">
        <w:rPr>
          <w:rFonts w:ascii="Sylfaen" w:hAnsi="Sylfaen"/>
        </w:rPr>
        <w:t>“</w:t>
      </w:r>
      <w:r w:rsidR="00D31548" w:rsidRPr="00523544">
        <w:rPr>
          <w:rFonts w:ascii="Sylfaen" w:hAnsi="Sylfaen"/>
          <w:lang w:val="en-GB"/>
        </w:rPr>
        <w:t>B+”-</w:t>
      </w:r>
      <w:r w:rsidR="00D31548" w:rsidRPr="00523544">
        <w:rPr>
          <w:rFonts w:ascii="Sylfaen" w:hAnsi="Sylfaen"/>
          <w:lang w:val="ka-GE"/>
        </w:rPr>
        <w:t>ის მინიჭება</w:t>
      </w:r>
      <w:r w:rsidR="002D0F5E" w:rsidRPr="00523544">
        <w:rPr>
          <w:rFonts w:ascii="Sylfaen" w:hAnsi="Sylfaen"/>
          <w:lang w:val="ka-GE"/>
        </w:rPr>
        <w:t xml:space="preserve"> </w:t>
      </w:r>
      <w:r w:rsidR="00D31548" w:rsidRPr="00523544">
        <w:rPr>
          <w:rFonts w:ascii="Sylfaen" w:hAnsi="Sylfaen"/>
          <w:lang w:val="ka-GE"/>
        </w:rPr>
        <w:t xml:space="preserve">ვერ ჩაითვლება ობიექტურ შეფასებად.   აქედან გამომდინარე, </w:t>
      </w:r>
      <w:r w:rsidR="00C66B3C" w:rsidRPr="00523544">
        <w:rPr>
          <w:rFonts w:ascii="Sylfaen" w:hAnsi="Sylfaen"/>
          <w:lang w:val="ka-GE"/>
        </w:rPr>
        <w:t>აღნიშნუ</w:t>
      </w:r>
      <w:r w:rsidR="002C2B3E" w:rsidRPr="00523544">
        <w:rPr>
          <w:rFonts w:ascii="Sylfaen" w:hAnsi="Sylfaen"/>
          <w:lang w:val="ka-GE"/>
        </w:rPr>
        <w:t>ლი დაშვე</w:t>
      </w:r>
      <w:r w:rsidR="002E2182" w:rsidRPr="00523544">
        <w:rPr>
          <w:rFonts w:ascii="Sylfaen" w:hAnsi="Sylfaen"/>
          <w:lang w:val="ka-GE"/>
        </w:rPr>
        <w:t>ბ</w:t>
      </w:r>
      <w:r w:rsidR="002C2B3E" w:rsidRPr="00523544">
        <w:rPr>
          <w:rFonts w:ascii="Sylfaen" w:hAnsi="Sylfaen"/>
          <w:lang w:val="ka-GE"/>
        </w:rPr>
        <w:t>ებით</w:t>
      </w:r>
      <w:r w:rsidR="00D31548" w:rsidRPr="00523544">
        <w:rPr>
          <w:rFonts w:ascii="Sylfaen" w:hAnsi="Sylfaen"/>
          <w:lang w:val="ka-GE"/>
        </w:rPr>
        <w:t xml:space="preserve"> დარგის ჰიპოთეტური </w:t>
      </w:r>
      <w:r w:rsidR="00D31548" w:rsidRPr="00523544">
        <w:rPr>
          <w:rFonts w:ascii="Sylfaen" w:hAnsi="Sylfaen"/>
          <w:b/>
          <w:bCs/>
          <w:lang w:val="ka-GE"/>
        </w:rPr>
        <w:t>ეფექტიანი</w:t>
      </w:r>
      <w:r w:rsidR="00D31548" w:rsidRPr="00523544">
        <w:rPr>
          <w:rFonts w:ascii="Sylfaen" w:hAnsi="Sylfaen"/>
          <w:lang w:val="ka-GE"/>
        </w:rPr>
        <w:t xml:space="preserve"> </w:t>
      </w:r>
      <w:r w:rsidR="00D31548" w:rsidRPr="00523544">
        <w:rPr>
          <w:rFonts w:ascii="Sylfaen" w:hAnsi="Sylfaen"/>
          <w:b/>
          <w:bCs/>
          <w:lang w:val="ka-GE"/>
        </w:rPr>
        <w:t>ოპერატორის</w:t>
      </w:r>
      <w:r w:rsidR="00D31548" w:rsidRPr="00523544">
        <w:rPr>
          <w:rFonts w:ascii="Sylfaen" w:hAnsi="Sylfaen"/>
          <w:lang w:val="ka-GE"/>
        </w:rPr>
        <w:t xml:space="preserve"> </w:t>
      </w:r>
      <w:r w:rsidR="00A419D0" w:rsidRPr="00523544">
        <w:rPr>
          <w:rFonts w:ascii="Sylfaen" w:hAnsi="Sylfaen"/>
          <w:lang w:val="ka-GE"/>
        </w:rPr>
        <w:t>სესხის</w:t>
      </w:r>
      <w:r w:rsidR="00D31548" w:rsidRPr="00523544">
        <w:rPr>
          <w:rFonts w:ascii="Sylfaen" w:hAnsi="Sylfaen"/>
          <w:lang w:val="ka-GE"/>
        </w:rPr>
        <w:t xml:space="preserve"> ხარჯის </w:t>
      </w:r>
      <w:r w:rsidR="002E2182" w:rsidRPr="00523544">
        <w:rPr>
          <w:rFonts w:ascii="Sylfaen" w:hAnsi="Sylfaen"/>
          <w:lang w:val="ka-GE"/>
        </w:rPr>
        <w:t>კალკულაცია</w:t>
      </w:r>
      <w:r w:rsidR="00D31548" w:rsidRPr="00523544">
        <w:rPr>
          <w:rFonts w:ascii="Sylfaen" w:hAnsi="Sylfaen"/>
          <w:lang w:val="ka-GE"/>
        </w:rPr>
        <w:t xml:space="preserve"> მიზანშეწონილი არ არის.</w:t>
      </w:r>
    </w:p>
    <w:p w14:paraId="32997A0E" w14:textId="77777777" w:rsidR="00D31548" w:rsidRPr="00D31548" w:rsidRDefault="00D31548" w:rsidP="00646F3A">
      <w:pPr>
        <w:jc w:val="both"/>
        <w:rPr>
          <w:rFonts w:ascii="Sylfaen" w:hAnsi="Sylfaen"/>
          <w:b/>
          <w:bCs/>
          <w:lang w:val="ka-GE"/>
        </w:rPr>
      </w:pPr>
    </w:p>
    <w:p w14:paraId="03F8787B" w14:textId="77777777" w:rsidR="003F5E3B" w:rsidRPr="00F5432B" w:rsidRDefault="003F5E3B" w:rsidP="00646F3A">
      <w:pPr>
        <w:jc w:val="both"/>
        <w:rPr>
          <w:rFonts w:ascii="Sylfaen" w:hAnsi="Sylfaen"/>
          <w:lang w:val="ka-GE"/>
        </w:rPr>
      </w:pPr>
    </w:p>
    <w:p w14:paraId="45CABAD3" w14:textId="68C90D81" w:rsidR="00ED53C1" w:rsidRDefault="00ED53C1" w:rsidP="00646F3A">
      <w:pPr>
        <w:pStyle w:val="Heading2"/>
        <w:rPr>
          <w:rFonts w:ascii="Sylfaen" w:hAnsi="Sylfaen"/>
          <w:sz w:val="22"/>
          <w:szCs w:val="22"/>
          <w:lang w:val="ka-GE"/>
        </w:rPr>
      </w:pPr>
      <w:bookmarkStart w:id="5" w:name="_Ref92908644"/>
      <w:r w:rsidRPr="00A57A6F">
        <w:rPr>
          <w:rFonts w:ascii="Sylfaen" w:hAnsi="Sylfaen"/>
          <w:sz w:val="22"/>
          <w:szCs w:val="22"/>
          <w:lang w:val="ka-GE"/>
        </w:rPr>
        <w:t xml:space="preserve">NGA </w:t>
      </w:r>
      <w:r w:rsidR="00773442" w:rsidRPr="00A57A6F">
        <w:rPr>
          <w:rFonts w:ascii="Sylfaen" w:hAnsi="Sylfaen"/>
          <w:sz w:val="22"/>
          <w:szCs w:val="22"/>
          <w:lang w:val="ka-GE"/>
        </w:rPr>
        <w:t xml:space="preserve">რისკის </w:t>
      </w:r>
      <w:r w:rsidRPr="00A57A6F">
        <w:rPr>
          <w:rFonts w:ascii="Sylfaen" w:hAnsi="Sylfaen"/>
          <w:sz w:val="22"/>
          <w:szCs w:val="22"/>
          <w:lang w:val="ka-GE"/>
        </w:rPr>
        <w:t>პრემიუმი</w:t>
      </w:r>
      <w:bookmarkEnd w:id="5"/>
    </w:p>
    <w:p w14:paraId="0417EEF9" w14:textId="25378985" w:rsidR="00F00FBC" w:rsidRDefault="00F00FBC" w:rsidP="00646F3A">
      <w:pPr>
        <w:rPr>
          <w:lang w:val="ka-GE"/>
        </w:rPr>
      </w:pPr>
    </w:p>
    <w:p w14:paraId="477E4695" w14:textId="7111C789" w:rsidR="00A742F0" w:rsidRPr="008A3E22" w:rsidRDefault="00E41C87" w:rsidP="00646F3A">
      <w:pPr>
        <w:jc w:val="both"/>
        <w:rPr>
          <w:rFonts w:ascii="Sylfaen" w:hAnsi="Sylfaen"/>
          <w:lang w:val="ka-GE"/>
        </w:rPr>
      </w:pPr>
      <w:r w:rsidRPr="001A3B84">
        <w:rPr>
          <w:rFonts w:ascii="Sylfaen" w:hAnsi="Sylfaen"/>
          <w:lang w:val="ka-GE"/>
        </w:rPr>
        <w:t xml:space="preserve">სტანდარტულად, </w:t>
      </w:r>
      <w:r w:rsidR="00F00FBC" w:rsidRPr="001A3B84">
        <w:rPr>
          <w:rFonts w:ascii="Sylfaen" w:hAnsi="Sylfaen"/>
          <w:lang w:val="ka-GE"/>
        </w:rPr>
        <w:t xml:space="preserve">ფიქსირებულ ქსელთან დაკავშირებულ დამატებით რისკებს წარმოადგენს მაღალი კაპიტალური დანახარჯები, უკუგების მიღების გრძელვადიანი პერიოდი და დამოკიდებულება მომხმარებელთა შემოსავალზე, აქედან გამომდინარე NGA მომსახურებები უფრო </w:t>
      </w:r>
      <w:r w:rsidR="003F688F" w:rsidRPr="001A3B84">
        <w:rPr>
          <w:rFonts w:ascii="Sylfaen" w:hAnsi="Sylfaen"/>
          <w:lang w:val="ka-GE"/>
        </w:rPr>
        <w:t>მგრძნობიარეა</w:t>
      </w:r>
      <w:r w:rsidR="00F00FBC" w:rsidRPr="001A3B84">
        <w:rPr>
          <w:rFonts w:ascii="Sylfaen" w:hAnsi="Sylfaen"/>
          <w:lang w:val="ka-GE"/>
        </w:rPr>
        <w:t xml:space="preserve"> მაკროეკონომიკური ინდიკატორების ცვლილების მიმართ, ვიდრე ტრადიციული განვითარებული ქსელები. ამ მოსაზრებების, შესაბამისად, აღნიშნული სეგმენტისთვის შესაძლებელია დამატებითი რისკ პრემიუმის გათვალისწინება WACC-</w:t>
      </w:r>
      <w:r w:rsidR="003A09DC">
        <w:rPr>
          <w:rFonts w:ascii="Sylfaen" w:hAnsi="Sylfaen"/>
          <w:lang w:val="ka-GE"/>
        </w:rPr>
        <w:t>ი</w:t>
      </w:r>
      <w:r w:rsidR="00F00FBC" w:rsidRPr="001A3B84">
        <w:rPr>
          <w:rFonts w:ascii="Sylfaen" w:hAnsi="Sylfaen"/>
          <w:lang w:val="ka-GE"/>
        </w:rPr>
        <w:t>ს დათვლისას. NGA მომსახურებების განვითარების მნიშვნელობა განსაკუთრებით გამოიკვეთა პანდემიის პერიოდში, როდესაც მაღალი სიჩქარის ინტერნეტზე გაიზარდა მოთხოვნა როგორც ქალაქებში, ასევე რეგიონებში.</w:t>
      </w:r>
      <w:r w:rsidR="00A742F0" w:rsidRPr="001A3B84">
        <w:rPr>
          <w:rFonts w:ascii="Sylfaen" w:hAnsi="Sylfaen"/>
          <w:lang w:val="ka-GE"/>
        </w:rPr>
        <w:t xml:space="preserve"> შესაბამისად, კომისიამ გამოიკვლია NGA პრემიუმის შესაძლო გამოყენების საფუძვლები</w:t>
      </w:r>
      <w:r w:rsidR="00AC5F62" w:rsidRPr="001A3B84">
        <w:rPr>
          <w:rFonts w:ascii="Sylfaen" w:hAnsi="Sylfaen"/>
          <w:lang w:val="ka-GE"/>
        </w:rPr>
        <w:t>. ამისთვის</w:t>
      </w:r>
      <w:r w:rsidR="00A742F0" w:rsidRPr="001A3B84">
        <w:rPr>
          <w:rFonts w:ascii="Sylfaen" w:hAnsi="Sylfaen"/>
          <w:lang w:val="ka-GE"/>
        </w:rPr>
        <w:t xml:space="preserve"> </w:t>
      </w:r>
      <w:r w:rsidR="00A93D2C" w:rsidRPr="001A3B84">
        <w:rPr>
          <w:rFonts w:ascii="Sylfaen" w:hAnsi="Sylfaen"/>
          <w:lang w:val="ka-GE"/>
        </w:rPr>
        <w:t xml:space="preserve">მოიძია </w:t>
      </w:r>
      <w:r w:rsidR="00546916" w:rsidRPr="001A3B84">
        <w:rPr>
          <w:rFonts w:ascii="Sylfaen" w:hAnsi="Sylfaen"/>
          <w:lang w:val="ka-GE"/>
        </w:rPr>
        <w:t>BEREC</w:t>
      </w:r>
      <w:r w:rsidR="001A3B84" w:rsidRPr="001A3B84">
        <w:rPr>
          <w:rFonts w:ascii="Sylfaen" w:hAnsi="Sylfaen"/>
          <w:lang w:val="ka-GE"/>
        </w:rPr>
        <w:t xml:space="preserve">-ის </w:t>
      </w:r>
      <w:r w:rsidR="00546916" w:rsidRPr="001A3B84">
        <w:rPr>
          <w:rFonts w:ascii="Sylfaen" w:hAnsi="Sylfaen"/>
          <w:noProof/>
          <w:color w:val="0563C1" w:themeColor="hyperlink"/>
          <w:lang w:val="ka-GE"/>
        </w:rPr>
        <w:t>(BEREC, 2019)</w:t>
      </w:r>
      <w:r w:rsidR="00546916" w:rsidRPr="001A3B84">
        <w:rPr>
          <w:rFonts w:ascii="Sylfaen" w:hAnsi="Sylfaen"/>
          <w:lang w:val="ka-GE"/>
        </w:rPr>
        <w:t xml:space="preserve"> მიერ გამოქვეყნებული ევროპის რეგიონის ქვეყნების </w:t>
      </w:r>
      <w:r w:rsidR="00A742F0" w:rsidRPr="001A3B84">
        <w:rPr>
          <w:rFonts w:ascii="Sylfaen" w:hAnsi="Sylfaen"/>
          <w:lang w:val="ka-GE"/>
        </w:rPr>
        <w:t>პრაქტიკა</w:t>
      </w:r>
      <w:r w:rsidR="00050D0F">
        <w:rPr>
          <w:rFonts w:ascii="Sylfaen" w:hAnsi="Sylfaen"/>
          <w:lang w:val="ka-GE"/>
        </w:rPr>
        <w:t>,</w:t>
      </w:r>
      <w:r w:rsidR="00A742F0" w:rsidRPr="001A3B84">
        <w:rPr>
          <w:rFonts w:ascii="Sylfaen" w:hAnsi="Sylfaen"/>
          <w:lang w:val="ka-GE"/>
        </w:rPr>
        <w:t xml:space="preserve">  </w:t>
      </w:r>
      <w:r w:rsidR="00AC5F62" w:rsidRPr="001A3B84">
        <w:rPr>
          <w:rFonts w:ascii="Sylfaen" w:hAnsi="Sylfaen"/>
          <w:lang w:val="ka-GE"/>
        </w:rPr>
        <w:t>რომ დაედგინა ბაზრის ისეთი სეგმენტების არსებობა</w:t>
      </w:r>
      <w:r w:rsidR="001A3B84" w:rsidRPr="001A3B84">
        <w:rPr>
          <w:rFonts w:ascii="Sylfaen" w:hAnsi="Sylfaen"/>
          <w:lang w:val="ka-GE"/>
        </w:rPr>
        <w:t>,</w:t>
      </w:r>
      <w:r w:rsidR="00AC5F62" w:rsidRPr="001A3B84">
        <w:rPr>
          <w:rFonts w:ascii="Sylfaen" w:hAnsi="Sylfaen"/>
          <w:lang w:val="ka-GE"/>
        </w:rPr>
        <w:t xml:space="preserve"> </w:t>
      </w:r>
      <w:r w:rsidR="008A3E22" w:rsidRPr="001A3B84">
        <w:rPr>
          <w:rFonts w:ascii="Sylfaen" w:hAnsi="Sylfaen"/>
          <w:lang w:val="ka-GE"/>
        </w:rPr>
        <w:t>რომლებზეც შესაძლოა გავრცელდეს NGA რისკის პრემიუმი.</w:t>
      </w:r>
    </w:p>
    <w:p w14:paraId="747728CE" w14:textId="17A59CD5" w:rsidR="00F00FBC" w:rsidRDefault="00F00FBC" w:rsidP="00646F3A">
      <w:pPr>
        <w:jc w:val="both"/>
        <w:rPr>
          <w:rFonts w:ascii="Sylfaen" w:hAnsi="Sylfaen"/>
          <w:lang w:val="ka-GE"/>
        </w:rPr>
      </w:pPr>
      <w:r w:rsidRPr="00A57A6F">
        <w:rPr>
          <w:rFonts w:ascii="Sylfaen" w:hAnsi="Sylfaen"/>
          <w:lang w:val="ka-GE"/>
        </w:rPr>
        <w:t xml:space="preserve"> NGA </w:t>
      </w:r>
      <w:r w:rsidRPr="00F5432B">
        <w:rPr>
          <w:rFonts w:ascii="Sylfaen" w:hAnsi="Sylfaen"/>
          <w:lang w:val="ka-GE"/>
        </w:rPr>
        <w:t>სერვისებისთვის დამატებით პრემიუმს იყენებენ</w:t>
      </w:r>
      <w:r>
        <w:rPr>
          <w:rFonts w:ascii="Sylfaen" w:hAnsi="Sylfaen"/>
          <w:lang w:val="ka-GE"/>
        </w:rPr>
        <w:t xml:space="preserve"> ევროკავშირის ის ქვეყნები, რომლებშიც ოპტიკურ-ბოჭკოვან ტექნოლოგიას ჯერ კიდევ არ </w:t>
      </w:r>
      <w:proofErr w:type="spellStart"/>
      <w:r>
        <w:rPr>
          <w:rFonts w:ascii="Sylfaen" w:hAnsi="Sylfaen"/>
          <w:lang w:val="ka-GE"/>
        </w:rPr>
        <w:t>ჩაუნაცვლებია</w:t>
      </w:r>
      <w:proofErr w:type="spellEnd"/>
      <w:r>
        <w:rPr>
          <w:rFonts w:ascii="Sylfaen" w:hAnsi="Sylfaen"/>
          <w:lang w:val="ka-GE"/>
        </w:rPr>
        <w:t xml:space="preserve"> ტრადიციული ტექნოლოგიები (სპილენძი); ესენია:</w:t>
      </w:r>
      <w:r w:rsidRPr="00F5432B">
        <w:rPr>
          <w:rFonts w:ascii="Sylfaen" w:hAnsi="Sylfaen"/>
          <w:lang w:val="ka-GE"/>
        </w:rPr>
        <w:t xml:space="preserve"> დანია, იტალია, ჩეხეთის რესპუბლიკა, დიდ</w:t>
      </w:r>
      <w:r>
        <w:rPr>
          <w:rFonts w:ascii="Sylfaen" w:hAnsi="Sylfaen"/>
          <w:lang w:val="ka-GE"/>
        </w:rPr>
        <w:t>ი</w:t>
      </w:r>
      <w:r w:rsidRPr="00F5432B">
        <w:rPr>
          <w:rFonts w:ascii="Sylfaen" w:hAnsi="Sylfaen"/>
          <w:lang w:val="ka-GE"/>
        </w:rPr>
        <w:t xml:space="preserve"> ბრიტანეთი და ევროპის</w:t>
      </w:r>
      <w:r w:rsidRPr="003F688F">
        <w:rPr>
          <w:rFonts w:ascii="Sylfaen" w:hAnsi="Sylfaen"/>
          <w:lang w:val="ka-GE"/>
        </w:rPr>
        <w:t xml:space="preserve"> </w:t>
      </w:r>
      <w:r w:rsidRPr="00F5432B">
        <w:rPr>
          <w:rFonts w:ascii="Sylfaen" w:hAnsi="Sylfaen"/>
          <w:lang w:val="ka-GE"/>
        </w:rPr>
        <w:t>სხვა ქვეყნები</w:t>
      </w:r>
      <w:r w:rsidRPr="003F688F">
        <w:rPr>
          <w:rFonts w:ascii="Sylfaen" w:hAnsi="Sylfaen"/>
          <w:lang w:val="ka-GE"/>
        </w:rPr>
        <w:t xml:space="preserve"> </w:t>
      </w:r>
      <w:hyperlink r:id="rId36" w:history="1">
        <w:sdt>
          <w:sdtPr>
            <w:rPr>
              <w:rStyle w:val="Hyperlink"/>
              <w:rFonts w:ascii="Sylfaen" w:hAnsi="Sylfaen"/>
              <w:lang w:val="en-GB"/>
            </w:rPr>
            <w:id w:val="-905836233"/>
            <w:citation/>
          </w:sdtPr>
          <w:sdtEndPr>
            <w:rPr>
              <w:rStyle w:val="Hyperlink"/>
            </w:rPr>
          </w:sdtEndPr>
          <w:sdtContent>
            <w:r w:rsidRPr="005E50DE">
              <w:rPr>
                <w:rStyle w:val="Hyperlink"/>
                <w:rFonts w:ascii="Sylfaen" w:hAnsi="Sylfaen"/>
                <w:lang w:val="en-GB"/>
              </w:rPr>
              <w:fldChar w:fldCharType="begin"/>
            </w:r>
            <w:r w:rsidRPr="003F688F">
              <w:rPr>
                <w:rStyle w:val="Hyperlink"/>
                <w:rFonts w:ascii="Sylfaen" w:hAnsi="Sylfaen"/>
                <w:lang w:val="ka-GE"/>
              </w:rPr>
              <w:instrText xml:space="preserve"> CITATION BER19 \l 2057 </w:instrText>
            </w:r>
            <w:r w:rsidRPr="005E50DE">
              <w:rPr>
                <w:rStyle w:val="Hyperlink"/>
                <w:rFonts w:ascii="Sylfaen" w:hAnsi="Sylfaen"/>
                <w:lang w:val="en-GB"/>
              </w:rPr>
              <w:fldChar w:fldCharType="separate"/>
            </w:r>
            <w:r w:rsidRPr="003F688F">
              <w:rPr>
                <w:rStyle w:val="Hyperlink"/>
                <w:rFonts w:ascii="Sylfaen" w:hAnsi="Sylfaen"/>
                <w:noProof/>
                <w:lang w:val="ka-GE"/>
              </w:rPr>
              <w:t xml:space="preserve"> </w:t>
            </w:r>
            <w:r w:rsidRPr="003F688F">
              <w:rPr>
                <w:rFonts w:ascii="Sylfaen" w:hAnsi="Sylfaen"/>
                <w:noProof/>
                <w:color w:val="0563C1" w:themeColor="hyperlink"/>
                <w:lang w:val="ka-GE"/>
              </w:rPr>
              <w:t>(BEREC, 2019)</w:t>
            </w:r>
            <w:r w:rsidRPr="005E50DE">
              <w:rPr>
                <w:rStyle w:val="Hyperlink"/>
                <w:rFonts w:ascii="Sylfaen" w:hAnsi="Sylfaen"/>
                <w:lang w:val="en-GB"/>
              </w:rPr>
              <w:fldChar w:fldCharType="end"/>
            </w:r>
          </w:sdtContent>
        </w:sdt>
      </w:hyperlink>
      <w:r w:rsidRPr="003F688F">
        <w:rPr>
          <w:rFonts w:ascii="Sylfaen" w:hAnsi="Sylfaen"/>
          <w:lang w:val="ka-GE"/>
        </w:rPr>
        <w:t>.</w:t>
      </w:r>
      <w:r>
        <w:rPr>
          <w:rFonts w:ascii="Sylfaen" w:hAnsi="Sylfaen"/>
          <w:lang w:val="ka-GE"/>
        </w:rPr>
        <w:t xml:space="preserve"> ქვეყნების მარეგულირებელი ორგანოები, რომლებიც იყენებენ </w:t>
      </w:r>
      <w:r w:rsidRPr="003F688F">
        <w:rPr>
          <w:rFonts w:ascii="Sylfaen" w:hAnsi="Sylfaen"/>
          <w:lang w:val="ka-GE"/>
        </w:rPr>
        <w:t xml:space="preserve">NGA </w:t>
      </w:r>
      <w:r>
        <w:rPr>
          <w:rFonts w:ascii="Sylfaen" w:hAnsi="Sylfaen"/>
          <w:lang w:val="ka-GE"/>
        </w:rPr>
        <w:t>პრემიუმს</w:t>
      </w:r>
      <w:r w:rsidRPr="00F5432B">
        <w:rPr>
          <w:rFonts w:ascii="Sylfaen" w:hAnsi="Sylfaen"/>
          <w:lang w:val="ka-GE"/>
        </w:rPr>
        <w:t xml:space="preserve">  გამოყოფ</w:t>
      </w:r>
      <w:r>
        <w:rPr>
          <w:rFonts w:ascii="Sylfaen" w:hAnsi="Sylfaen"/>
          <w:lang w:val="ka-GE"/>
        </w:rPr>
        <w:t>ენ</w:t>
      </w:r>
      <w:r w:rsidRPr="00F5432B">
        <w:rPr>
          <w:rFonts w:ascii="Sylfaen" w:hAnsi="Sylfaen"/>
          <w:lang w:val="ka-GE"/>
        </w:rPr>
        <w:t xml:space="preserve"> სხვადასხვა სპეციფიურ ფაქტორს, რომელთა გათვალისწინებ</w:t>
      </w:r>
      <w:r>
        <w:rPr>
          <w:rFonts w:ascii="Sylfaen" w:hAnsi="Sylfaen"/>
          <w:lang w:val="ka-GE"/>
        </w:rPr>
        <w:t>ით</w:t>
      </w:r>
      <w:r w:rsidRPr="00F5432B">
        <w:rPr>
          <w:rFonts w:ascii="Sylfaen" w:hAnsi="Sylfaen"/>
          <w:lang w:val="ka-GE"/>
        </w:rPr>
        <w:t xml:space="preserve"> აუცილებელი</w:t>
      </w:r>
      <w:r>
        <w:rPr>
          <w:rFonts w:ascii="Sylfaen" w:hAnsi="Sylfaen"/>
          <w:lang w:val="ka-GE"/>
        </w:rPr>
        <w:t xml:space="preserve"> ხდება</w:t>
      </w:r>
      <w:r w:rsidRPr="00F5432B">
        <w:rPr>
          <w:rFonts w:ascii="Sylfaen" w:hAnsi="Sylfaen"/>
          <w:lang w:val="ka-GE"/>
        </w:rPr>
        <w:t xml:space="preserve"> ფიქსირებული ქსელის ოპერატორების მიერ </w:t>
      </w:r>
      <w:r w:rsidRPr="00A57A6F">
        <w:rPr>
          <w:rFonts w:ascii="Sylfaen" w:hAnsi="Sylfaen"/>
          <w:lang w:val="ka-GE"/>
        </w:rPr>
        <w:t xml:space="preserve">NGA </w:t>
      </w:r>
      <w:r w:rsidRPr="00F5432B">
        <w:rPr>
          <w:rFonts w:ascii="Sylfaen" w:hAnsi="Sylfaen"/>
          <w:lang w:val="ka-GE"/>
        </w:rPr>
        <w:t xml:space="preserve">პრემიუმის გამოყენება. </w:t>
      </w:r>
    </w:p>
    <w:p w14:paraId="1A65598E" w14:textId="77BA9D02" w:rsidR="00F00FBC" w:rsidRPr="003E586F" w:rsidRDefault="00F00FBC" w:rsidP="00646F3A">
      <w:pPr>
        <w:jc w:val="both"/>
        <w:rPr>
          <w:rFonts w:ascii="Sylfaen" w:hAnsi="Sylfaen"/>
          <w:lang w:val="ka-GE"/>
        </w:rPr>
      </w:pPr>
      <w:r w:rsidRPr="00F5432B">
        <w:rPr>
          <w:rFonts w:ascii="Sylfaen" w:hAnsi="Sylfaen"/>
          <w:lang w:val="ka-GE"/>
        </w:rPr>
        <w:t xml:space="preserve">ზოგადად, </w:t>
      </w:r>
      <w:r w:rsidRPr="00A57A6F">
        <w:rPr>
          <w:rFonts w:ascii="Sylfaen" w:hAnsi="Sylfaen"/>
          <w:lang w:val="ka-GE"/>
        </w:rPr>
        <w:t xml:space="preserve">NGA </w:t>
      </w:r>
      <w:r w:rsidRPr="00F5432B">
        <w:rPr>
          <w:rFonts w:ascii="Sylfaen" w:hAnsi="Sylfaen"/>
          <w:lang w:val="ka-GE"/>
        </w:rPr>
        <w:t>პრემიუმი უნდა ითვალისწინებდეს არასისტემურ რისკებს, რადგან სისტემური რისკები გათვალისწინებულია ბეტა კოეფი</w:t>
      </w:r>
      <w:r>
        <w:rPr>
          <w:rFonts w:ascii="Sylfaen" w:hAnsi="Sylfaen"/>
          <w:lang w:val="ka-GE"/>
        </w:rPr>
        <w:t>ცი</w:t>
      </w:r>
      <w:r w:rsidRPr="00F5432B">
        <w:rPr>
          <w:rFonts w:ascii="Sylfaen" w:hAnsi="Sylfaen"/>
          <w:lang w:val="ka-GE"/>
        </w:rPr>
        <w:t>ენტის გაანგარიშებისას</w:t>
      </w:r>
      <w:sdt>
        <w:sdtPr>
          <w:rPr>
            <w:rFonts w:ascii="Sylfaen" w:hAnsi="Sylfaen"/>
            <w:lang w:val="ka-GE"/>
          </w:rPr>
          <w:id w:val="1178313555"/>
          <w:citation/>
        </w:sdtPr>
        <w:sdtEndPr/>
        <w:sdtContent>
          <w:r w:rsidR="003F688F">
            <w:rPr>
              <w:rFonts w:ascii="Sylfaen" w:hAnsi="Sylfaen"/>
              <w:lang w:val="ka-GE"/>
            </w:rPr>
            <w:fldChar w:fldCharType="begin"/>
          </w:r>
          <w:r w:rsidR="003F688F">
            <w:rPr>
              <w:rFonts w:ascii="Sylfaen" w:hAnsi="Sylfaen"/>
              <w:lang w:val="ka-GE"/>
            </w:rPr>
            <w:instrText xml:space="preserve"> CITATION BER20 \l 1079 </w:instrText>
          </w:r>
          <w:r w:rsidR="003F688F">
            <w:rPr>
              <w:rFonts w:ascii="Sylfaen" w:hAnsi="Sylfaen"/>
              <w:lang w:val="ka-GE"/>
            </w:rPr>
            <w:fldChar w:fldCharType="separate"/>
          </w:r>
          <w:r w:rsidR="003F688F">
            <w:rPr>
              <w:rFonts w:ascii="Sylfaen" w:hAnsi="Sylfaen"/>
              <w:noProof/>
              <w:lang w:val="ka-GE"/>
            </w:rPr>
            <w:t xml:space="preserve"> </w:t>
          </w:r>
          <w:r w:rsidR="003F688F" w:rsidRPr="00335072">
            <w:rPr>
              <w:rFonts w:ascii="Sylfaen" w:hAnsi="Sylfaen"/>
              <w:noProof/>
              <w:lang w:val="ka-GE"/>
            </w:rPr>
            <w:t>(BEREC, 2020)</w:t>
          </w:r>
          <w:r w:rsidR="003F688F">
            <w:rPr>
              <w:rFonts w:ascii="Sylfaen" w:hAnsi="Sylfaen"/>
              <w:lang w:val="ka-GE"/>
            </w:rPr>
            <w:fldChar w:fldCharType="end"/>
          </w:r>
        </w:sdtContent>
      </w:sdt>
      <w:r w:rsidRPr="00F5432B">
        <w:rPr>
          <w:rFonts w:ascii="Sylfaen" w:hAnsi="Sylfaen"/>
          <w:lang w:val="ka-GE"/>
        </w:rPr>
        <w:t>; კონკრეტულად კი ეს ფაქტორები შეიძლება გაერთიანდეს 3 მსხვილ კატეგორიად</w:t>
      </w:r>
      <w:r w:rsidRPr="00A57A6F">
        <w:rPr>
          <w:rFonts w:ascii="Sylfaen" w:hAnsi="Sylfaen"/>
          <w:lang w:val="ka-GE"/>
        </w:rPr>
        <w:t xml:space="preserve"> </w:t>
      </w:r>
      <w:hyperlink r:id="rId37" w:history="1">
        <w:sdt>
          <w:sdtPr>
            <w:rPr>
              <w:rStyle w:val="Hyperlink"/>
              <w:rFonts w:ascii="Sylfaen" w:hAnsi="Sylfaen"/>
            </w:rPr>
            <w:id w:val="-981306611"/>
            <w:citation/>
          </w:sdtPr>
          <w:sdtEndPr>
            <w:rPr>
              <w:rStyle w:val="Hyperlink"/>
            </w:rPr>
          </w:sdtEndPr>
          <w:sdtContent>
            <w:r w:rsidRPr="00A57A6F">
              <w:rPr>
                <w:rStyle w:val="Hyperlink"/>
                <w:rFonts w:ascii="Sylfaen" w:hAnsi="Sylfaen"/>
              </w:rPr>
              <w:fldChar w:fldCharType="begin"/>
            </w:r>
            <w:r w:rsidRPr="003E586F">
              <w:rPr>
                <w:rStyle w:val="Hyperlink"/>
                <w:rFonts w:ascii="Sylfaen" w:hAnsi="Sylfaen"/>
                <w:lang w:val="ka-GE"/>
              </w:rPr>
              <w:instrText xml:space="preserve">CITATION The16 \l 2057 </w:instrText>
            </w:r>
            <w:r w:rsidRPr="00A57A6F">
              <w:rPr>
                <w:rStyle w:val="Hyperlink"/>
                <w:rFonts w:ascii="Sylfaen" w:hAnsi="Sylfaen"/>
              </w:rPr>
              <w:fldChar w:fldCharType="separate"/>
            </w:r>
            <w:r w:rsidRPr="00A57A6F">
              <w:rPr>
                <w:rStyle w:val="Hyperlink"/>
                <w:rFonts w:ascii="Sylfaen" w:hAnsi="Sylfaen"/>
                <w:noProof/>
                <w:lang w:val="ka-GE"/>
              </w:rPr>
              <w:t xml:space="preserve"> </w:t>
            </w:r>
            <w:r w:rsidRPr="00A57A6F">
              <w:rPr>
                <w:rFonts w:ascii="Sylfaen" w:hAnsi="Sylfaen"/>
                <w:noProof/>
                <w:color w:val="0563C1" w:themeColor="hyperlink"/>
                <w:lang w:val="ka-GE"/>
              </w:rPr>
              <w:t>(The Brattle Group, 2016)</w:t>
            </w:r>
            <w:r w:rsidRPr="00A57A6F">
              <w:rPr>
                <w:rStyle w:val="Hyperlink"/>
                <w:rFonts w:ascii="Sylfaen" w:hAnsi="Sylfaen"/>
              </w:rPr>
              <w:fldChar w:fldCharType="end"/>
            </w:r>
          </w:sdtContent>
        </w:sdt>
      </w:hyperlink>
      <w:r w:rsidRPr="00A57A6F">
        <w:rPr>
          <w:rFonts w:ascii="Sylfaen" w:hAnsi="Sylfaen"/>
          <w:lang w:val="ka-GE"/>
        </w:rPr>
        <w:t xml:space="preserve">; </w:t>
      </w:r>
      <w:hyperlink r:id="rId38" w:history="1">
        <w:sdt>
          <w:sdtPr>
            <w:rPr>
              <w:rStyle w:val="Hyperlink"/>
              <w:rFonts w:ascii="Sylfaen" w:hAnsi="Sylfaen"/>
              <w:u w:val="none"/>
            </w:rPr>
            <w:id w:val="463929060"/>
            <w:citation/>
          </w:sdtPr>
          <w:sdtEndPr>
            <w:rPr>
              <w:rStyle w:val="Hyperlink"/>
            </w:rPr>
          </w:sdtEndPr>
          <w:sdtContent>
            <w:r w:rsidRPr="00A57A6F">
              <w:rPr>
                <w:rStyle w:val="Hyperlink"/>
                <w:rFonts w:ascii="Sylfaen" w:hAnsi="Sylfaen"/>
                <w:u w:val="none"/>
              </w:rPr>
              <w:fldChar w:fldCharType="begin"/>
            </w:r>
            <w:r w:rsidRPr="003E586F">
              <w:rPr>
                <w:rStyle w:val="Hyperlink"/>
                <w:rFonts w:ascii="Sylfaen" w:hAnsi="Sylfaen"/>
                <w:u w:val="none"/>
                <w:lang w:val="ka-GE"/>
              </w:rPr>
              <w:instrText xml:space="preserve"> CITATION The20 \l 2057 </w:instrText>
            </w:r>
            <w:r w:rsidRPr="00A57A6F">
              <w:rPr>
                <w:rStyle w:val="Hyperlink"/>
                <w:rFonts w:ascii="Sylfaen" w:hAnsi="Sylfaen"/>
                <w:u w:val="none"/>
              </w:rPr>
              <w:fldChar w:fldCharType="separate"/>
            </w:r>
            <w:r w:rsidRPr="003E586F">
              <w:rPr>
                <w:rStyle w:val="Hyperlink"/>
                <w:rFonts w:ascii="Sylfaen" w:hAnsi="Sylfaen"/>
                <w:u w:val="none"/>
                <w:lang w:val="ka-GE"/>
              </w:rPr>
              <w:t xml:space="preserve"> </w:t>
            </w:r>
            <w:r w:rsidRPr="003E586F">
              <w:rPr>
                <w:rStyle w:val="Hyperlink"/>
                <w:u w:val="none"/>
                <w:lang w:val="ka-GE"/>
              </w:rPr>
              <w:t>(The Brattle Group, 2020)</w:t>
            </w:r>
            <w:r w:rsidRPr="00A57A6F">
              <w:rPr>
                <w:rStyle w:val="Hyperlink"/>
                <w:rFonts w:ascii="Sylfaen" w:hAnsi="Sylfaen"/>
                <w:u w:val="none"/>
              </w:rPr>
              <w:fldChar w:fldCharType="end"/>
            </w:r>
          </w:sdtContent>
        </w:sdt>
      </w:hyperlink>
      <w:r w:rsidRPr="003E586F">
        <w:rPr>
          <w:rStyle w:val="Hyperlink"/>
          <w:u w:val="none"/>
          <w:lang w:val="ka-GE"/>
        </w:rPr>
        <w:t xml:space="preserve">; </w:t>
      </w:r>
      <w:hyperlink r:id="rId39" w:history="1">
        <w:sdt>
          <w:sdtPr>
            <w:rPr>
              <w:rStyle w:val="Hyperlink"/>
              <w:rFonts w:ascii="Sylfaen" w:hAnsi="Sylfaen"/>
              <w:u w:val="none"/>
            </w:rPr>
            <w:id w:val="-762223181"/>
            <w:citation/>
          </w:sdtPr>
          <w:sdtEndPr>
            <w:rPr>
              <w:rStyle w:val="Hyperlink"/>
            </w:rPr>
          </w:sdtEndPr>
          <w:sdtContent>
            <w:r w:rsidRPr="00A57A6F">
              <w:rPr>
                <w:rStyle w:val="Hyperlink"/>
                <w:rFonts w:ascii="Sylfaen" w:hAnsi="Sylfaen"/>
                <w:u w:val="none"/>
              </w:rPr>
              <w:fldChar w:fldCharType="begin"/>
            </w:r>
            <w:r w:rsidRPr="003E586F">
              <w:rPr>
                <w:rStyle w:val="Hyperlink"/>
                <w:rFonts w:ascii="Sylfaen" w:hAnsi="Sylfaen"/>
                <w:u w:val="none"/>
                <w:lang w:val="ka-GE"/>
              </w:rPr>
              <w:instrText xml:space="preserve"> CITATION DrW16 \l 2057 </w:instrText>
            </w:r>
            <w:r w:rsidRPr="00A57A6F">
              <w:rPr>
                <w:rStyle w:val="Hyperlink"/>
                <w:rFonts w:ascii="Sylfaen" w:hAnsi="Sylfaen"/>
                <w:u w:val="none"/>
              </w:rPr>
              <w:fldChar w:fldCharType="separate"/>
            </w:r>
            <w:r w:rsidRPr="003E586F">
              <w:rPr>
                <w:rStyle w:val="Hyperlink"/>
                <w:rFonts w:ascii="Sylfaen" w:hAnsi="Sylfaen"/>
                <w:u w:val="none"/>
                <w:lang w:val="ka-GE"/>
              </w:rPr>
              <w:t xml:space="preserve"> </w:t>
            </w:r>
            <w:r w:rsidRPr="003E586F">
              <w:rPr>
                <w:rStyle w:val="Hyperlink"/>
                <w:u w:val="none"/>
                <w:lang w:val="ka-GE"/>
              </w:rPr>
              <w:t>(Dr. Werner, Dr. Schmitt, &amp; Ing. Kroon, 2016)</w:t>
            </w:r>
            <w:r w:rsidRPr="00A57A6F">
              <w:rPr>
                <w:rStyle w:val="Hyperlink"/>
                <w:rFonts w:ascii="Sylfaen" w:hAnsi="Sylfaen"/>
                <w:u w:val="none"/>
              </w:rPr>
              <w:fldChar w:fldCharType="end"/>
            </w:r>
          </w:sdtContent>
        </w:sdt>
      </w:hyperlink>
      <w:r w:rsidRPr="003E586F">
        <w:rPr>
          <w:rFonts w:ascii="Sylfaen" w:hAnsi="Sylfaen"/>
          <w:lang w:val="ka-GE"/>
        </w:rPr>
        <w:t xml:space="preserve">; </w:t>
      </w:r>
      <w:hyperlink r:id="rId40" w:history="1">
        <w:sdt>
          <w:sdtPr>
            <w:rPr>
              <w:rStyle w:val="Hyperlink"/>
              <w:rFonts w:ascii="Sylfaen" w:hAnsi="Sylfaen"/>
              <w:lang w:val="ka-GE"/>
            </w:rPr>
            <w:id w:val="-720821910"/>
            <w:citation/>
          </w:sdtPr>
          <w:sdtEndPr>
            <w:rPr>
              <w:rStyle w:val="Hyperlink"/>
            </w:rPr>
          </w:sdtEndPr>
          <w:sdtContent>
            <w:r w:rsidRPr="005E50DE">
              <w:rPr>
                <w:rStyle w:val="Hyperlink"/>
                <w:rFonts w:ascii="Sylfaen" w:hAnsi="Sylfaen"/>
                <w:lang w:val="ka-GE"/>
              </w:rPr>
              <w:fldChar w:fldCharType="begin"/>
            </w:r>
            <w:r w:rsidRPr="00F5432B">
              <w:rPr>
                <w:rStyle w:val="Hyperlink"/>
                <w:rFonts w:ascii="Sylfaen" w:hAnsi="Sylfaen"/>
                <w:lang w:val="ka-GE"/>
              </w:rPr>
              <w:instrText xml:space="preserve">CITATION Hac19 \l 1079 </w:instrText>
            </w:r>
            <w:r w:rsidRPr="005E50DE">
              <w:rPr>
                <w:rStyle w:val="Hyperlink"/>
                <w:rFonts w:ascii="Sylfaen" w:hAnsi="Sylfaen"/>
                <w:lang w:val="ka-GE"/>
              </w:rPr>
              <w:fldChar w:fldCharType="separate"/>
            </w:r>
            <w:r w:rsidRPr="00F5432B">
              <w:rPr>
                <w:rStyle w:val="Hyperlink"/>
                <w:rFonts w:ascii="Sylfaen" w:hAnsi="Sylfaen"/>
                <w:noProof/>
                <w:lang w:val="ka-GE"/>
              </w:rPr>
              <w:t xml:space="preserve"> </w:t>
            </w:r>
            <w:r w:rsidRPr="00F5432B">
              <w:rPr>
                <w:rFonts w:ascii="Sylfaen" w:hAnsi="Sylfaen"/>
                <w:noProof/>
                <w:color w:val="0563C1" w:themeColor="hyperlink"/>
                <w:lang w:val="ka-GE"/>
              </w:rPr>
              <w:t>(HAKOM, `2019)</w:t>
            </w:r>
            <w:r w:rsidRPr="005E50DE">
              <w:rPr>
                <w:rStyle w:val="Hyperlink"/>
                <w:rFonts w:ascii="Sylfaen" w:hAnsi="Sylfaen"/>
                <w:lang w:val="ka-GE"/>
              </w:rPr>
              <w:fldChar w:fldCharType="end"/>
            </w:r>
          </w:sdtContent>
        </w:sdt>
      </w:hyperlink>
      <w:r w:rsidRPr="003E586F">
        <w:rPr>
          <w:rFonts w:ascii="Sylfaen" w:hAnsi="Sylfaen"/>
          <w:lang w:val="ka-GE"/>
        </w:rPr>
        <w:t xml:space="preserve">; </w:t>
      </w:r>
      <w:hyperlink r:id="rId41" w:history="1">
        <w:sdt>
          <w:sdtPr>
            <w:rPr>
              <w:rStyle w:val="Hyperlink"/>
              <w:rFonts w:ascii="Sylfaen" w:hAnsi="Sylfaen"/>
              <w:lang w:val="ka-GE"/>
            </w:rPr>
            <w:id w:val="1079169150"/>
            <w:citation/>
          </w:sdtPr>
          <w:sdtEndPr>
            <w:rPr>
              <w:rStyle w:val="Hyperlink"/>
            </w:rPr>
          </w:sdtEndPr>
          <w:sdtContent>
            <w:r w:rsidRPr="005E50DE">
              <w:rPr>
                <w:rStyle w:val="Hyperlink"/>
                <w:rFonts w:ascii="Sylfaen" w:hAnsi="Sylfaen"/>
                <w:lang w:val="ka-GE"/>
              </w:rPr>
              <w:fldChar w:fldCharType="begin"/>
            </w:r>
            <w:r w:rsidRPr="00F5432B">
              <w:rPr>
                <w:rStyle w:val="Hyperlink"/>
                <w:rFonts w:ascii="Sylfaen" w:hAnsi="Sylfaen"/>
                <w:lang w:val="ka-GE"/>
              </w:rPr>
              <w:instrText xml:space="preserve"> CITATION Ilc19 \l 1079 </w:instrText>
            </w:r>
            <w:r w:rsidRPr="005E50DE">
              <w:rPr>
                <w:rStyle w:val="Hyperlink"/>
                <w:rFonts w:ascii="Sylfaen" w:hAnsi="Sylfaen"/>
                <w:lang w:val="ka-GE"/>
              </w:rPr>
              <w:fldChar w:fldCharType="separate"/>
            </w:r>
            <w:r w:rsidRPr="00F5432B">
              <w:rPr>
                <w:rStyle w:val="Hyperlink"/>
                <w:rFonts w:ascii="Sylfaen" w:hAnsi="Sylfaen"/>
                <w:noProof/>
                <w:lang w:val="ka-GE"/>
              </w:rPr>
              <w:t xml:space="preserve"> </w:t>
            </w:r>
            <w:r w:rsidRPr="00F5432B">
              <w:rPr>
                <w:rFonts w:ascii="Sylfaen" w:hAnsi="Sylfaen"/>
                <w:noProof/>
                <w:color w:val="0563C1" w:themeColor="hyperlink"/>
                <w:lang w:val="ka-GE"/>
              </w:rPr>
              <w:t>(Il calcolo del Risk Premium per gli investimenti in reti NGA, FTTH e FTTC, 2019)</w:t>
            </w:r>
            <w:r w:rsidRPr="005E50DE">
              <w:rPr>
                <w:rStyle w:val="Hyperlink"/>
                <w:rFonts w:ascii="Sylfaen" w:hAnsi="Sylfaen"/>
                <w:lang w:val="ka-GE"/>
              </w:rPr>
              <w:fldChar w:fldCharType="end"/>
            </w:r>
          </w:sdtContent>
        </w:sdt>
        <w:r w:rsidRPr="003E586F">
          <w:rPr>
            <w:rStyle w:val="Hyperlink"/>
            <w:rFonts w:ascii="Sylfaen" w:hAnsi="Sylfaen"/>
            <w:lang w:val="ka-GE"/>
          </w:rPr>
          <w:t>.</w:t>
        </w:r>
      </w:hyperlink>
      <w:r w:rsidRPr="003E586F">
        <w:rPr>
          <w:rFonts w:ascii="Sylfaen" w:hAnsi="Sylfaen"/>
          <w:lang w:val="ka-GE"/>
        </w:rPr>
        <w:t>:</w:t>
      </w:r>
    </w:p>
    <w:p w14:paraId="3D2953A9" w14:textId="77777777" w:rsidR="00F00FBC" w:rsidRPr="00F5432B" w:rsidRDefault="00F00FBC" w:rsidP="00646F3A">
      <w:pPr>
        <w:pStyle w:val="ListParagraph"/>
        <w:numPr>
          <w:ilvl w:val="0"/>
          <w:numId w:val="5"/>
        </w:numPr>
        <w:jc w:val="both"/>
        <w:rPr>
          <w:rFonts w:ascii="Sylfaen" w:hAnsi="Sylfaen"/>
          <w:lang w:val="ka-GE"/>
        </w:rPr>
      </w:pPr>
      <w:r w:rsidRPr="00F5432B">
        <w:rPr>
          <w:rFonts w:ascii="Sylfaen" w:hAnsi="Sylfaen"/>
          <w:lang w:val="ka-GE"/>
        </w:rPr>
        <w:t xml:space="preserve">საოპერაციო </w:t>
      </w:r>
      <w:proofErr w:type="spellStart"/>
      <w:r w:rsidRPr="00F5432B">
        <w:rPr>
          <w:rFonts w:ascii="Sylfaen" w:hAnsi="Sylfaen"/>
          <w:lang w:val="ka-GE"/>
        </w:rPr>
        <w:t>ლევერიჯი</w:t>
      </w:r>
      <w:proofErr w:type="spellEnd"/>
      <w:r w:rsidRPr="00F5432B">
        <w:rPr>
          <w:rFonts w:ascii="Sylfaen" w:hAnsi="Sylfaen"/>
          <w:lang w:val="ka-GE"/>
        </w:rPr>
        <w:t xml:space="preserve">: </w:t>
      </w:r>
      <w:r w:rsidRPr="00B23D72">
        <w:rPr>
          <w:rFonts w:ascii="Sylfaen" w:hAnsi="Sylfaen"/>
          <w:lang w:val="ka-GE"/>
        </w:rPr>
        <w:t xml:space="preserve">ოპტიკურ </w:t>
      </w:r>
      <w:r w:rsidRPr="00F5432B">
        <w:rPr>
          <w:rFonts w:ascii="Sylfaen" w:hAnsi="Sylfaen"/>
          <w:lang w:val="ka-GE"/>
        </w:rPr>
        <w:t>ბოჭკოვანი ქსელის განვითარება მოითხოვს დიდი ოდენობით ფულად სახ</w:t>
      </w:r>
      <w:r>
        <w:rPr>
          <w:rFonts w:ascii="Sylfaen" w:hAnsi="Sylfaen"/>
          <w:lang w:val="ka-GE"/>
        </w:rPr>
        <w:t>ს</w:t>
      </w:r>
      <w:r w:rsidRPr="00F5432B">
        <w:rPr>
          <w:rFonts w:ascii="Sylfaen" w:hAnsi="Sylfaen"/>
          <w:lang w:val="ka-GE"/>
        </w:rPr>
        <w:t>რებს და დამატებითი სახ</w:t>
      </w:r>
      <w:r>
        <w:rPr>
          <w:rFonts w:ascii="Sylfaen" w:hAnsi="Sylfaen"/>
          <w:lang w:val="ka-GE"/>
        </w:rPr>
        <w:t>ს</w:t>
      </w:r>
      <w:r w:rsidRPr="00F5432B">
        <w:rPr>
          <w:rFonts w:ascii="Sylfaen" w:hAnsi="Sylfaen"/>
          <w:lang w:val="ka-GE"/>
        </w:rPr>
        <w:t xml:space="preserve">რების მოზიდვას, რაც ზრდის პროექტის რისკიანობას; </w:t>
      </w:r>
    </w:p>
    <w:p w14:paraId="757B4146" w14:textId="4C8D183D" w:rsidR="00F00FBC" w:rsidRPr="00F5432B" w:rsidRDefault="00F00FBC" w:rsidP="00646F3A">
      <w:pPr>
        <w:pStyle w:val="ListParagraph"/>
        <w:numPr>
          <w:ilvl w:val="0"/>
          <w:numId w:val="5"/>
        </w:numPr>
        <w:jc w:val="both"/>
        <w:rPr>
          <w:rFonts w:ascii="Sylfaen" w:hAnsi="Sylfaen"/>
          <w:lang w:val="ka-GE"/>
        </w:rPr>
      </w:pPr>
      <w:r w:rsidRPr="00F5432B">
        <w:rPr>
          <w:rFonts w:ascii="Sylfaen" w:hAnsi="Sylfaen"/>
          <w:lang w:val="ka-GE"/>
        </w:rPr>
        <w:t>მოთხოვნის ცვალებადობა/განუსაზღვრელობა: ინტერნეტით სარგებლობაზე მოთხოვნა</w:t>
      </w:r>
      <w:r w:rsidR="008D3F5A">
        <w:rPr>
          <w:rFonts w:ascii="Sylfaen" w:hAnsi="Sylfaen"/>
          <w:lang w:val="ka-GE"/>
        </w:rPr>
        <w:t xml:space="preserve"> და</w:t>
      </w:r>
      <w:r w:rsidRPr="00F5432B">
        <w:rPr>
          <w:rFonts w:ascii="Sylfaen" w:hAnsi="Sylfaen"/>
          <w:lang w:val="ka-GE"/>
        </w:rPr>
        <w:t xml:space="preserve"> მისი ცვალებადობა მნიშვნელოვან წილადაა დამოკიდებული ეკონომიკური განვითარების დონესა და </w:t>
      </w:r>
      <w:r>
        <w:rPr>
          <w:rFonts w:ascii="Sylfaen" w:hAnsi="Sylfaen"/>
          <w:lang w:val="ka-GE"/>
        </w:rPr>
        <w:t xml:space="preserve">მომხმარებელთა </w:t>
      </w:r>
      <w:r w:rsidRPr="00F5432B">
        <w:rPr>
          <w:rFonts w:ascii="Sylfaen" w:hAnsi="Sylfaen"/>
          <w:lang w:val="ka-GE"/>
        </w:rPr>
        <w:t>შემოსავლების ცვალებადობაზე; შესაბამისად, მაკროეკონომიკური მაჩვენებლების მერყეობამ (სხვა თანაბარ პირობებში) შესაძლოა მნიშვნელოვანი გავლენა იქონიოს ინტერნეტის მოხმარების დონეზე ეკონომიკის სხვა სექტორებისაგან განსხვავებით;</w:t>
      </w:r>
    </w:p>
    <w:p w14:paraId="14841431" w14:textId="77777777" w:rsidR="00F00FBC" w:rsidRPr="00F5432B" w:rsidRDefault="00F00FBC" w:rsidP="00646F3A">
      <w:pPr>
        <w:pStyle w:val="ListParagraph"/>
        <w:numPr>
          <w:ilvl w:val="0"/>
          <w:numId w:val="5"/>
        </w:numPr>
        <w:jc w:val="both"/>
        <w:rPr>
          <w:rFonts w:ascii="Sylfaen" w:hAnsi="Sylfaen"/>
          <w:lang w:val="ka-GE"/>
        </w:rPr>
      </w:pPr>
      <w:r w:rsidRPr="00F5432B">
        <w:rPr>
          <w:rFonts w:ascii="Sylfaen" w:hAnsi="Sylfaen"/>
          <w:lang w:val="ka-GE"/>
        </w:rPr>
        <w:t>ინვესტიციის გრძელვადიანი ხასიათი: მაღალი ფიქსირებული დანახარჯი, რომელიც გრძელვადიან პერიოდზეა ორიენტირებული ზრდის ფიქსირებული ხარჯების ცვალებად ხარჯებთან თანაფარდობას, რაც თავის მხრივ მოთხოვნის წინასწარ განუსაზღვრელობის პირობებში დამატებითი რისკია და ეკონომიკის გრძელვადიან ტრენდსა და განვითარებაზეა დამოკიდებული.</w:t>
      </w:r>
    </w:p>
    <w:p w14:paraId="5EA37C98" w14:textId="77777777" w:rsidR="00F00FBC" w:rsidRPr="003F688F" w:rsidRDefault="00F00FBC" w:rsidP="00646F3A">
      <w:pPr>
        <w:rPr>
          <w:lang w:val="ka-GE"/>
        </w:rPr>
      </w:pPr>
    </w:p>
    <w:p w14:paraId="2A65D152" w14:textId="64DB7981" w:rsidR="000157E4" w:rsidRDefault="00B917A0" w:rsidP="00646F3A">
      <w:pPr>
        <w:jc w:val="both"/>
        <w:rPr>
          <w:rFonts w:ascii="Sylfaen" w:hAnsi="Sylfaen"/>
          <w:lang w:val="ka-GE"/>
        </w:rPr>
      </w:pPr>
      <w:r>
        <w:rPr>
          <w:rFonts w:ascii="Sylfaen" w:hAnsi="Sylfaen"/>
          <w:lang w:val="ka-GE"/>
        </w:rPr>
        <w:t xml:space="preserve">შესაბამისად, </w:t>
      </w:r>
      <w:r w:rsidR="000C7DF4">
        <w:rPr>
          <w:rFonts w:ascii="Sylfaen" w:hAnsi="Sylfaen"/>
          <w:lang w:val="ka-GE"/>
        </w:rPr>
        <w:t xml:space="preserve">რიგ შემთხვევებში </w:t>
      </w:r>
      <w:r w:rsidR="000C7DF4" w:rsidRPr="00A57A6F">
        <w:rPr>
          <w:rFonts w:ascii="Sylfaen" w:hAnsi="Sylfaen"/>
          <w:lang w:val="ka-GE"/>
        </w:rPr>
        <w:t>მიზნობრივ</w:t>
      </w:r>
      <w:r w:rsidR="000C7DF4">
        <w:rPr>
          <w:rFonts w:ascii="Sylfaen" w:hAnsi="Sylfaen"/>
          <w:lang w:val="ka-GE"/>
        </w:rPr>
        <w:t>ი</w:t>
      </w:r>
      <w:r w:rsidR="000C7DF4" w:rsidRPr="00A57A6F">
        <w:rPr>
          <w:rFonts w:ascii="Sylfaen" w:hAnsi="Sylfaen"/>
          <w:lang w:val="ka-GE"/>
        </w:rPr>
        <w:t xml:space="preserve"> სეგმენტებ</w:t>
      </w:r>
      <w:r w:rsidR="000C7DF4">
        <w:rPr>
          <w:rFonts w:ascii="Sylfaen" w:hAnsi="Sylfaen"/>
          <w:lang w:val="ka-GE"/>
        </w:rPr>
        <w:t xml:space="preserve">ისთვის შესაძლოა </w:t>
      </w:r>
      <w:r w:rsidR="000C7DF4" w:rsidRPr="00F5432B">
        <w:rPr>
          <w:rFonts w:ascii="Sylfaen" w:hAnsi="Sylfaen"/>
          <w:lang w:val="ka-GE"/>
        </w:rPr>
        <w:t xml:space="preserve">საჭირო </w:t>
      </w:r>
      <w:r w:rsidR="000C7DF4">
        <w:rPr>
          <w:rFonts w:ascii="Sylfaen" w:hAnsi="Sylfaen"/>
          <w:lang w:val="ka-GE"/>
        </w:rPr>
        <w:t>გა</w:t>
      </w:r>
      <w:r w:rsidR="000C7DF4" w:rsidRPr="00F5432B">
        <w:rPr>
          <w:rFonts w:ascii="Sylfaen" w:hAnsi="Sylfaen"/>
          <w:lang w:val="ka-GE"/>
        </w:rPr>
        <w:t>ხდე</w:t>
      </w:r>
      <w:r w:rsidR="000C7DF4">
        <w:rPr>
          <w:rFonts w:ascii="Sylfaen" w:hAnsi="Sylfaen"/>
          <w:lang w:val="ka-GE"/>
        </w:rPr>
        <w:t xml:space="preserve">ს </w:t>
      </w:r>
      <w:r w:rsidR="003212E0" w:rsidRPr="00F5432B">
        <w:rPr>
          <w:rFonts w:ascii="Sylfaen" w:hAnsi="Sylfaen"/>
          <w:lang w:val="ka-GE"/>
        </w:rPr>
        <w:t>N</w:t>
      </w:r>
      <w:r w:rsidR="003212E0" w:rsidRPr="00A57A6F">
        <w:rPr>
          <w:rFonts w:ascii="Sylfaen" w:hAnsi="Sylfaen"/>
          <w:lang w:val="ka-GE"/>
        </w:rPr>
        <w:t xml:space="preserve">GA </w:t>
      </w:r>
      <w:r w:rsidR="003212E0" w:rsidRPr="00F5432B">
        <w:rPr>
          <w:rFonts w:ascii="Sylfaen" w:hAnsi="Sylfaen"/>
          <w:lang w:val="ka-GE"/>
        </w:rPr>
        <w:t xml:space="preserve">პრემიუმის </w:t>
      </w:r>
      <w:r w:rsidR="003212E0" w:rsidRPr="00A57A6F">
        <w:rPr>
          <w:rFonts w:ascii="Sylfaen" w:hAnsi="Sylfaen"/>
          <w:lang w:val="ka-GE"/>
        </w:rPr>
        <w:t>დამატება</w:t>
      </w:r>
      <w:r w:rsidR="001739C1">
        <w:rPr>
          <w:rFonts w:ascii="Sylfaen" w:hAnsi="Sylfaen"/>
          <w:lang w:val="ka-GE"/>
        </w:rPr>
        <w:t xml:space="preserve">. </w:t>
      </w:r>
      <w:r w:rsidR="004F68E5">
        <w:rPr>
          <w:rFonts w:ascii="Sylfaen" w:hAnsi="Sylfaen"/>
          <w:lang w:val="ka-GE"/>
        </w:rPr>
        <w:t>N</w:t>
      </w:r>
      <w:r w:rsidR="004F68E5">
        <w:rPr>
          <w:rFonts w:ascii="Sylfaen" w:hAnsi="Sylfaen"/>
        </w:rPr>
        <w:t xml:space="preserve">GA </w:t>
      </w:r>
      <w:r w:rsidR="004F68E5">
        <w:rPr>
          <w:rFonts w:ascii="Sylfaen" w:hAnsi="Sylfaen"/>
          <w:lang w:val="ka-GE"/>
        </w:rPr>
        <w:t xml:space="preserve">პრემიუმის გამოყენებასთან დაკავშირებით </w:t>
      </w:r>
      <w:r w:rsidR="00157AFA">
        <w:rPr>
          <w:rFonts w:ascii="Sylfaen" w:hAnsi="Sylfaen"/>
          <w:lang w:val="ka-GE"/>
        </w:rPr>
        <w:t>ქვეყნების მარეგულირებელი ორგანოების ნაწილი ემხრობა მის გამოყენებას, ნაწილი კი თვლის რომ დროთა განმავლობაში მისი გამოყენების აუცილებლობა აქტუალობას კარგავს.</w:t>
      </w:r>
      <w:r w:rsidR="00400213">
        <w:rPr>
          <w:rFonts w:ascii="Sylfaen" w:hAnsi="Sylfaen"/>
          <w:lang w:val="ka-GE"/>
        </w:rPr>
        <w:t xml:space="preserve"> კომისია</w:t>
      </w:r>
      <w:r w:rsidR="00365570">
        <w:rPr>
          <w:rFonts w:ascii="Sylfaen" w:hAnsi="Sylfaen"/>
          <w:lang w:val="ka-GE"/>
        </w:rPr>
        <w:t>მ გაანალიზა</w:t>
      </w:r>
      <w:r w:rsidR="00BB21D6">
        <w:rPr>
          <w:rFonts w:ascii="Sylfaen" w:hAnsi="Sylfaen"/>
          <w:lang w:val="ka-GE"/>
        </w:rPr>
        <w:t xml:space="preserve"> </w:t>
      </w:r>
      <w:r w:rsidR="00365570">
        <w:rPr>
          <w:rFonts w:ascii="Sylfaen" w:hAnsi="Sylfaen"/>
          <w:lang w:val="ka-GE"/>
        </w:rPr>
        <w:t>ორივე მიდგომის არგუმენტებ</w:t>
      </w:r>
      <w:r w:rsidR="00BB21D6">
        <w:rPr>
          <w:rFonts w:ascii="Sylfaen" w:hAnsi="Sylfaen"/>
          <w:lang w:val="ka-GE"/>
        </w:rPr>
        <w:t xml:space="preserve">ი, რომლებიც მიუსადაგა </w:t>
      </w:r>
      <w:r w:rsidR="009042B5">
        <w:rPr>
          <w:rFonts w:ascii="Sylfaen" w:hAnsi="Sylfaen"/>
          <w:lang w:val="ka-GE"/>
        </w:rPr>
        <w:t xml:space="preserve">ქართულ ტელეკომუნიკაციების ბაზარზე </w:t>
      </w:r>
      <w:r w:rsidR="00BB21D6">
        <w:rPr>
          <w:rFonts w:ascii="Sylfaen" w:hAnsi="Sylfaen"/>
          <w:lang w:val="ka-GE"/>
        </w:rPr>
        <w:t>არსებულ მდგომარეობას.</w:t>
      </w:r>
      <w:r w:rsidR="00365570">
        <w:rPr>
          <w:rFonts w:ascii="Sylfaen" w:hAnsi="Sylfaen"/>
          <w:lang w:val="ka-GE"/>
        </w:rPr>
        <w:t xml:space="preserve"> </w:t>
      </w:r>
    </w:p>
    <w:p w14:paraId="4426208C" w14:textId="59218E9B" w:rsidR="0096388B" w:rsidRPr="00F5432B" w:rsidRDefault="6A614480" w:rsidP="00646F3A">
      <w:pPr>
        <w:jc w:val="both"/>
        <w:rPr>
          <w:rFonts w:ascii="Sylfaen" w:hAnsi="Sylfaen"/>
          <w:lang w:val="ka-GE"/>
        </w:rPr>
      </w:pPr>
      <w:r w:rsidRPr="00A57A6F">
        <w:rPr>
          <w:rFonts w:ascii="Sylfaen" w:hAnsi="Sylfaen"/>
          <w:lang w:val="ka-GE"/>
        </w:rPr>
        <w:t>როგორც ზემოთაა აღნიშნული,</w:t>
      </w:r>
      <w:r w:rsidRPr="00F5432B">
        <w:rPr>
          <w:rFonts w:ascii="Sylfaen" w:hAnsi="Sylfaen"/>
          <w:lang w:val="ka-GE"/>
        </w:rPr>
        <w:t xml:space="preserve"> ევროკომისიის რეკომენდაციის შესაბამისად </w:t>
      </w:r>
      <w:r w:rsidR="00764354" w:rsidRPr="00A57A6F">
        <w:rPr>
          <w:rFonts w:ascii="Sylfaen" w:hAnsi="Sylfaen"/>
          <w:lang w:val="ka-GE"/>
        </w:rPr>
        <w:t>(</w:t>
      </w:r>
      <w:r w:rsidRPr="00A57A6F">
        <w:rPr>
          <w:rFonts w:ascii="Sylfaen" w:hAnsi="Sylfaen"/>
          <w:lang w:val="ka-GE"/>
        </w:rPr>
        <w:t xml:space="preserve">2010/572/EU: </w:t>
      </w:r>
      <w:proofErr w:type="spellStart"/>
      <w:r w:rsidRPr="00A57A6F">
        <w:rPr>
          <w:rFonts w:ascii="Sylfaen" w:hAnsi="Sylfaen"/>
          <w:lang w:val="ka-GE"/>
        </w:rPr>
        <w:t>Commission</w:t>
      </w:r>
      <w:proofErr w:type="spellEnd"/>
      <w:r w:rsidRPr="00A57A6F">
        <w:rPr>
          <w:rFonts w:ascii="Sylfaen" w:hAnsi="Sylfaen"/>
          <w:lang w:val="ka-GE"/>
        </w:rPr>
        <w:t xml:space="preserve"> </w:t>
      </w:r>
      <w:proofErr w:type="spellStart"/>
      <w:r w:rsidRPr="00A57A6F">
        <w:rPr>
          <w:rFonts w:ascii="Sylfaen" w:hAnsi="Sylfaen"/>
          <w:lang w:val="ka-GE"/>
        </w:rPr>
        <w:t>Recommendation</w:t>
      </w:r>
      <w:proofErr w:type="spellEnd"/>
      <w:r w:rsidRPr="00A57A6F">
        <w:rPr>
          <w:rFonts w:ascii="Sylfaen" w:hAnsi="Sylfaen"/>
          <w:lang w:val="ka-GE"/>
        </w:rPr>
        <w:t xml:space="preserve"> </w:t>
      </w:r>
      <w:proofErr w:type="spellStart"/>
      <w:r w:rsidRPr="00A57A6F">
        <w:rPr>
          <w:rFonts w:ascii="Sylfaen" w:hAnsi="Sylfaen"/>
          <w:lang w:val="ka-GE"/>
        </w:rPr>
        <w:t>of</w:t>
      </w:r>
      <w:proofErr w:type="spellEnd"/>
      <w:r w:rsidRPr="00A57A6F">
        <w:rPr>
          <w:rFonts w:ascii="Sylfaen" w:hAnsi="Sylfaen"/>
          <w:lang w:val="ka-GE"/>
        </w:rPr>
        <w:t xml:space="preserve"> 20 </w:t>
      </w:r>
      <w:proofErr w:type="spellStart"/>
      <w:r w:rsidRPr="00A57A6F">
        <w:rPr>
          <w:rFonts w:ascii="Sylfaen" w:hAnsi="Sylfaen"/>
          <w:lang w:val="ka-GE"/>
        </w:rPr>
        <w:t>September</w:t>
      </w:r>
      <w:proofErr w:type="spellEnd"/>
      <w:r w:rsidRPr="00A57A6F">
        <w:rPr>
          <w:rFonts w:ascii="Sylfaen" w:hAnsi="Sylfaen"/>
          <w:lang w:val="ka-GE"/>
        </w:rPr>
        <w:t xml:space="preserve"> 2010 </w:t>
      </w:r>
      <w:proofErr w:type="spellStart"/>
      <w:r w:rsidRPr="00A57A6F">
        <w:rPr>
          <w:rFonts w:ascii="Sylfaen" w:hAnsi="Sylfaen"/>
          <w:lang w:val="ka-GE"/>
        </w:rPr>
        <w:t>on</w:t>
      </w:r>
      <w:proofErr w:type="spellEnd"/>
      <w:r w:rsidRPr="00A57A6F">
        <w:rPr>
          <w:rFonts w:ascii="Sylfaen" w:hAnsi="Sylfaen"/>
          <w:lang w:val="ka-GE"/>
        </w:rPr>
        <w:t xml:space="preserve"> </w:t>
      </w:r>
      <w:proofErr w:type="spellStart"/>
      <w:r w:rsidRPr="00A57A6F">
        <w:rPr>
          <w:rFonts w:ascii="Sylfaen" w:hAnsi="Sylfaen"/>
          <w:lang w:val="ka-GE"/>
        </w:rPr>
        <w:t>regulated</w:t>
      </w:r>
      <w:proofErr w:type="spellEnd"/>
      <w:r w:rsidRPr="00A57A6F">
        <w:rPr>
          <w:rFonts w:ascii="Sylfaen" w:hAnsi="Sylfaen"/>
          <w:lang w:val="ka-GE"/>
        </w:rPr>
        <w:t xml:space="preserve"> </w:t>
      </w:r>
      <w:proofErr w:type="spellStart"/>
      <w:r w:rsidRPr="00A57A6F">
        <w:rPr>
          <w:rFonts w:ascii="Sylfaen" w:hAnsi="Sylfaen"/>
          <w:lang w:val="ka-GE"/>
        </w:rPr>
        <w:t>access</w:t>
      </w:r>
      <w:proofErr w:type="spellEnd"/>
      <w:r w:rsidRPr="00A57A6F">
        <w:rPr>
          <w:rFonts w:ascii="Sylfaen" w:hAnsi="Sylfaen"/>
          <w:lang w:val="ka-GE"/>
        </w:rPr>
        <w:t xml:space="preserve"> </w:t>
      </w:r>
      <w:proofErr w:type="spellStart"/>
      <w:r w:rsidRPr="00A57A6F">
        <w:rPr>
          <w:rFonts w:ascii="Sylfaen" w:hAnsi="Sylfaen"/>
          <w:lang w:val="ka-GE"/>
        </w:rPr>
        <w:t>to</w:t>
      </w:r>
      <w:proofErr w:type="spellEnd"/>
      <w:r w:rsidRPr="00A57A6F">
        <w:rPr>
          <w:rFonts w:ascii="Sylfaen" w:hAnsi="Sylfaen"/>
          <w:lang w:val="ka-GE"/>
        </w:rPr>
        <w:t xml:space="preserve"> </w:t>
      </w:r>
      <w:proofErr w:type="spellStart"/>
      <w:r w:rsidRPr="00A57A6F">
        <w:rPr>
          <w:rFonts w:ascii="Sylfaen" w:hAnsi="Sylfaen"/>
          <w:lang w:val="ka-GE"/>
        </w:rPr>
        <w:t>Next</w:t>
      </w:r>
      <w:proofErr w:type="spellEnd"/>
      <w:r w:rsidRPr="00A57A6F">
        <w:rPr>
          <w:rFonts w:ascii="Sylfaen" w:hAnsi="Sylfaen"/>
          <w:lang w:val="ka-GE"/>
        </w:rPr>
        <w:t xml:space="preserve"> </w:t>
      </w:r>
      <w:proofErr w:type="spellStart"/>
      <w:r w:rsidRPr="00A57A6F">
        <w:rPr>
          <w:rFonts w:ascii="Sylfaen" w:hAnsi="Sylfaen"/>
          <w:lang w:val="ka-GE"/>
        </w:rPr>
        <w:t>Generation</w:t>
      </w:r>
      <w:proofErr w:type="spellEnd"/>
      <w:r w:rsidRPr="00A57A6F">
        <w:rPr>
          <w:rFonts w:ascii="Sylfaen" w:hAnsi="Sylfaen"/>
          <w:lang w:val="ka-GE"/>
        </w:rPr>
        <w:t xml:space="preserve"> Access </w:t>
      </w:r>
      <w:proofErr w:type="spellStart"/>
      <w:r w:rsidRPr="00A57A6F">
        <w:rPr>
          <w:rFonts w:ascii="Sylfaen" w:hAnsi="Sylfaen"/>
          <w:lang w:val="ka-GE"/>
        </w:rPr>
        <w:t>Networks</w:t>
      </w:r>
      <w:proofErr w:type="spellEnd"/>
      <w:r w:rsidRPr="00A57A6F">
        <w:rPr>
          <w:rFonts w:ascii="Sylfaen" w:hAnsi="Sylfaen"/>
          <w:lang w:val="ka-GE"/>
        </w:rPr>
        <w:t xml:space="preserve"> (NGA), OJ L 251, 25.9.2010)</w:t>
      </w:r>
      <w:r w:rsidR="00C03A36">
        <w:rPr>
          <w:rFonts w:ascii="Sylfaen" w:hAnsi="Sylfaen"/>
          <w:lang w:val="ka-GE"/>
        </w:rPr>
        <w:t xml:space="preserve"> </w:t>
      </w:r>
      <w:r w:rsidR="00123F2D" w:rsidRPr="00F5432B">
        <w:rPr>
          <w:rFonts w:ascii="Sylfaen" w:hAnsi="Sylfaen"/>
          <w:lang w:val="ka-GE"/>
        </w:rPr>
        <w:t xml:space="preserve">სხვადასხვა ქვეყნები მიმართავენ </w:t>
      </w:r>
      <w:r w:rsidR="00123F2D" w:rsidRPr="008E412C">
        <w:rPr>
          <w:rFonts w:ascii="Sylfaen" w:hAnsi="Sylfaen"/>
          <w:lang w:val="ka-GE"/>
        </w:rPr>
        <w:t xml:space="preserve">NGA </w:t>
      </w:r>
      <w:r w:rsidR="00123F2D" w:rsidRPr="00F5432B">
        <w:rPr>
          <w:rFonts w:ascii="Sylfaen" w:hAnsi="Sylfaen"/>
          <w:lang w:val="ka-GE"/>
        </w:rPr>
        <w:t xml:space="preserve">პრემიუმის გამოყენებას ფიქსირებული ქსელების ოპერატორებისთვის. ქვემოთ მოცემული ცხრილი აჯამებს თუ რომელ </w:t>
      </w:r>
      <w:r w:rsidR="000157E4">
        <w:rPr>
          <w:rFonts w:ascii="Sylfaen" w:hAnsi="Sylfaen"/>
          <w:lang w:val="ka-GE"/>
        </w:rPr>
        <w:t>ქვეყნებში გამოიყენებენ N</w:t>
      </w:r>
      <w:r w:rsidR="000157E4" w:rsidRPr="008E412C">
        <w:rPr>
          <w:rFonts w:ascii="Sylfaen" w:hAnsi="Sylfaen"/>
          <w:lang w:val="ka-GE"/>
        </w:rPr>
        <w:t xml:space="preserve">GA </w:t>
      </w:r>
      <w:r w:rsidR="000157E4">
        <w:rPr>
          <w:rFonts w:ascii="Sylfaen" w:hAnsi="Sylfaen"/>
          <w:lang w:val="ka-GE"/>
        </w:rPr>
        <w:t xml:space="preserve">პრემიუმს და რომელ </w:t>
      </w:r>
      <w:r w:rsidR="00123F2D" w:rsidRPr="00F5432B">
        <w:rPr>
          <w:rFonts w:ascii="Sylfaen" w:hAnsi="Sylfaen"/>
          <w:lang w:val="ka-GE"/>
        </w:rPr>
        <w:t>ტექნოლოგიებზე ხდება მისი მიკუთვნება:</w:t>
      </w:r>
    </w:p>
    <w:p w14:paraId="34D0B69A" w14:textId="77777777" w:rsidR="00F13772" w:rsidRDefault="00F13772" w:rsidP="00646F3A">
      <w:pPr>
        <w:jc w:val="both"/>
        <w:rPr>
          <w:rFonts w:ascii="Sylfaen" w:hAnsi="Sylfaen"/>
          <w:lang w:val="ka-GE"/>
        </w:rPr>
      </w:pPr>
    </w:p>
    <w:p w14:paraId="12D0E05F" w14:textId="3EC1FCD2" w:rsidR="00123F2D" w:rsidRPr="00335072" w:rsidRDefault="008E412C" w:rsidP="00646F3A">
      <w:pPr>
        <w:pStyle w:val="Caption"/>
        <w:keepNext/>
        <w:jc w:val="both"/>
        <w:rPr>
          <w:rFonts w:ascii="Sylfaen" w:hAnsi="Sylfaen"/>
        </w:rPr>
      </w:pPr>
      <w:proofErr w:type="spellStart"/>
      <w:r w:rsidRPr="00335072">
        <w:rPr>
          <w:rFonts w:ascii="Sylfaen" w:hAnsi="Sylfaen"/>
          <w:sz w:val="22"/>
          <w:szCs w:val="22"/>
        </w:rPr>
        <w:t>ცხრილი</w:t>
      </w:r>
      <w:proofErr w:type="spellEnd"/>
      <w:r w:rsidRPr="00335072">
        <w:rPr>
          <w:rFonts w:ascii="Sylfaen" w:hAnsi="Sylfaen"/>
          <w:sz w:val="22"/>
          <w:szCs w:val="22"/>
        </w:rPr>
        <w:t xml:space="preserve"> </w:t>
      </w:r>
      <w:r w:rsidRPr="00335072">
        <w:rPr>
          <w:rFonts w:ascii="Sylfaen" w:hAnsi="Sylfaen"/>
          <w:sz w:val="22"/>
          <w:szCs w:val="22"/>
        </w:rPr>
        <w:fldChar w:fldCharType="begin"/>
      </w:r>
      <w:r w:rsidRPr="00335072">
        <w:rPr>
          <w:rFonts w:ascii="Sylfaen" w:hAnsi="Sylfaen"/>
          <w:sz w:val="22"/>
          <w:szCs w:val="22"/>
        </w:rPr>
        <w:instrText xml:space="preserve"> SEQ ცხრილი \* ARABIC </w:instrText>
      </w:r>
      <w:r w:rsidRPr="00335072">
        <w:rPr>
          <w:rFonts w:ascii="Sylfaen" w:hAnsi="Sylfaen"/>
          <w:sz w:val="22"/>
          <w:szCs w:val="22"/>
        </w:rPr>
        <w:fldChar w:fldCharType="separate"/>
      </w:r>
      <w:r w:rsidR="00970DF7">
        <w:rPr>
          <w:rFonts w:ascii="Sylfaen" w:hAnsi="Sylfaen"/>
          <w:noProof/>
          <w:sz w:val="22"/>
          <w:szCs w:val="22"/>
        </w:rPr>
        <w:t>4</w:t>
      </w:r>
      <w:r w:rsidRPr="00335072">
        <w:rPr>
          <w:rFonts w:ascii="Sylfaen" w:hAnsi="Sylfaen"/>
          <w:sz w:val="22"/>
          <w:szCs w:val="22"/>
        </w:rPr>
        <w:fldChar w:fldCharType="end"/>
      </w:r>
    </w:p>
    <w:tbl>
      <w:tblPr>
        <w:tblStyle w:val="PlainTable3"/>
        <w:tblW w:w="10032" w:type="dxa"/>
        <w:tblLook w:val="04A0" w:firstRow="1" w:lastRow="0" w:firstColumn="1" w:lastColumn="0" w:noHBand="0" w:noVBand="1"/>
      </w:tblPr>
      <w:tblGrid>
        <w:gridCol w:w="2694"/>
        <w:gridCol w:w="992"/>
        <w:gridCol w:w="992"/>
        <w:gridCol w:w="1134"/>
        <w:gridCol w:w="1134"/>
        <w:gridCol w:w="3086"/>
      </w:tblGrid>
      <w:tr w:rsidR="00766750" w:rsidRPr="00D14074" w14:paraId="476690A4" w14:textId="77777777" w:rsidTr="00766750">
        <w:trPr>
          <w:cnfStyle w:val="100000000000" w:firstRow="1" w:lastRow="0" w:firstColumn="0" w:lastColumn="0" w:oddVBand="0" w:evenVBand="0" w:oddHBand="0" w:evenHBand="0" w:firstRowFirstColumn="0" w:firstRowLastColumn="0" w:lastRowFirstColumn="0" w:lastRowLastColumn="0"/>
          <w:trHeight w:val="270"/>
        </w:trPr>
        <w:tc>
          <w:tcPr>
            <w:cnfStyle w:val="001000000100" w:firstRow="0" w:lastRow="0" w:firstColumn="1" w:lastColumn="0" w:oddVBand="0" w:evenVBand="0" w:oddHBand="0" w:evenHBand="0" w:firstRowFirstColumn="1" w:firstRowLastColumn="0" w:lastRowFirstColumn="0" w:lastRowLastColumn="0"/>
            <w:tcW w:w="2694" w:type="dxa"/>
          </w:tcPr>
          <w:p w14:paraId="593A9E0C" w14:textId="0D06193D" w:rsidR="0033537F" w:rsidRPr="00D14074" w:rsidRDefault="6A614480" w:rsidP="00646F3A">
            <w:pPr>
              <w:jc w:val="both"/>
              <w:rPr>
                <w:rFonts w:ascii="Sylfaen" w:hAnsi="Sylfaen"/>
                <w:sz w:val="20"/>
                <w:szCs w:val="20"/>
              </w:rPr>
            </w:pPr>
            <w:r w:rsidRPr="00D14074">
              <w:rPr>
                <w:rFonts w:ascii="Sylfaen" w:hAnsi="Sylfaen"/>
                <w:sz w:val="20"/>
                <w:szCs w:val="20"/>
              </w:rPr>
              <w:t xml:space="preserve">NGA </w:t>
            </w:r>
            <w:proofErr w:type="spellStart"/>
            <w:r w:rsidRPr="00D14074">
              <w:rPr>
                <w:rFonts w:ascii="Sylfaen" w:hAnsi="Sylfaen"/>
                <w:sz w:val="20"/>
                <w:szCs w:val="20"/>
              </w:rPr>
              <w:t>პრემიუმი</w:t>
            </w:r>
            <w:proofErr w:type="spellEnd"/>
          </w:p>
        </w:tc>
        <w:tc>
          <w:tcPr>
            <w:tcW w:w="992" w:type="dxa"/>
          </w:tcPr>
          <w:p w14:paraId="38CE1F15" w14:textId="1746AFA2" w:rsidR="0033537F" w:rsidRPr="00D14074" w:rsidRDefault="0033537F" w:rsidP="00646F3A">
            <w:pPr>
              <w:jc w:val="right"/>
              <w:cnfStyle w:val="100000000000" w:firstRow="1" w:lastRow="0" w:firstColumn="0" w:lastColumn="0" w:oddVBand="0" w:evenVBand="0" w:oddHBand="0" w:evenHBand="0" w:firstRowFirstColumn="0" w:firstRowLastColumn="0" w:lastRowFirstColumn="0" w:lastRowLastColumn="0"/>
              <w:rPr>
                <w:rFonts w:ascii="Sylfaen" w:hAnsi="Sylfaen"/>
                <w:sz w:val="20"/>
                <w:szCs w:val="20"/>
              </w:rPr>
            </w:pPr>
            <w:r w:rsidRPr="00D14074">
              <w:rPr>
                <w:rFonts w:ascii="Sylfaen" w:hAnsi="Sylfaen"/>
                <w:sz w:val="20"/>
                <w:szCs w:val="20"/>
              </w:rPr>
              <w:t>2018</w:t>
            </w:r>
          </w:p>
        </w:tc>
        <w:tc>
          <w:tcPr>
            <w:tcW w:w="992" w:type="dxa"/>
          </w:tcPr>
          <w:p w14:paraId="568B319C" w14:textId="4D01E4EF" w:rsidR="0033537F" w:rsidRPr="00D14074" w:rsidRDefault="0033537F" w:rsidP="00646F3A">
            <w:pPr>
              <w:jc w:val="right"/>
              <w:cnfStyle w:val="100000000000" w:firstRow="1" w:lastRow="0" w:firstColumn="0" w:lastColumn="0" w:oddVBand="0" w:evenVBand="0" w:oddHBand="0" w:evenHBand="0" w:firstRowFirstColumn="0" w:firstRowLastColumn="0" w:lastRowFirstColumn="0" w:lastRowLastColumn="0"/>
              <w:rPr>
                <w:rFonts w:ascii="Sylfaen" w:hAnsi="Sylfaen"/>
                <w:sz w:val="20"/>
                <w:szCs w:val="20"/>
              </w:rPr>
            </w:pPr>
            <w:r w:rsidRPr="00D14074">
              <w:rPr>
                <w:rFonts w:ascii="Sylfaen" w:hAnsi="Sylfaen"/>
                <w:sz w:val="20"/>
                <w:szCs w:val="20"/>
              </w:rPr>
              <w:t>2019</w:t>
            </w:r>
          </w:p>
        </w:tc>
        <w:tc>
          <w:tcPr>
            <w:tcW w:w="1134" w:type="dxa"/>
          </w:tcPr>
          <w:p w14:paraId="34FB045D" w14:textId="76A640AB" w:rsidR="0033537F" w:rsidRPr="00D14074" w:rsidRDefault="0033537F" w:rsidP="00646F3A">
            <w:pPr>
              <w:jc w:val="right"/>
              <w:cnfStyle w:val="100000000000" w:firstRow="1" w:lastRow="0" w:firstColumn="0" w:lastColumn="0" w:oddVBand="0" w:evenVBand="0" w:oddHBand="0" w:evenHBand="0" w:firstRowFirstColumn="0" w:firstRowLastColumn="0" w:lastRowFirstColumn="0" w:lastRowLastColumn="0"/>
              <w:rPr>
                <w:rFonts w:ascii="Sylfaen" w:hAnsi="Sylfaen"/>
                <w:sz w:val="20"/>
                <w:szCs w:val="20"/>
              </w:rPr>
            </w:pPr>
            <w:r w:rsidRPr="00D14074">
              <w:rPr>
                <w:rFonts w:ascii="Sylfaen" w:hAnsi="Sylfaen"/>
                <w:sz w:val="20"/>
                <w:szCs w:val="20"/>
              </w:rPr>
              <w:t xml:space="preserve"> FTTC</w:t>
            </w:r>
          </w:p>
        </w:tc>
        <w:tc>
          <w:tcPr>
            <w:tcW w:w="1134" w:type="dxa"/>
          </w:tcPr>
          <w:p w14:paraId="1CE343B2" w14:textId="5F464DF1" w:rsidR="0033537F" w:rsidRPr="00D14074" w:rsidRDefault="0033537F" w:rsidP="00646F3A">
            <w:pPr>
              <w:jc w:val="right"/>
              <w:cnfStyle w:val="100000000000" w:firstRow="1" w:lastRow="0" w:firstColumn="0" w:lastColumn="0" w:oddVBand="0" w:evenVBand="0" w:oddHBand="0" w:evenHBand="0" w:firstRowFirstColumn="0" w:firstRowLastColumn="0" w:lastRowFirstColumn="0" w:lastRowLastColumn="0"/>
              <w:rPr>
                <w:rFonts w:ascii="Sylfaen" w:hAnsi="Sylfaen"/>
                <w:sz w:val="20"/>
                <w:szCs w:val="20"/>
              </w:rPr>
            </w:pPr>
            <w:r w:rsidRPr="00D14074">
              <w:rPr>
                <w:rFonts w:ascii="Sylfaen" w:hAnsi="Sylfaen"/>
                <w:sz w:val="20"/>
                <w:szCs w:val="20"/>
              </w:rPr>
              <w:t>FTTB</w:t>
            </w:r>
          </w:p>
        </w:tc>
        <w:tc>
          <w:tcPr>
            <w:tcW w:w="3086" w:type="dxa"/>
          </w:tcPr>
          <w:p w14:paraId="55A8CA52" w14:textId="3C1AFEBB" w:rsidR="0033537F" w:rsidRPr="00D14074" w:rsidRDefault="0033537F" w:rsidP="00646F3A">
            <w:pPr>
              <w:jc w:val="right"/>
              <w:cnfStyle w:val="100000000000" w:firstRow="1" w:lastRow="0" w:firstColumn="0" w:lastColumn="0" w:oddVBand="0" w:evenVBand="0" w:oddHBand="0"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 xml:space="preserve">რომელი ინფრასტრუქტურა </w:t>
            </w:r>
          </w:p>
        </w:tc>
      </w:tr>
      <w:tr w:rsidR="00766750" w:rsidRPr="00D14074" w14:paraId="0C161E50" w14:textId="77777777" w:rsidTr="00A57A6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94" w:type="dxa"/>
          </w:tcPr>
          <w:p w14:paraId="44C7D026" w14:textId="39EDCE3B" w:rsidR="007133C5" w:rsidRPr="00D14074" w:rsidRDefault="007133C5" w:rsidP="00646F3A">
            <w:pPr>
              <w:jc w:val="both"/>
              <w:rPr>
                <w:rFonts w:ascii="Sylfaen" w:hAnsi="Sylfaen"/>
                <w:sz w:val="20"/>
                <w:szCs w:val="20"/>
                <w:lang w:val="ka-GE"/>
              </w:rPr>
            </w:pPr>
            <w:r w:rsidRPr="00D14074">
              <w:rPr>
                <w:rFonts w:ascii="Sylfaen" w:hAnsi="Sylfaen"/>
                <w:sz w:val="20"/>
                <w:szCs w:val="20"/>
                <w:lang w:val="ka-GE"/>
              </w:rPr>
              <w:t>ჩეხეთი</w:t>
            </w:r>
          </w:p>
        </w:tc>
        <w:tc>
          <w:tcPr>
            <w:tcW w:w="992" w:type="dxa"/>
            <w:vAlign w:val="bottom"/>
          </w:tcPr>
          <w:p w14:paraId="40892336" w14:textId="15C78BC1" w:rsidR="007133C5" w:rsidRPr="00D14074" w:rsidRDefault="007133C5"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D14074">
              <w:rPr>
                <w:rFonts w:ascii="Sylfaen" w:hAnsi="Sylfaen"/>
                <w:sz w:val="20"/>
                <w:szCs w:val="20"/>
              </w:rPr>
              <w:t>3.31%</w:t>
            </w:r>
          </w:p>
        </w:tc>
        <w:tc>
          <w:tcPr>
            <w:tcW w:w="992" w:type="dxa"/>
            <w:vAlign w:val="bottom"/>
          </w:tcPr>
          <w:p w14:paraId="6818AD8D" w14:textId="506D4EC3" w:rsidR="007133C5" w:rsidRPr="00D14074" w:rsidRDefault="007133C5"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D14074">
              <w:rPr>
                <w:rFonts w:ascii="Sylfaen" w:hAnsi="Sylfaen"/>
                <w:sz w:val="20"/>
                <w:szCs w:val="20"/>
              </w:rPr>
              <w:t>1.41%</w:t>
            </w:r>
          </w:p>
        </w:tc>
        <w:tc>
          <w:tcPr>
            <w:tcW w:w="1134" w:type="dxa"/>
            <w:vAlign w:val="bottom"/>
          </w:tcPr>
          <w:p w14:paraId="15C6D962" w14:textId="0E207E75" w:rsidR="007133C5" w:rsidRPr="00D14074" w:rsidRDefault="007133C5"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არა</w:t>
            </w:r>
          </w:p>
        </w:tc>
        <w:tc>
          <w:tcPr>
            <w:tcW w:w="1134" w:type="dxa"/>
            <w:vAlign w:val="bottom"/>
          </w:tcPr>
          <w:p w14:paraId="088E524E" w14:textId="2B1E9E64" w:rsidR="007133C5" w:rsidRPr="00D14074" w:rsidRDefault="007133C5"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დიახ</w:t>
            </w:r>
          </w:p>
        </w:tc>
        <w:tc>
          <w:tcPr>
            <w:tcW w:w="3086" w:type="dxa"/>
            <w:vAlign w:val="bottom"/>
          </w:tcPr>
          <w:p w14:paraId="56F83BAC" w14:textId="77777777" w:rsidR="007133C5" w:rsidRPr="00D14074" w:rsidRDefault="007133C5"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p>
        </w:tc>
      </w:tr>
      <w:tr w:rsidR="00766750" w:rsidRPr="00D14074" w14:paraId="3F3924D6" w14:textId="77777777" w:rsidTr="00A57A6F">
        <w:trPr>
          <w:trHeight w:val="284"/>
        </w:trPr>
        <w:tc>
          <w:tcPr>
            <w:cnfStyle w:val="001000000000" w:firstRow="0" w:lastRow="0" w:firstColumn="1" w:lastColumn="0" w:oddVBand="0" w:evenVBand="0" w:oddHBand="0" w:evenHBand="0" w:firstRowFirstColumn="0" w:firstRowLastColumn="0" w:lastRowFirstColumn="0" w:lastRowLastColumn="0"/>
            <w:tcW w:w="2694" w:type="dxa"/>
          </w:tcPr>
          <w:p w14:paraId="47959AF5" w14:textId="63CA2224" w:rsidR="0033537F" w:rsidRPr="00D14074" w:rsidRDefault="007133C5" w:rsidP="00646F3A">
            <w:pPr>
              <w:jc w:val="both"/>
              <w:rPr>
                <w:rFonts w:ascii="Sylfaen" w:hAnsi="Sylfaen"/>
                <w:sz w:val="20"/>
                <w:szCs w:val="20"/>
                <w:lang w:val="ka-GE"/>
              </w:rPr>
            </w:pPr>
            <w:r w:rsidRPr="00D14074">
              <w:rPr>
                <w:rFonts w:ascii="Sylfaen" w:hAnsi="Sylfaen"/>
                <w:sz w:val="20"/>
                <w:szCs w:val="20"/>
                <w:lang w:val="ka-GE"/>
              </w:rPr>
              <w:t>დანია</w:t>
            </w:r>
          </w:p>
        </w:tc>
        <w:tc>
          <w:tcPr>
            <w:tcW w:w="992" w:type="dxa"/>
            <w:vAlign w:val="bottom"/>
          </w:tcPr>
          <w:p w14:paraId="5166962C" w14:textId="695FC06F" w:rsidR="0033537F" w:rsidRPr="00D14074" w:rsidRDefault="007133C5"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2%</w:t>
            </w:r>
          </w:p>
        </w:tc>
        <w:tc>
          <w:tcPr>
            <w:tcW w:w="992" w:type="dxa"/>
            <w:vAlign w:val="bottom"/>
          </w:tcPr>
          <w:p w14:paraId="679C08C6" w14:textId="06C4F364" w:rsidR="0033537F" w:rsidRPr="00D14074" w:rsidRDefault="007133C5"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2%</w:t>
            </w:r>
          </w:p>
        </w:tc>
        <w:tc>
          <w:tcPr>
            <w:tcW w:w="1134" w:type="dxa"/>
            <w:vAlign w:val="bottom"/>
          </w:tcPr>
          <w:p w14:paraId="68097842" w14:textId="191CB328" w:rsidR="0033537F" w:rsidRPr="00D14074" w:rsidRDefault="007133C5"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დიახ</w:t>
            </w:r>
          </w:p>
        </w:tc>
        <w:tc>
          <w:tcPr>
            <w:tcW w:w="1134" w:type="dxa"/>
            <w:vAlign w:val="bottom"/>
          </w:tcPr>
          <w:p w14:paraId="4E575E22" w14:textId="558B11BE" w:rsidR="0033537F" w:rsidRPr="00D14074" w:rsidRDefault="007133C5"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დიახ</w:t>
            </w:r>
          </w:p>
        </w:tc>
        <w:tc>
          <w:tcPr>
            <w:tcW w:w="3086" w:type="dxa"/>
            <w:vAlign w:val="bottom"/>
          </w:tcPr>
          <w:p w14:paraId="08C3163F" w14:textId="6690DBF3" w:rsidR="0033537F" w:rsidRPr="00D14074" w:rsidRDefault="007133C5"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პასიური და აქტიური</w:t>
            </w:r>
          </w:p>
        </w:tc>
      </w:tr>
      <w:tr w:rsidR="00766750" w:rsidRPr="00D14074" w14:paraId="6BBFFC7F" w14:textId="77777777" w:rsidTr="00A57A6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94" w:type="dxa"/>
          </w:tcPr>
          <w:p w14:paraId="0E46F731" w14:textId="0C6E56AA" w:rsidR="007133C5" w:rsidRPr="00D14074" w:rsidRDefault="007133C5" w:rsidP="00646F3A">
            <w:pPr>
              <w:jc w:val="both"/>
              <w:rPr>
                <w:rFonts w:ascii="Sylfaen" w:hAnsi="Sylfaen"/>
                <w:sz w:val="20"/>
                <w:szCs w:val="20"/>
                <w:lang w:val="ka-GE"/>
              </w:rPr>
            </w:pPr>
            <w:r w:rsidRPr="00D14074">
              <w:rPr>
                <w:rFonts w:ascii="Sylfaen" w:hAnsi="Sylfaen"/>
                <w:sz w:val="20"/>
                <w:szCs w:val="20"/>
                <w:lang w:val="ka-GE"/>
              </w:rPr>
              <w:t>ესპანეთი</w:t>
            </w:r>
          </w:p>
        </w:tc>
        <w:tc>
          <w:tcPr>
            <w:tcW w:w="992" w:type="dxa"/>
            <w:vAlign w:val="bottom"/>
          </w:tcPr>
          <w:p w14:paraId="5385D749" w14:textId="38B3EC3E" w:rsidR="007133C5" w:rsidRPr="00D14074" w:rsidRDefault="007133C5"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D14074">
              <w:rPr>
                <w:rFonts w:ascii="Sylfaen" w:hAnsi="Sylfaen"/>
                <w:sz w:val="20"/>
                <w:szCs w:val="20"/>
              </w:rPr>
              <w:t>4.81%</w:t>
            </w:r>
          </w:p>
        </w:tc>
        <w:tc>
          <w:tcPr>
            <w:tcW w:w="992" w:type="dxa"/>
            <w:vAlign w:val="bottom"/>
          </w:tcPr>
          <w:p w14:paraId="50A0E61B" w14:textId="697AD1F9" w:rsidR="007133C5" w:rsidRPr="00D14074" w:rsidRDefault="007133C5"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D14074">
              <w:rPr>
                <w:rFonts w:ascii="Sylfaen" w:hAnsi="Sylfaen"/>
                <w:sz w:val="20"/>
                <w:szCs w:val="20"/>
              </w:rPr>
              <w:t>4.81%</w:t>
            </w:r>
          </w:p>
        </w:tc>
        <w:tc>
          <w:tcPr>
            <w:tcW w:w="1134" w:type="dxa"/>
            <w:vAlign w:val="bottom"/>
          </w:tcPr>
          <w:p w14:paraId="47A88ACD" w14:textId="34471E7D" w:rsidR="007133C5" w:rsidRPr="00D14074" w:rsidRDefault="007133C5"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არა</w:t>
            </w:r>
          </w:p>
        </w:tc>
        <w:tc>
          <w:tcPr>
            <w:tcW w:w="1134" w:type="dxa"/>
            <w:vAlign w:val="bottom"/>
          </w:tcPr>
          <w:p w14:paraId="27E1B104" w14:textId="2BDF63AC" w:rsidR="007133C5" w:rsidRPr="00D14074" w:rsidRDefault="007133C5"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არა</w:t>
            </w:r>
          </w:p>
        </w:tc>
        <w:tc>
          <w:tcPr>
            <w:tcW w:w="3086" w:type="dxa"/>
            <w:vAlign w:val="bottom"/>
          </w:tcPr>
          <w:p w14:paraId="1850B86D" w14:textId="348D706E" w:rsidR="007133C5" w:rsidRPr="00D14074" w:rsidRDefault="007133C5"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მხოლოდ აქტიური</w:t>
            </w:r>
          </w:p>
        </w:tc>
      </w:tr>
      <w:tr w:rsidR="00766750" w:rsidRPr="00D14074" w14:paraId="66D90CFF" w14:textId="77777777" w:rsidTr="00A57A6F">
        <w:trPr>
          <w:trHeight w:val="270"/>
        </w:trPr>
        <w:tc>
          <w:tcPr>
            <w:cnfStyle w:val="001000000000" w:firstRow="0" w:lastRow="0" w:firstColumn="1" w:lastColumn="0" w:oddVBand="0" w:evenVBand="0" w:oddHBand="0" w:evenHBand="0" w:firstRowFirstColumn="0" w:firstRowLastColumn="0" w:lastRowFirstColumn="0" w:lastRowLastColumn="0"/>
            <w:tcW w:w="2694" w:type="dxa"/>
          </w:tcPr>
          <w:p w14:paraId="7EBDAD88" w14:textId="2FF3C1F3" w:rsidR="00FA0369" w:rsidRPr="00D14074" w:rsidRDefault="00FA0369" w:rsidP="00646F3A">
            <w:pPr>
              <w:jc w:val="both"/>
              <w:rPr>
                <w:rFonts w:ascii="Sylfaen" w:hAnsi="Sylfaen"/>
                <w:sz w:val="20"/>
                <w:szCs w:val="20"/>
                <w:lang w:val="ka-GE"/>
              </w:rPr>
            </w:pPr>
            <w:r w:rsidRPr="00D14074">
              <w:rPr>
                <w:rFonts w:ascii="Sylfaen" w:hAnsi="Sylfaen"/>
                <w:sz w:val="20"/>
                <w:szCs w:val="20"/>
                <w:lang w:val="ka-GE"/>
              </w:rPr>
              <w:t>ხორვატია</w:t>
            </w:r>
          </w:p>
        </w:tc>
        <w:tc>
          <w:tcPr>
            <w:tcW w:w="992" w:type="dxa"/>
            <w:vAlign w:val="bottom"/>
          </w:tcPr>
          <w:p w14:paraId="4DB74074" w14:textId="2959FD8C" w:rsidR="00FA0369" w:rsidRPr="00D14074" w:rsidRDefault="00FA0369"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rPr>
            </w:pPr>
            <w:r w:rsidRPr="00D14074">
              <w:rPr>
                <w:rFonts w:ascii="Sylfaen" w:hAnsi="Sylfaen"/>
                <w:sz w:val="20"/>
                <w:szCs w:val="20"/>
              </w:rPr>
              <w:t>3.30%</w:t>
            </w:r>
          </w:p>
        </w:tc>
        <w:tc>
          <w:tcPr>
            <w:tcW w:w="992" w:type="dxa"/>
            <w:vAlign w:val="bottom"/>
          </w:tcPr>
          <w:p w14:paraId="0A307A56" w14:textId="7775A900" w:rsidR="00FA0369" w:rsidRPr="00D14074" w:rsidRDefault="00FA0369"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rPr>
            </w:pPr>
            <w:r w:rsidRPr="00D14074">
              <w:rPr>
                <w:rFonts w:ascii="Sylfaen" w:hAnsi="Sylfaen"/>
                <w:sz w:val="20"/>
                <w:szCs w:val="20"/>
              </w:rPr>
              <w:t>3.30%</w:t>
            </w:r>
          </w:p>
        </w:tc>
        <w:tc>
          <w:tcPr>
            <w:tcW w:w="1134" w:type="dxa"/>
            <w:vAlign w:val="bottom"/>
          </w:tcPr>
          <w:p w14:paraId="00D1E0B4" w14:textId="59765AE0" w:rsidR="00FA0369" w:rsidRPr="00D14074" w:rsidRDefault="00FA0369"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არა</w:t>
            </w:r>
          </w:p>
        </w:tc>
        <w:tc>
          <w:tcPr>
            <w:tcW w:w="1134" w:type="dxa"/>
            <w:vAlign w:val="bottom"/>
          </w:tcPr>
          <w:p w14:paraId="0EA61A5B" w14:textId="54B8C9D2" w:rsidR="00FA0369" w:rsidRPr="00D14074" w:rsidRDefault="00FA0369"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დიახ</w:t>
            </w:r>
          </w:p>
        </w:tc>
        <w:tc>
          <w:tcPr>
            <w:tcW w:w="3086" w:type="dxa"/>
            <w:vAlign w:val="bottom"/>
          </w:tcPr>
          <w:p w14:paraId="154DDB0C" w14:textId="7E39EDE1" w:rsidR="00FA0369" w:rsidRPr="00D14074" w:rsidRDefault="00FA0369"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rPr>
            </w:pPr>
            <w:r w:rsidRPr="00D14074">
              <w:rPr>
                <w:rFonts w:ascii="Sylfaen" w:hAnsi="Sylfaen"/>
                <w:sz w:val="20"/>
                <w:szCs w:val="20"/>
                <w:lang w:val="ka-GE"/>
              </w:rPr>
              <w:t>პასიური და აქტიური</w:t>
            </w:r>
          </w:p>
        </w:tc>
      </w:tr>
      <w:tr w:rsidR="00766750" w:rsidRPr="00D14074" w14:paraId="631F40E4" w14:textId="77777777" w:rsidTr="00A57A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94" w:type="dxa"/>
          </w:tcPr>
          <w:p w14:paraId="2FD48C95" w14:textId="1C6613AA" w:rsidR="00FA0369" w:rsidRPr="00D14074" w:rsidRDefault="00FA0369" w:rsidP="00646F3A">
            <w:pPr>
              <w:jc w:val="both"/>
              <w:rPr>
                <w:rFonts w:ascii="Sylfaen" w:hAnsi="Sylfaen"/>
                <w:sz w:val="20"/>
                <w:szCs w:val="20"/>
                <w:lang w:val="ka-GE"/>
              </w:rPr>
            </w:pPr>
            <w:r w:rsidRPr="00D14074">
              <w:rPr>
                <w:rFonts w:ascii="Sylfaen" w:hAnsi="Sylfaen"/>
                <w:sz w:val="20"/>
                <w:szCs w:val="20"/>
                <w:lang w:val="ka-GE"/>
              </w:rPr>
              <w:t>იტალია</w:t>
            </w:r>
          </w:p>
        </w:tc>
        <w:tc>
          <w:tcPr>
            <w:tcW w:w="992" w:type="dxa"/>
            <w:vAlign w:val="bottom"/>
          </w:tcPr>
          <w:p w14:paraId="08220E8B" w14:textId="35934307" w:rsidR="00FA0369" w:rsidRPr="00D14074" w:rsidRDefault="00FA0369"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D14074">
              <w:rPr>
                <w:rFonts w:ascii="Sylfaen" w:hAnsi="Sylfaen"/>
                <w:sz w:val="20"/>
                <w:szCs w:val="20"/>
              </w:rPr>
              <w:t>3.20%</w:t>
            </w:r>
          </w:p>
        </w:tc>
        <w:tc>
          <w:tcPr>
            <w:tcW w:w="992" w:type="dxa"/>
            <w:vAlign w:val="bottom"/>
          </w:tcPr>
          <w:p w14:paraId="1D9498E1" w14:textId="6D7F2FF8" w:rsidR="00FA0369" w:rsidRPr="00D14074" w:rsidRDefault="00FA0369"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D14074">
              <w:rPr>
                <w:rFonts w:ascii="Sylfaen" w:hAnsi="Sylfaen"/>
                <w:sz w:val="20"/>
                <w:szCs w:val="20"/>
              </w:rPr>
              <w:t>3.20%</w:t>
            </w:r>
          </w:p>
        </w:tc>
        <w:tc>
          <w:tcPr>
            <w:tcW w:w="1134" w:type="dxa"/>
            <w:vAlign w:val="bottom"/>
          </w:tcPr>
          <w:p w14:paraId="68B9B3EC" w14:textId="430ACA17" w:rsidR="00FA0369" w:rsidRPr="00D14074" w:rsidRDefault="00FA0369"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არა</w:t>
            </w:r>
          </w:p>
        </w:tc>
        <w:tc>
          <w:tcPr>
            <w:tcW w:w="1134" w:type="dxa"/>
            <w:vAlign w:val="bottom"/>
          </w:tcPr>
          <w:p w14:paraId="373849D0" w14:textId="77777777" w:rsidR="00FA0369" w:rsidRPr="00D14074" w:rsidRDefault="00FA0369"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p>
        </w:tc>
        <w:tc>
          <w:tcPr>
            <w:tcW w:w="3086" w:type="dxa"/>
            <w:vAlign w:val="bottom"/>
          </w:tcPr>
          <w:p w14:paraId="05748BAE" w14:textId="3228228A" w:rsidR="00FA0369" w:rsidRPr="00D14074" w:rsidRDefault="00FA0369"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D14074">
              <w:rPr>
                <w:rFonts w:ascii="Sylfaen" w:hAnsi="Sylfaen"/>
                <w:sz w:val="20"/>
                <w:szCs w:val="20"/>
                <w:lang w:val="ka-GE"/>
              </w:rPr>
              <w:t>პასიური და აქტიური</w:t>
            </w:r>
          </w:p>
        </w:tc>
      </w:tr>
      <w:tr w:rsidR="00766750" w:rsidRPr="00D14074" w14:paraId="1010CC10" w14:textId="77777777" w:rsidTr="00A57A6F">
        <w:trPr>
          <w:trHeight w:val="270"/>
        </w:trPr>
        <w:tc>
          <w:tcPr>
            <w:cnfStyle w:val="001000000000" w:firstRow="0" w:lastRow="0" w:firstColumn="1" w:lastColumn="0" w:oddVBand="0" w:evenVBand="0" w:oddHBand="0" w:evenHBand="0" w:firstRowFirstColumn="0" w:firstRowLastColumn="0" w:lastRowFirstColumn="0" w:lastRowLastColumn="0"/>
            <w:tcW w:w="2694" w:type="dxa"/>
          </w:tcPr>
          <w:p w14:paraId="3A7B5338" w14:textId="39F5EF03" w:rsidR="00FA0369" w:rsidRPr="00D14074" w:rsidRDefault="00FA0369" w:rsidP="00646F3A">
            <w:pPr>
              <w:jc w:val="both"/>
              <w:rPr>
                <w:rFonts w:ascii="Sylfaen" w:hAnsi="Sylfaen"/>
                <w:sz w:val="20"/>
                <w:szCs w:val="20"/>
                <w:lang w:val="ka-GE"/>
              </w:rPr>
            </w:pPr>
            <w:r w:rsidRPr="00D14074">
              <w:rPr>
                <w:rFonts w:ascii="Sylfaen" w:hAnsi="Sylfaen"/>
                <w:sz w:val="20"/>
                <w:szCs w:val="20"/>
                <w:lang w:val="ka-GE"/>
              </w:rPr>
              <w:t>ლუქსემბურგი</w:t>
            </w:r>
          </w:p>
        </w:tc>
        <w:tc>
          <w:tcPr>
            <w:tcW w:w="992" w:type="dxa"/>
            <w:vAlign w:val="bottom"/>
          </w:tcPr>
          <w:p w14:paraId="283450BB" w14:textId="502FB3B2" w:rsidR="00FA0369" w:rsidRPr="00D14074" w:rsidRDefault="00FA0369"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rPr>
            </w:pPr>
            <w:r w:rsidRPr="00D14074">
              <w:rPr>
                <w:rFonts w:ascii="Sylfaen" w:hAnsi="Sylfaen"/>
                <w:sz w:val="20"/>
                <w:szCs w:val="20"/>
              </w:rPr>
              <w:t>2.50%</w:t>
            </w:r>
          </w:p>
        </w:tc>
        <w:tc>
          <w:tcPr>
            <w:tcW w:w="992" w:type="dxa"/>
            <w:vAlign w:val="bottom"/>
          </w:tcPr>
          <w:p w14:paraId="7A09D10C" w14:textId="510DA0D5" w:rsidR="00FA0369" w:rsidRPr="00D14074" w:rsidRDefault="00FA0369"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rPr>
            </w:pPr>
            <w:r w:rsidRPr="00D14074">
              <w:rPr>
                <w:rFonts w:ascii="Sylfaen" w:hAnsi="Sylfaen"/>
                <w:sz w:val="20"/>
                <w:szCs w:val="20"/>
              </w:rPr>
              <w:t>2.50%</w:t>
            </w:r>
          </w:p>
        </w:tc>
        <w:tc>
          <w:tcPr>
            <w:tcW w:w="1134" w:type="dxa"/>
            <w:vAlign w:val="bottom"/>
          </w:tcPr>
          <w:p w14:paraId="65A5C5A0" w14:textId="770CC936" w:rsidR="00FA0369" w:rsidRPr="00D14074" w:rsidRDefault="00FA0369"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დიახ</w:t>
            </w:r>
          </w:p>
        </w:tc>
        <w:tc>
          <w:tcPr>
            <w:tcW w:w="1134" w:type="dxa"/>
            <w:vAlign w:val="bottom"/>
          </w:tcPr>
          <w:p w14:paraId="239B662A" w14:textId="622598DE" w:rsidR="00FA0369" w:rsidRPr="00D14074" w:rsidRDefault="00FA0369"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დიახ</w:t>
            </w:r>
          </w:p>
        </w:tc>
        <w:tc>
          <w:tcPr>
            <w:tcW w:w="3086" w:type="dxa"/>
            <w:vAlign w:val="bottom"/>
          </w:tcPr>
          <w:p w14:paraId="1BAB2756" w14:textId="61B85D70" w:rsidR="00FA0369" w:rsidRPr="00D14074" w:rsidRDefault="00FA0369"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rPr>
            </w:pPr>
            <w:r w:rsidRPr="00D14074">
              <w:rPr>
                <w:rFonts w:ascii="Sylfaen" w:hAnsi="Sylfaen"/>
                <w:sz w:val="20"/>
                <w:szCs w:val="20"/>
                <w:lang w:val="ka-GE"/>
              </w:rPr>
              <w:t>პასიური და აქტიური</w:t>
            </w:r>
          </w:p>
        </w:tc>
      </w:tr>
      <w:tr w:rsidR="00766750" w:rsidRPr="00D14074" w14:paraId="282BE842" w14:textId="77777777" w:rsidTr="00A57A6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94" w:type="dxa"/>
          </w:tcPr>
          <w:p w14:paraId="6F712FAB" w14:textId="5A1FF8F7" w:rsidR="00FA0369" w:rsidRPr="00D14074" w:rsidRDefault="00FA0369" w:rsidP="00646F3A">
            <w:pPr>
              <w:jc w:val="both"/>
              <w:rPr>
                <w:rFonts w:ascii="Sylfaen" w:hAnsi="Sylfaen"/>
                <w:sz w:val="20"/>
                <w:szCs w:val="20"/>
                <w:lang w:val="ka-GE"/>
              </w:rPr>
            </w:pPr>
            <w:r w:rsidRPr="00D14074">
              <w:rPr>
                <w:rFonts w:ascii="Sylfaen" w:hAnsi="Sylfaen"/>
                <w:sz w:val="20"/>
                <w:szCs w:val="20"/>
                <w:lang w:val="ka-GE"/>
              </w:rPr>
              <w:t>ნიდერლანდები</w:t>
            </w:r>
          </w:p>
        </w:tc>
        <w:tc>
          <w:tcPr>
            <w:tcW w:w="992" w:type="dxa"/>
            <w:vAlign w:val="bottom"/>
          </w:tcPr>
          <w:p w14:paraId="643E9341" w14:textId="194E11A3" w:rsidR="00FA0369" w:rsidRPr="00D14074" w:rsidRDefault="00FA0369"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D14074">
              <w:rPr>
                <w:rFonts w:ascii="Sylfaen" w:hAnsi="Sylfaen"/>
                <w:sz w:val="20"/>
                <w:szCs w:val="20"/>
              </w:rPr>
              <w:t>2%</w:t>
            </w:r>
          </w:p>
        </w:tc>
        <w:tc>
          <w:tcPr>
            <w:tcW w:w="992" w:type="dxa"/>
            <w:vAlign w:val="bottom"/>
          </w:tcPr>
          <w:p w14:paraId="4FA40040" w14:textId="1BCAA4DB" w:rsidR="00FA0369" w:rsidRPr="00D14074" w:rsidRDefault="00FA0369"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D14074">
              <w:rPr>
                <w:rFonts w:ascii="Sylfaen" w:hAnsi="Sylfaen"/>
                <w:sz w:val="20"/>
                <w:szCs w:val="20"/>
              </w:rPr>
              <w:t>2%</w:t>
            </w:r>
          </w:p>
        </w:tc>
        <w:tc>
          <w:tcPr>
            <w:tcW w:w="1134" w:type="dxa"/>
            <w:vAlign w:val="bottom"/>
          </w:tcPr>
          <w:p w14:paraId="61AA76B5" w14:textId="742D0BE7" w:rsidR="00FA0369" w:rsidRPr="00D14074" w:rsidRDefault="00FA0369"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არა</w:t>
            </w:r>
          </w:p>
        </w:tc>
        <w:tc>
          <w:tcPr>
            <w:tcW w:w="1134" w:type="dxa"/>
            <w:vAlign w:val="bottom"/>
          </w:tcPr>
          <w:p w14:paraId="6398E753" w14:textId="166831DF" w:rsidR="00FA0369" w:rsidRPr="00D14074" w:rsidRDefault="00FA0369"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არა</w:t>
            </w:r>
          </w:p>
        </w:tc>
        <w:tc>
          <w:tcPr>
            <w:tcW w:w="3086" w:type="dxa"/>
            <w:vAlign w:val="bottom"/>
          </w:tcPr>
          <w:p w14:paraId="7BEF58BB" w14:textId="47D9F888" w:rsidR="00FA0369" w:rsidRPr="00D14074" w:rsidRDefault="00FA0369"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მხოლოდ პასიური</w:t>
            </w:r>
          </w:p>
        </w:tc>
      </w:tr>
      <w:tr w:rsidR="00766750" w:rsidRPr="00D14074" w14:paraId="42AC5609" w14:textId="77777777" w:rsidTr="00A57A6F">
        <w:trPr>
          <w:trHeight w:val="270"/>
        </w:trPr>
        <w:tc>
          <w:tcPr>
            <w:cnfStyle w:val="001000000000" w:firstRow="0" w:lastRow="0" w:firstColumn="1" w:lastColumn="0" w:oddVBand="0" w:evenVBand="0" w:oddHBand="0" w:evenHBand="0" w:firstRowFirstColumn="0" w:firstRowLastColumn="0" w:lastRowFirstColumn="0" w:lastRowLastColumn="0"/>
            <w:tcW w:w="2694" w:type="dxa"/>
          </w:tcPr>
          <w:p w14:paraId="3779FC3A" w14:textId="74A92885" w:rsidR="00FA0369" w:rsidRPr="00D14074" w:rsidRDefault="00FA0369" w:rsidP="00646F3A">
            <w:pPr>
              <w:jc w:val="both"/>
              <w:rPr>
                <w:rFonts w:ascii="Sylfaen" w:hAnsi="Sylfaen"/>
                <w:sz w:val="20"/>
                <w:szCs w:val="20"/>
                <w:lang w:val="ka-GE"/>
              </w:rPr>
            </w:pPr>
            <w:r w:rsidRPr="00D14074">
              <w:rPr>
                <w:rFonts w:ascii="Sylfaen" w:hAnsi="Sylfaen"/>
                <w:sz w:val="20"/>
                <w:szCs w:val="20"/>
                <w:lang w:val="ka-GE"/>
              </w:rPr>
              <w:t>პოლონეთი</w:t>
            </w:r>
          </w:p>
        </w:tc>
        <w:tc>
          <w:tcPr>
            <w:tcW w:w="992" w:type="dxa"/>
            <w:vAlign w:val="bottom"/>
          </w:tcPr>
          <w:p w14:paraId="5DCE0526" w14:textId="77777777" w:rsidR="00FA0369" w:rsidRPr="00D14074" w:rsidRDefault="00FA0369"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rPr>
            </w:pPr>
          </w:p>
        </w:tc>
        <w:tc>
          <w:tcPr>
            <w:tcW w:w="992" w:type="dxa"/>
            <w:vAlign w:val="bottom"/>
          </w:tcPr>
          <w:p w14:paraId="43A878F7" w14:textId="075002E3" w:rsidR="00FA0369" w:rsidRPr="00D14074" w:rsidRDefault="00FA0369"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1.25%</w:t>
            </w:r>
          </w:p>
        </w:tc>
        <w:tc>
          <w:tcPr>
            <w:tcW w:w="1134" w:type="dxa"/>
            <w:vAlign w:val="bottom"/>
          </w:tcPr>
          <w:p w14:paraId="313586BB" w14:textId="6B29C193" w:rsidR="00FA0369" w:rsidRPr="00D14074" w:rsidRDefault="00FA0369"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დიახ</w:t>
            </w:r>
          </w:p>
        </w:tc>
        <w:tc>
          <w:tcPr>
            <w:tcW w:w="1134" w:type="dxa"/>
            <w:vAlign w:val="bottom"/>
          </w:tcPr>
          <w:p w14:paraId="6D7E7618" w14:textId="64375A7D" w:rsidR="00FA0369" w:rsidRPr="00D14074" w:rsidRDefault="00FA0369"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დიახ</w:t>
            </w:r>
          </w:p>
        </w:tc>
        <w:tc>
          <w:tcPr>
            <w:tcW w:w="3086" w:type="dxa"/>
            <w:vAlign w:val="bottom"/>
          </w:tcPr>
          <w:p w14:paraId="27855F78" w14:textId="33A319F6" w:rsidR="00FA0369" w:rsidRPr="00D14074" w:rsidRDefault="00FA0369"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 xml:space="preserve"> მხოლოდ აქტიური</w:t>
            </w:r>
          </w:p>
        </w:tc>
      </w:tr>
      <w:tr w:rsidR="00766750" w:rsidRPr="00D14074" w14:paraId="0C2E7BDE" w14:textId="77777777" w:rsidTr="00A57A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694" w:type="dxa"/>
          </w:tcPr>
          <w:p w14:paraId="686D7022" w14:textId="1EADDD01" w:rsidR="00FA0369" w:rsidRPr="00D14074" w:rsidRDefault="00FA0369" w:rsidP="00646F3A">
            <w:pPr>
              <w:jc w:val="both"/>
              <w:rPr>
                <w:rFonts w:ascii="Sylfaen" w:hAnsi="Sylfaen"/>
                <w:sz w:val="20"/>
                <w:szCs w:val="20"/>
                <w:lang w:val="ka-GE"/>
              </w:rPr>
            </w:pPr>
            <w:r w:rsidRPr="00D14074">
              <w:rPr>
                <w:rFonts w:ascii="Sylfaen" w:hAnsi="Sylfaen"/>
                <w:sz w:val="20"/>
                <w:szCs w:val="20"/>
                <w:lang w:val="ka-GE"/>
              </w:rPr>
              <w:t>სლოვენია</w:t>
            </w:r>
          </w:p>
        </w:tc>
        <w:tc>
          <w:tcPr>
            <w:tcW w:w="992" w:type="dxa"/>
          </w:tcPr>
          <w:p w14:paraId="4973B286" w14:textId="606A4824" w:rsidR="00FA0369" w:rsidRPr="00D14074" w:rsidRDefault="00FA0369"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D14074">
              <w:rPr>
                <w:rFonts w:ascii="Sylfaen" w:hAnsi="Sylfaen"/>
                <w:sz w:val="20"/>
                <w:szCs w:val="20"/>
              </w:rPr>
              <w:t>0.61%</w:t>
            </w:r>
          </w:p>
        </w:tc>
        <w:tc>
          <w:tcPr>
            <w:tcW w:w="992" w:type="dxa"/>
          </w:tcPr>
          <w:p w14:paraId="7694A747" w14:textId="4527C6DD" w:rsidR="00FA0369" w:rsidRPr="00D14074" w:rsidRDefault="00FA0369"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D14074">
              <w:rPr>
                <w:rFonts w:ascii="Sylfaen" w:hAnsi="Sylfaen"/>
                <w:sz w:val="20"/>
                <w:szCs w:val="20"/>
              </w:rPr>
              <w:t>2.50%</w:t>
            </w:r>
          </w:p>
        </w:tc>
        <w:tc>
          <w:tcPr>
            <w:tcW w:w="1134" w:type="dxa"/>
          </w:tcPr>
          <w:p w14:paraId="3FE23E83" w14:textId="0ADE8D5E" w:rsidR="00FA0369" w:rsidRPr="00D14074" w:rsidRDefault="00FA0369"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დიახ</w:t>
            </w:r>
          </w:p>
        </w:tc>
        <w:tc>
          <w:tcPr>
            <w:tcW w:w="1134" w:type="dxa"/>
            <w:vAlign w:val="bottom"/>
          </w:tcPr>
          <w:p w14:paraId="6584FAD5" w14:textId="1153F990" w:rsidR="00FA0369" w:rsidRPr="00D14074" w:rsidRDefault="00FA0369"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დიახ</w:t>
            </w:r>
          </w:p>
        </w:tc>
        <w:tc>
          <w:tcPr>
            <w:tcW w:w="3086" w:type="dxa"/>
            <w:vAlign w:val="bottom"/>
          </w:tcPr>
          <w:p w14:paraId="3997B604" w14:textId="0AAA5479" w:rsidR="00FA0369" w:rsidRPr="00D14074" w:rsidRDefault="00FA0369" w:rsidP="00646F3A">
            <w:pPr>
              <w:jc w:val="right"/>
              <w:cnfStyle w:val="000000100000" w:firstRow="0" w:lastRow="0" w:firstColumn="0" w:lastColumn="0" w:oddVBand="0" w:evenVBand="0" w:oddHBand="1" w:evenHBand="0" w:firstRowFirstColumn="0" w:firstRowLastColumn="0" w:lastRowFirstColumn="0" w:lastRowLastColumn="0"/>
              <w:rPr>
                <w:rFonts w:ascii="Sylfaen" w:hAnsi="Sylfaen"/>
                <w:sz w:val="20"/>
                <w:szCs w:val="20"/>
              </w:rPr>
            </w:pPr>
            <w:r w:rsidRPr="00D14074">
              <w:rPr>
                <w:rFonts w:ascii="Sylfaen" w:hAnsi="Sylfaen"/>
                <w:sz w:val="20"/>
                <w:szCs w:val="20"/>
                <w:lang w:val="ka-GE"/>
              </w:rPr>
              <w:t>პასიური და აქტიური</w:t>
            </w:r>
          </w:p>
        </w:tc>
      </w:tr>
      <w:tr w:rsidR="00766750" w:rsidRPr="00D14074" w14:paraId="1935B22E" w14:textId="77777777" w:rsidTr="00A57A6F">
        <w:trPr>
          <w:trHeight w:val="270"/>
        </w:trPr>
        <w:tc>
          <w:tcPr>
            <w:cnfStyle w:val="001000000000" w:firstRow="0" w:lastRow="0" w:firstColumn="1" w:lastColumn="0" w:oddVBand="0" w:evenVBand="0" w:oddHBand="0" w:evenHBand="0" w:firstRowFirstColumn="0" w:firstRowLastColumn="0" w:lastRowFirstColumn="0" w:lastRowLastColumn="0"/>
            <w:tcW w:w="2694" w:type="dxa"/>
          </w:tcPr>
          <w:p w14:paraId="7C83305C" w14:textId="490EC822" w:rsidR="00FA0369" w:rsidRPr="00D14074" w:rsidRDefault="00FA0369" w:rsidP="00646F3A">
            <w:pPr>
              <w:jc w:val="both"/>
              <w:rPr>
                <w:rFonts w:ascii="Sylfaen" w:hAnsi="Sylfaen"/>
                <w:sz w:val="20"/>
                <w:szCs w:val="20"/>
                <w:lang w:val="en-GB"/>
              </w:rPr>
            </w:pPr>
            <w:r w:rsidRPr="00D14074">
              <w:rPr>
                <w:rFonts w:ascii="Sylfaen" w:hAnsi="Sylfaen"/>
                <w:sz w:val="20"/>
                <w:szCs w:val="20"/>
                <w:lang w:val="ka-GE"/>
              </w:rPr>
              <w:t>დიდი ბრიტანეთი (</w:t>
            </w:r>
            <w:r w:rsidRPr="00D14074">
              <w:rPr>
                <w:rFonts w:ascii="Sylfaen" w:hAnsi="Sylfaen"/>
                <w:sz w:val="20"/>
                <w:szCs w:val="20"/>
                <w:lang w:val="en-GB"/>
              </w:rPr>
              <w:t>UK)</w:t>
            </w:r>
          </w:p>
        </w:tc>
        <w:tc>
          <w:tcPr>
            <w:tcW w:w="992" w:type="dxa"/>
            <w:vAlign w:val="bottom"/>
          </w:tcPr>
          <w:p w14:paraId="4FE32698" w14:textId="0F0946DF" w:rsidR="00FA0369" w:rsidRPr="00D14074" w:rsidRDefault="00FA0369"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rPr>
            </w:pPr>
            <w:r w:rsidRPr="00D14074">
              <w:rPr>
                <w:rFonts w:ascii="Sylfaen" w:hAnsi="Sylfaen"/>
                <w:sz w:val="20"/>
                <w:szCs w:val="20"/>
              </w:rPr>
              <w:t>1.03%</w:t>
            </w:r>
          </w:p>
        </w:tc>
        <w:tc>
          <w:tcPr>
            <w:tcW w:w="992" w:type="dxa"/>
            <w:vAlign w:val="bottom"/>
          </w:tcPr>
          <w:p w14:paraId="584C78A6" w14:textId="70095965" w:rsidR="00FA0369" w:rsidRPr="00D14074" w:rsidRDefault="00FA0369"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rPr>
            </w:pPr>
            <w:r w:rsidRPr="00D14074">
              <w:rPr>
                <w:rFonts w:ascii="Sylfaen" w:hAnsi="Sylfaen"/>
                <w:sz w:val="20"/>
                <w:szCs w:val="20"/>
              </w:rPr>
              <w:t>0.90%</w:t>
            </w:r>
          </w:p>
        </w:tc>
        <w:tc>
          <w:tcPr>
            <w:tcW w:w="1134" w:type="dxa"/>
            <w:vAlign w:val="bottom"/>
          </w:tcPr>
          <w:p w14:paraId="08BD5392" w14:textId="77CE5618" w:rsidR="00FA0369" w:rsidRPr="00D14074" w:rsidRDefault="00FA0369"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lang w:val="ka-GE"/>
              </w:rPr>
            </w:pPr>
            <w:r w:rsidRPr="00D14074">
              <w:rPr>
                <w:rFonts w:ascii="Sylfaen" w:hAnsi="Sylfaen"/>
                <w:sz w:val="20"/>
                <w:szCs w:val="20"/>
                <w:lang w:val="ka-GE"/>
              </w:rPr>
              <w:t>დიახ</w:t>
            </w:r>
          </w:p>
        </w:tc>
        <w:tc>
          <w:tcPr>
            <w:tcW w:w="1134" w:type="dxa"/>
            <w:vAlign w:val="bottom"/>
          </w:tcPr>
          <w:p w14:paraId="623BC4A7" w14:textId="77777777" w:rsidR="00FA0369" w:rsidRPr="00D14074" w:rsidRDefault="00FA0369"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rPr>
            </w:pPr>
          </w:p>
        </w:tc>
        <w:tc>
          <w:tcPr>
            <w:tcW w:w="3086" w:type="dxa"/>
            <w:vAlign w:val="bottom"/>
          </w:tcPr>
          <w:p w14:paraId="29F438D9" w14:textId="77777777" w:rsidR="00FA0369" w:rsidRPr="00D14074" w:rsidRDefault="00FA0369" w:rsidP="00646F3A">
            <w:pPr>
              <w:jc w:val="right"/>
              <w:cnfStyle w:val="000000000000" w:firstRow="0" w:lastRow="0" w:firstColumn="0" w:lastColumn="0" w:oddVBand="0" w:evenVBand="0" w:oddHBand="0" w:evenHBand="0" w:firstRowFirstColumn="0" w:firstRowLastColumn="0" w:lastRowFirstColumn="0" w:lastRowLastColumn="0"/>
              <w:rPr>
                <w:rFonts w:ascii="Sylfaen" w:hAnsi="Sylfaen"/>
                <w:sz w:val="20"/>
                <w:szCs w:val="20"/>
              </w:rPr>
            </w:pPr>
          </w:p>
        </w:tc>
      </w:tr>
    </w:tbl>
    <w:p w14:paraId="51281A5C" w14:textId="1562C002" w:rsidR="00ED53C1" w:rsidRPr="00F5432B" w:rsidRDefault="00E328CD" w:rsidP="00646F3A">
      <w:pPr>
        <w:jc w:val="both"/>
        <w:rPr>
          <w:rFonts w:ascii="Sylfaen" w:hAnsi="Sylfaen"/>
        </w:rPr>
      </w:pPr>
      <w:r w:rsidRPr="00F5432B">
        <w:rPr>
          <w:rFonts w:ascii="Sylfaen" w:hAnsi="Sylfaen"/>
          <w:noProof/>
          <w:color w:val="0563C1" w:themeColor="hyperlink"/>
          <w:lang w:val="en-GB"/>
        </w:rPr>
        <w:t>(BEREC, 2019)</w:t>
      </w:r>
    </w:p>
    <w:p w14:paraId="78C1D9A0" w14:textId="1100E580" w:rsidR="00CE774E" w:rsidRPr="00A57A6F" w:rsidRDefault="00E328CD" w:rsidP="00646F3A">
      <w:pPr>
        <w:jc w:val="both"/>
        <w:rPr>
          <w:rFonts w:ascii="Sylfaen" w:hAnsi="Sylfaen"/>
        </w:rPr>
      </w:pPr>
      <w:r w:rsidRPr="00F13772">
        <w:rPr>
          <w:rFonts w:ascii="Sylfaen" w:hAnsi="Sylfaen"/>
          <w:lang w:val="ka-GE"/>
        </w:rPr>
        <w:t>დანია</w:t>
      </w:r>
      <w:r w:rsidR="005A700B" w:rsidRPr="00F5432B">
        <w:rPr>
          <w:rFonts w:ascii="Sylfaen" w:hAnsi="Sylfaen"/>
          <w:lang w:val="ka-GE"/>
        </w:rPr>
        <w:t xml:space="preserve">: 2% რისკის </w:t>
      </w:r>
      <w:r w:rsidR="007972B2" w:rsidRPr="00F5432B">
        <w:rPr>
          <w:rFonts w:ascii="Sylfaen" w:hAnsi="Sylfaen"/>
          <w:lang w:val="ka-GE"/>
        </w:rPr>
        <w:t xml:space="preserve">პრემიუმი </w:t>
      </w:r>
      <w:r w:rsidR="005A700B" w:rsidRPr="00F5432B">
        <w:rPr>
          <w:rFonts w:ascii="Sylfaen" w:hAnsi="Sylfaen"/>
          <w:lang w:val="ka-GE"/>
        </w:rPr>
        <w:t>გამოიყენება გეოგრაფიული დაყოფის პრ</w:t>
      </w:r>
      <w:r w:rsidR="009E31D7">
        <w:rPr>
          <w:rFonts w:ascii="Sylfaen" w:hAnsi="Sylfaen"/>
          <w:lang w:val="ka-GE"/>
        </w:rPr>
        <w:t>ი</w:t>
      </w:r>
      <w:r w:rsidR="005A700B" w:rsidRPr="00F5432B">
        <w:rPr>
          <w:rFonts w:ascii="Sylfaen" w:hAnsi="Sylfaen"/>
          <w:lang w:val="ka-GE"/>
        </w:rPr>
        <w:t>ნციპით</w:t>
      </w:r>
      <w:r w:rsidR="003D5FD7">
        <w:rPr>
          <w:rFonts w:ascii="Sylfaen" w:hAnsi="Sylfaen"/>
          <w:lang w:val="ka-GE"/>
        </w:rPr>
        <w:t>. კერძოდ, პრემიუმს</w:t>
      </w:r>
      <w:r w:rsidR="002254AC">
        <w:rPr>
          <w:rFonts w:ascii="Sylfaen" w:hAnsi="Sylfaen"/>
        </w:rPr>
        <w:t xml:space="preserve"> </w:t>
      </w:r>
      <w:r w:rsidR="002254AC">
        <w:rPr>
          <w:rFonts w:ascii="Sylfaen" w:hAnsi="Sylfaen"/>
          <w:lang w:val="ka-GE"/>
        </w:rPr>
        <w:t>ამატებენ რეგიონებში ოპტიკურ-ბოჭკოვანი ტექნოლოგიით გაწეულ მომსახურებაზე</w:t>
      </w:r>
      <w:r w:rsidR="005A700B" w:rsidRPr="00F5432B">
        <w:rPr>
          <w:rFonts w:ascii="Sylfaen" w:hAnsi="Sylfaen"/>
          <w:lang w:val="ka-GE"/>
        </w:rPr>
        <w:t>, რადგან დედაქალაქში ბოჭკოვანი ინფრასტრუქტურა საკმაოდ განვითარებული და ათვისებულია</w:t>
      </w:r>
      <w:r w:rsidRPr="00F5432B">
        <w:rPr>
          <w:rFonts w:ascii="Sylfaen" w:hAnsi="Sylfaen"/>
          <w:lang w:val="ka-GE"/>
        </w:rPr>
        <w:t xml:space="preserve"> </w:t>
      </w:r>
      <w:r w:rsidRPr="00F5432B">
        <w:rPr>
          <w:rFonts w:ascii="Sylfaen" w:hAnsi="Sylfaen"/>
          <w:noProof/>
          <w:color w:val="0563C1" w:themeColor="hyperlink"/>
          <w:lang w:val="en-GB"/>
        </w:rPr>
        <w:t>(BEREC, 2019)</w:t>
      </w:r>
      <w:r w:rsidRPr="00F5432B">
        <w:rPr>
          <w:rFonts w:ascii="Sylfaen" w:hAnsi="Sylfaen"/>
          <w:lang w:val="ka-GE"/>
        </w:rPr>
        <w:t xml:space="preserve">, </w:t>
      </w:r>
      <w:hyperlink r:id="rId42" w:history="1">
        <w:sdt>
          <w:sdtPr>
            <w:rPr>
              <w:rStyle w:val="Hyperlink"/>
              <w:rFonts w:ascii="Sylfaen" w:hAnsi="Sylfaen"/>
              <w:lang w:val="ka-GE"/>
            </w:rPr>
            <w:id w:val="-906381668"/>
            <w:citation/>
          </w:sdtPr>
          <w:sdtEndPr>
            <w:rPr>
              <w:rStyle w:val="Hyperlink"/>
            </w:rPr>
          </w:sdtEndPr>
          <w:sdtContent>
            <w:r w:rsidR="00464542" w:rsidRPr="005E50DE">
              <w:rPr>
                <w:rStyle w:val="Hyperlink"/>
                <w:rFonts w:ascii="Sylfaen" w:hAnsi="Sylfaen"/>
                <w:lang w:val="ka-GE"/>
              </w:rPr>
              <w:fldChar w:fldCharType="begin"/>
            </w:r>
            <w:r w:rsidR="00464542" w:rsidRPr="00F5432B">
              <w:rPr>
                <w:rStyle w:val="Hyperlink"/>
                <w:rFonts w:ascii="Sylfaen" w:hAnsi="Sylfaen"/>
                <w:lang w:val="en-GB"/>
              </w:rPr>
              <w:instrText xml:space="preserve"> CITATION DrW16 \l 2057 </w:instrText>
            </w:r>
            <w:r w:rsidR="00464542" w:rsidRPr="005E50DE">
              <w:rPr>
                <w:rStyle w:val="Hyperlink"/>
                <w:rFonts w:ascii="Sylfaen" w:hAnsi="Sylfaen"/>
                <w:lang w:val="ka-GE"/>
              </w:rPr>
              <w:fldChar w:fldCharType="separate"/>
            </w:r>
            <w:r w:rsidRPr="00F5432B">
              <w:rPr>
                <w:rStyle w:val="Hyperlink"/>
                <w:rFonts w:ascii="Sylfaen" w:hAnsi="Sylfaen"/>
                <w:noProof/>
                <w:lang w:val="en-GB"/>
              </w:rPr>
              <w:t xml:space="preserve"> </w:t>
            </w:r>
            <w:r w:rsidRPr="00A57A6F">
              <w:rPr>
                <w:rFonts w:ascii="Sylfaen" w:hAnsi="Sylfaen"/>
                <w:noProof/>
                <w:color w:val="0563C1" w:themeColor="hyperlink"/>
                <w:lang w:val="en-GB"/>
              </w:rPr>
              <w:t>(Dr. Werner, Dr. Schmitt, &amp; Ing. Kroon, 2016)</w:t>
            </w:r>
            <w:r w:rsidR="00464542" w:rsidRPr="005E50DE">
              <w:rPr>
                <w:rStyle w:val="Hyperlink"/>
                <w:rFonts w:ascii="Sylfaen" w:hAnsi="Sylfaen"/>
                <w:lang w:val="ka-GE"/>
              </w:rPr>
              <w:fldChar w:fldCharType="end"/>
            </w:r>
          </w:sdtContent>
        </w:sdt>
      </w:hyperlink>
      <w:r w:rsidRPr="00F5432B">
        <w:rPr>
          <w:rFonts w:ascii="Sylfaen" w:hAnsi="Sylfaen"/>
          <w:lang w:val="ka-GE"/>
        </w:rPr>
        <w:t>.</w:t>
      </w:r>
    </w:p>
    <w:p w14:paraId="48915ECE" w14:textId="7BB6BE34" w:rsidR="00177942" w:rsidRPr="00A57A6F" w:rsidRDefault="00510EE2" w:rsidP="00646F3A">
      <w:pPr>
        <w:jc w:val="both"/>
        <w:rPr>
          <w:rFonts w:ascii="Sylfaen" w:hAnsi="Sylfaen"/>
        </w:rPr>
      </w:pPr>
      <w:r w:rsidRPr="00F5432B">
        <w:rPr>
          <w:rFonts w:ascii="Sylfaen" w:hAnsi="Sylfaen"/>
          <w:lang w:val="ka-GE"/>
        </w:rPr>
        <w:t>გაერთიანებული სამეფო</w:t>
      </w:r>
      <w:r w:rsidR="00177942" w:rsidRPr="00F5432B">
        <w:rPr>
          <w:rFonts w:ascii="Sylfaen" w:hAnsi="Sylfaen"/>
          <w:lang w:val="ka-GE"/>
        </w:rPr>
        <w:t>:</w:t>
      </w:r>
      <w:r w:rsidR="006A1E5A">
        <w:rPr>
          <w:rFonts w:ascii="Sylfaen" w:hAnsi="Sylfaen"/>
          <w:lang w:val="ka-GE"/>
        </w:rPr>
        <w:t xml:space="preserve"> </w:t>
      </w:r>
      <w:r w:rsidR="00177942" w:rsidRPr="00F5432B">
        <w:rPr>
          <w:rFonts w:ascii="Sylfaen" w:hAnsi="Sylfaen"/>
          <w:lang w:val="ka-GE"/>
        </w:rPr>
        <w:t xml:space="preserve">დაბეგვრამდე ნომინალური </w:t>
      </w:r>
      <w:r w:rsidR="00177942" w:rsidRPr="00A57A6F">
        <w:rPr>
          <w:rFonts w:ascii="Sylfaen" w:hAnsi="Sylfaen"/>
          <w:lang w:val="ka-GE"/>
        </w:rPr>
        <w:t>WACC</w:t>
      </w:r>
      <w:r w:rsidR="00177942" w:rsidRPr="00F5432B">
        <w:rPr>
          <w:rFonts w:ascii="Sylfaen" w:hAnsi="Sylfaen"/>
          <w:lang w:val="ka-GE"/>
        </w:rPr>
        <w:t xml:space="preserve"> გამოიყენება ბოჭკოვანი პროდუქტებისთვის, კერძოდ </w:t>
      </w:r>
      <w:r w:rsidR="001306CA" w:rsidRPr="00F5432B">
        <w:rPr>
          <w:rFonts w:ascii="Sylfaen" w:hAnsi="Sylfaen"/>
          <w:lang w:val="ka-GE"/>
        </w:rPr>
        <w:t>„</w:t>
      </w:r>
      <w:proofErr w:type="spellStart"/>
      <w:r w:rsidR="00177942" w:rsidRPr="00F5432B">
        <w:rPr>
          <w:rFonts w:ascii="Sylfaen" w:hAnsi="Sylfaen"/>
          <w:lang w:val="ka-GE"/>
        </w:rPr>
        <w:t>the</w:t>
      </w:r>
      <w:proofErr w:type="spellEnd"/>
      <w:r w:rsidR="00177942" w:rsidRPr="00F5432B">
        <w:rPr>
          <w:rFonts w:ascii="Sylfaen" w:hAnsi="Sylfaen"/>
          <w:lang w:val="ka-GE"/>
        </w:rPr>
        <w:t xml:space="preserve"> VULA 40/10 </w:t>
      </w:r>
      <w:proofErr w:type="spellStart"/>
      <w:r w:rsidR="00177942" w:rsidRPr="00F5432B">
        <w:rPr>
          <w:rFonts w:ascii="Sylfaen" w:hAnsi="Sylfaen"/>
          <w:lang w:val="ka-GE"/>
        </w:rPr>
        <w:t>anchor</w:t>
      </w:r>
      <w:proofErr w:type="spellEnd"/>
      <w:r w:rsidR="00177942" w:rsidRPr="00F5432B">
        <w:rPr>
          <w:rFonts w:ascii="Sylfaen" w:hAnsi="Sylfaen"/>
          <w:lang w:val="ka-GE"/>
        </w:rPr>
        <w:t xml:space="preserve"> </w:t>
      </w:r>
      <w:proofErr w:type="spellStart"/>
      <w:r w:rsidR="00177942" w:rsidRPr="00F5432B">
        <w:rPr>
          <w:rFonts w:ascii="Sylfaen" w:hAnsi="Sylfaen"/>
          <w:lang w:val="ka-GE"/>
        </w:rPr>
        <w:t>product</w:t>
      </w:r>
      <w:proofErr w:type="spellEnd"/>
      <w:r w:rsidR="001306CA" w:rsidRPr="00F5432B">
        <w:rPr>
          <w:rFonts w:ascii="Sylfaen" w:hAnsi="Sylfaen"/>
          <w:lang w:val="ka-GE"/>
        </w:rPr>
        <w:t>“</w:t>
      </w:r>
      <w:r w:rsidR="00E328CD" w:rsidRPr="00F5432B">
        <w:rPr>
          <w:rFonts w:ascii="Sylfaen" w:hAnsi="Sylfaen"/>
          <w:lang w:val="ka-GE"/>
        </w:rPr>
        <w:t xml:space="preserve"> </w:t>
      </w:r>
      <w:r w:rsidR="00E328CD" w:rsidRPr="00F5432B">
        <w:rPr>
          <w:rFonts w:ascii="Sylfaen" w:hAnsi="Sylfaen"/>
          <w:noProof/>
          <w:color w:val="0563C1" w:themeColor="hyperlink"/>
          <w:lang w:val="en-GB"/>
        </w:rPr>
        <w:t>(BEREC, 2019)</w:t>
      </w:r>
      <w:r w:rsidR="00E328CD" w:rsidRPr="00F5432B">
        <w:rPr>
          <w:rFonts w:ascii="Sylfaen" w:hAnsi="Sylfaen"/>
          <w:lang w:val="ka-GE"/>
        </w:rPr>
        <w:t xml:space="preserve">, </w:t>
      </w:r>
      <w:hyperlink r:id="rId43" w:history="1">
        <w:sdt>
          <w:sdtPr>
            <w:rPr>
              <w:rStyle w:val="Hyperlink"/>
              <w:rFonts w:ascii="Sylfaen" w:hAnsi="Sylfaen"/>
              <w:lang w:val="ka-GE"/>
            </w:rPr>
            <w:id w:val="1306428434"/>
            <w:citation/>
          </w:sdtPr>
          <w:sdtEndPr>
            <w:rPr>
              <w:rStyle w:val="Hyperlink"/>
            </w:rPr>
          </w:sdtEndPr>
          <w:sdtContent>
            <w:r w:rsidRPr="005E50DE">
              <w:rPr>
                <w:rStyle w:val="Hyperlink"/>
                <w:rFonts w:ascii="Sylfaen" w:hAnsi="Sylfaen"/>
                <w:lang w:val="ka-GE"/>
              </w:rPr>
              <w:fldChar w:fldCharType="begin"/>
            </w:r>
            <w:r w:rsidRPr="00F5432B">
              <w:rPr>
                <w:rStyle w:val="Hyperlink"/>
                <w:rFonts w:ascii="Sylfaen" w:hAnsi="Sylfaen"/>
                <w:lang w:val="en-GB"/>
              </w:rPr>
              <w:instrText xml:space="preserve"> CITATION Ofc21 \l 2057 </w:instrText>
            </w:r>
            <w:r w:rsidRPr="005E50DE">
              <w:rPr>
                <w:rStyle w:val="Hyperlink"/>
                <w:rFonts w:ascii="Sylfaen" w:hAnsi="Sylfaen"/>
                <w:lang w:val="ka-GE"/>
              </w:rPr>
              <w:fldChar w:fldCharType="separate"/>
            </w:r>
            <w:r w:rsidRPr="00F5432B">
              <w:rPr>
                <w:rStyle w:val="Hyperlink"/>
                <w:rFonts w:ascii="Sylfaen" w:hAnsi="Sylfaen"/>
                <w:noProof/>
                <w:lang w:val="en-GB"/>
              </w:rPr>
              <w:t xml:space="preserve"> </w:t>
            </w:r>
            <w:r w:rsidRPr="00A57A6F">
              <w:rPr>
                <w:rFonts w:ascii="Sylfaen" w:hAnsi="Sylfaen"/>
                <w:noProof/>
                <w:color w:val="0563C1" w:themeColor="hyperlink"/>
                <w:lang w:val="en-GB"/>
              </w:rPr>
              <w:t>(Ofcom, 2021)</w:t>
            </w:r>
            <w:r w:rsidRPr="005E50DE">
              <w:rPr>
                <w:rStyle w:val="Hyperlink"/>
                <w:rFonts w:ascii="Sylfaen" w:hAnsi="Sylfaen"/>
                <w:lang w:val="ka-GE"/>
              </w:rPr>
              <w:fldChar w:fldCharType="end"/>
            </w:r>
          </w:sdtContent>
        </w:sdt>
      </w:hyperlink>
      <w:r w:rsidRPr="00F5432B">
        <w:rPr>
          <w:rFonts w:ascii="Sylfaen" w:hAnsi="Sylfaen"/>
          <w:lang w:val="ka-GE"/>
        </w:rPr>
        <w:t>.</w:t>
      </w:r>
    </w:p>
    <w:p w14:paraId="47920DB8" w14:textId="3EA86CBA" w:rsidR="0092680A" w:rsidRPr="00F5432B" w:rsidRDefault="00510EE2" w:rsidP="00646F3A">
      <w:pPr>
        <w:jc w:val="both"/>
        <w:rPr>
          <w:rFonts w:ascii="Sylfaen" w:hAnsi="Sylfaen"/>
          <w:lang w:val="ka-GE"/>
        </w:rPr>
      </w:pPr>
      <w:proofErr w:type="spellStart"/>
      <w:r w:rsidRPr="00A57A6F">
        <w:t>იტალია</w:t>
      </w:r>
      <w:proofErr w:type="spellEnd"/>
      <w:r w:rsidR="002B090C" w:rsidRPr="00F5432B">
        <w:rPr>
          <w:rFonts w:ascii="Sylfaen" w:hAnsi="Sylfaen"/>
          <w:lang w:val="ka-GE"/>
        </w:rPr>
        <w:t>:</w:t>
      </w:r>
      <w:r w:rsidR="00DB14EF" w:rsidRPr="00F5432B">
        <w:rPr>
          <w:rFonts w:ascii="Sylfaen" w:hAnsi="Sylfaen"/>
          <w:lang w:val="ka-GE"/>
        </w:rPr>
        <w:t xml:space="preserve"> </w:t>
      </w:r>
      <w:r w:rsidR="00601705">
        <w:rPr>
          <w:rFonts w:ascii="Sylfaen" w:hAnsi="Sylfaen"/>
        </w:rPr>
        <w:t>AGCOM</w:t>
      </w:r>
      <w:r w:rsidR="00601705" w:rsidRPr="00A57A6F">
        <w:rPr>
          <w:rFonts w:ascii="Sylfaen" w:hAnsi="Sylfaen"/>
          <w:lang w:val="ka-GE"/>
        </w:rPr>
        <w:t xml:space="preserve"> </w:t>
      </w:r>
      <w:r w:rsidR="00DB14EF" w:rsidRPr="00F5432B">
        <w:rPr>
          <w:rFonts w:ascii="Sylfaen" w:hAnsi="Sylfaen"/>
          <w:lang w:val="ka-GE"/>
        </w:rPr>
        <w:t xml:space="preserve">ანგარიშობს </w:t>
      </w:r>
      <w:r w:rsidR="00DB14EF" w:rsidRPr="00A57A6F">
        <w:rPr>
          <w:rFonts w:ascii="Sylfaen" w:hAnsi="Sylfaen"/>
          <w:lang w:val="ka-GE"/>
        </w:rPr>
        <w:t xml:space="preserve">NGA </w:t>
      </w:r>
      <w:r w:rsidR="00DB14EF" w:rsidRPr="00F5432B">
        <w:rPr>
          <w:rFonts w:ascii="Sylfaen" w:hAnsi="Sylfaen"/>
          <w:lang w:val="ka-GE"/>
        </w:rPr>
        <w:t>რისკის პრემიუმს</w:t>
      </w:r>
      <w:r w:rsidR="003070E1" w:rsidRPr="00F5432B">
        <w:rPr>
          <w:rFonts w:ascii="Sylfaen" w:hAnsi="Sylfaen"/>
          <w:lang w:val="ka-GE"/>
        </w:rPr>
        <w:t xml:space="preserve"> და მას ამატებს დაბეგვრამდე რეალურ </w:t>
      </w:r>
      <w:r w:rsidR="003070E1" w:rsidRPr="00A57A6F">
        <w:rPr>
          <w:rFonts w:ascii="Sylfaen" w:hAnsi="Sylfaen"/>
          <w:lang w:val="ka-GE"/>
        </w:rPr>
        <w:t>WACC-</w:t>
      </w:r>
      <w:r w:rsidR="003070E1" w:rsidRPr="00F5432B">
        <w:rPr>
          <w:rFonts w:ascii="Sylfaen" w:hAnsi="Sylfaen"/>
          <w:lang w:val="ka-GE"/>
        </w:rPr>
        <w:t>ს</w:t>
      </w:r>
      <w:r w:rsidR="00DB14EF" w:rsidRPr="00F5432B">
        <w:rPr>
          <w:rFonts w:ascii="Sylfaen" w:hAnsi="Sylfaen"/>
          <w:lang w:val="ka-GE"/>
        </w:rPr>
        <w:t xml:space="preserve"> </w:t>
      </w:r>
      <w:r w:rsidR="00DB14EF" w:rsidRPr="00A57A6F">
        <w:rPr>
          <w:rFonts w:ascii="Sylfaen" w:hAnsi="Sylfaen"/>
          <w:lang w:val="ka-GE"/>
        </w:rPr>
        <w:t xml:space="preserve">FTTH </w:t>
      </w:r>
      <w:r w:rsidR="00DB14EF" w:rsidRPr="00F5432B">
        <w:rPr>
          <w:rFonts w:ascii="Sylfaen" w:hAnsi="Sylfaen"/>
          <w:lang w:val="ka-GE"/>
        </w:rPr>
        <w:t>ინფრასტრუქტურის</w:t>
      </w:r>
      <w:r w:rsidR="003070E1" w:rsidRPr="00F5432B">
        <w:rPr>
          <w:rFonts w:ascii="Sylfaen" w:hAnsi="Sylfaen"/>
          <w:lang w:val="ka-GE"/>
        </w:rPr>
        <w:t xml:space="preserve">თვის, რომელიც ჯერ კიდევ </w:t>
      </w:r>
      <w:r w:rsidR="003070E1" w:rsidRPr="008E412C">
        <w:rPr>
          <w:rFonts w:ascii="Sylfaen" w:hAnsi="Sylfaen"/>
          <w:b/>
          <w:bCs/>
          <w:lang w:val="ka-GE"/>
        </w:rPr>
        <w:t>განვითარების საწყის სტადიაზეა</w:t>
      </w:r>
      <w:r w:rsidR="003070E1" w:rsidRPr="00F5432B">
        <w:rPr>
          <w:rFonts w:ascii="Sylfaen" w:hAnsi="Sylfaen"/>
          <w:lang w:val="ka-GE"/>
        </w:rPr>
        <w:t xml:space="preserve"> და დამატებით რისკის პრემიუმს მოითხოვს. </w:t>
      </w:r>
      <w:r w:rsidR="00601705">
        <w:rPr>
          <w:rFonts w:ascii="Sylfaen" w:hAnsi="Sylfaen"/>
        </w:rPr>
        <w:t>AGCOM</w:t>
      </w:r>
      <w:r w:rsidR="00601705" w:rsidRPr="00A57A6F">
        <w:rPr>
          <w:rFonts w:ascii="Sylfaen" w:hAnsi="Sylfaen"/>
          <w:lang w:val="ka-GE"/>
        </w:rPr>
        <w:t xml:space="preserve"> </w:t>
      </w:r>
      <w:r w:rsidR="003070E1" w:rsidRPr="00F5432B">
        <w:rPr>
          <w:rFonts w:ascii="Sylfaen" w:hAnsi="Sylfaen"/>
          <w:lang w:val="ka-GE"/>
        </w:rPr>
        <w:t xml:space="preserve">მიიჩნევს, რომ მსგავსი ქცევა ხელს შეუწყობს არსებულ ოპერატორებსა და სხვა პოტენციურ ოპერატორებს შორის ახალი მოლაპარაკებების </w:t>
      </w:r>
      <w:r w:rsidR="00601705">
        <w:rPr>
          <w:rFonts w:ascii="Sylfaen" w:hAnsi="Sylfaen"/>
          <w:lang w:val="ka-GE"/>
        </w:rPr>
        <w:t>შესაძლებლობას</w:t>
      </w:r>
      <w:r w:rsidR="00601705" w:rsidRPr="00F5432B">
        <w:rPr>
          <w:rFonts w:ascii="Sylfaen" w:hAnsi="Sylfaen"/>
          <w:lang w:val="ka-GE"/>
        </w:rPr>
        <w:t xml:space="preserve">, </w:t>
      </w:r>
      <w:r w:rsidR="003070E1" w:rsidRPr="00F5432B">
        <w:rPr>
          <w:rFonts w:ascii="Sylfaen" w:hAnsi="Sylfaen"/>
          <w:lang w:val="ka-GE"/>
        </w:rPr>
        <w:t>რაც მათ შორის რისკს გადაანაწილებს. ეს კი თავის  მხრივ ხელს შეუწყობს</w:t>
      </w:r>
      <w:r w:rsidR="00DB14EF" w:rsidRPr="00F5432B">
        <w:rPr>
          <w:rFonts w:ascii="Sylfaen" w:hAnsi="Sylfaen"/>
          <w:lang w:val="ka-GE"/>
        </w:rPr>
        <w:t xml:space="preserve"> ტრადიც</w:t>
      </w:r>
      <w:r w:rsidR="004A72F2">
        <w:rPr>
          <w:rFonts w:ascii="Sylfaen" w:hAnsi="Sylfaen"/>
          <w:lang w:val="ka-GE"/>
        </w:rPr>
        <w:t>ი</w:t>
      </w:r>
      <w:r w:rsidR="00DB14EF" w:rsidRPr="00F5432B">
        <w:rPr>
          <w:rFonts w:ascii="Sylfaen" w:hAnsi="Sylfaen"/>
          <w:lang w:val="ka-GE"/>
        </w:rPr>
        <w:t>ული</w:t>
      </w:r>
      <w:r w:rsidR="003070E1" w:rsidRPr="00F5432B">
        <w:rPr>
          <w:rFonts w:ascii="Sylfaen" w:hAnsi="Sylfaen"/>
          <w:lang w:val="ka-GE"/>
        </w:rPr>
        <w:t xml:space="preserve"> </w:t>
      </w:r>
      <w:r w:rsidR="004A72F2">
        <w:rPr>
          <w:rFonts w:ascii="Sylfaen" w:hAnsi="Sylfaen"/>
          <w:lang w:val="ka-GE"/>
        </w:rPr>
        <w:t>ქსელებიდან</w:t>
      </w:r>
      <w:r w:rsidR="004A72F2" w:rsidRPr="00F5432B">
        <w:rPr>
          <w:rFonts w:ascii="Sylfaen" w:hAnsi="Sylfaen"/>
          <w:lang w:val="ka-GE"/>
        </w:rPr>
        <w:t xml:space="preserve"> </w:t>
      </w:r>
      <w:r w:rsidR="004A72F2">
        <w:rPr>
          <w:rFonts w:ascii="Sylfaen" w:hAnsi="Sylfaen"/>
          <w:lang w:val="ka-GE"/>
        </w:rPr>
        <w:t>ოპტიკურ-</w:t>
      </w:r>
      <w:r w:rsidR="003070E1" w:rsidRPr="00F5432B">
        <w:rPr>
          <w:rFonts w:ascii="Sylfaen" w:hAnsi="Sylfaen"/>
          <w:lang w:val="ka-GE"/>
        </w:rPr>
        <w:t>ბოჭკოვან ქსელზე</w:t>
      </w:r>
      <w:r w:rsidR="00DB14EF" w:rsidRPr="00F5432B">
        <w:rPr>
          <w:rFonts w:ascii="Sylfaen" w:hAnsi="Sylfaen"/>
          <w:lang w:val="ka-GE"/>
        </w:rPr>
        <w:t xml:space="preserve"> </w:t>
      </w:r>
      <w:r w:rsidR="003070E1" w:rsidRPr="00F5432B">
        <w:rPr>
          <w:rFonts w:ascii="Sylfaen" w:hAnsi="Sylfaen"/>
          <w:lang w:val="ka-GE"/>
        </w:rPr>
        <w:t xml:space="preserve">მომხმარებლების სწრაფ გადასვლას </w:t>
      </w:r>
      <w:hyperlink r:id="rId44" w:history="1">
        <w:sdt>
          <w:sdtPr>
            <w:rPr>
              <w:rStyle w:val="Hyperlink"/>
              <w:rFonts w:ascii="Sylfaen" w:hAnsi="Sylfaen"/>
              <w:lang w:val="ka-GE"/>
            </w:rPr>
            <w:id w:val="973642459"/>
            <w:citation/>
          </w:sdtPr>
          <w:sdtEndPr>
            <w:rPr>
              <w:rStyle w:val="Hyperlink"/>
            </w:rPr>
          </w:sdtEndPr>
          <w:sdtContent>
            <w:r w:rsidR="003070E1" w:rsidRPr="005E50DE">
              <w:rPr>
                <w:rStyle w:val="Hyperlink"/>
                <w:rFonts w:ascii="Sylfaen" w:hAnsi="Sylfaen"/>
                <w:lang w:val="ka-GE"/>
              </w:rPr>
              <w:fldChar w:fldCharType="begin"/>
            </w:r>
            <w:r w:rsidR="003070E1" w:rsidRPr="00F5432B">
              <w:rPr>
                <w:rStyle w:val="Hyperlink"/>
                <w:rFonts w:ascii="Sylfaen" w:hAnsi="Sylfaen"/>
                <w:lang w:val="ka-GE"/>
              </w:rPr>
              <w:instrText xml:space="preserve"> CITATION Ilc19 \l 1079 </w:instrText>
            </w:r>
            <w:r w:rsidR="003070E1" w:rsidRPr="005E50DE">
              <w:rPr>
                <w:rStyle w:val="Hyperlink"/>
                <w:rFonts w:ascii="Sylfaen" w:hAnsi="Sylfaen"/>
                <w:lang w:val="ka-GE"/>
              </w:rPr>
              <w:fldChar w:fldCharType="separate"/>
            </w:r>
            <w:r w:rsidRPr="00F5432B">
              <w:rPr>
                <w:rStyle w:val="Hyperlink"/>
                <w:rFonts w:ascii="Sylfaen" w:hAnsi="Sylfaen"/>
                <w:noProof/>
                <w:lang w:val="ka-GE"/>
              </w:rPr>
              <w:t xml:space="preserve"> </w:t>
            </w:r>
            <w:r w:rsidRPr="00A57A6F">
              <w:rPr>
                <w:rFonts w:ascii="Sylfaen" w:hAnsi="Sylfaen"/>
                <w:noProof/>
                <w:color w:val="0563C1" w:themeColor="hyperlink"/>
                <w:lang w:val="ka-GE"/>
              </w:rPr>
              <w:t>(Il calcolo del Risk Premium per gli investimenti in reti NGA, FTTH e FTTC, 2019)</w:t>
            </w:r>
            <w:r w:rsidR="003070E1" w:rsidRPr="005E50DE">
              <w:rPr>
                <w:rStyle w:val="Hyperlink"/>
                <w:rFonts w:ascii="Sylfaen" w:hAnsi="Sylfaen"/>
                <w:lang w:val="ka-GE"/>
              </w:rPr>
              <w:fldChar w:fldCharType="end"/>
            </w:r>
          </w:sdtContent>
        </w:sdt>
        <w:r w:rsidR="0092680A" w:rsidRPr="00F5432B">
          <w:rPr>
            <w:rStyle w:val="Hyperlink"/>
            <w:rFonts w:ascii="Sylfaen" w:hAnsi="Sylfaen"/>
          </w:rPr>
          <w:t>.</w:t>
        </w:r>
      </w:hyperlink>
    </w:p>
    <w:p w14:paraId="2BD9F0B3" w14:textId="3E692C8A" w:rsidR="00177942" w:rsidRDefault="00510EE2" w:rsidP="00646F3A">
      <w:pPr>
        <w:jc w:val="both"/>
        <w:rPr>
          <w:rFonts w:ascii="Sylfaen" w:hAnsi="Sylfaen"/>
          <w:lang w:val="ka-GE"/>
        </w:rPr>
      </w:pPr>
      <w:r w:rsidRPr="00F13772">
        <w:rPr>
          <w:rFonts w:ascii="Sylfaen" w:hAnsi="Sylfaen"/>
          <w:lang w:val="ka-GE"/>
        </w:rPr>
        <w:t>ხორვატია</w:t>
      </w:r>
      <w:r w:rsidR="003070E1" w:rsidRPr="00F5432B">
        <w:rPr>
          <w:rFonts w:ascii="Sylfaen" w:hAnsi="Sylfaen"/>
          <w:lang w:val="ka-GE"/>
        </w:rPr>
        <w:t>:</w:t>
      </w:r>
      <w:r w:rsidR="00DB14EF" w:rsidRPr="00F5432B">
        <w:rPr>
          <w:rFonts w:ascii="Sylfaen" w:hAnsi="Sylfaen"/>
          <w:lang w:val="ka-GE"/>
        </w:rPr>
        <w:t xml:space="preserve"> </w:t>
      </w:r>
      <w:r w:rsidR="00E51232" w:rsidRPr="00F5432B">
        <w:rPr>
          <w:rFonts w:ascii="Sylfaen" w:hAnsi="Sylfaen"/>
          <w:lang w:val="ka-GE"/>
        </w:rPr>
        <w:t>ხორვატიის</w:t>
      </w:r>
      <w:r w:rsidR="00E51232" w:rsidRPr="00A57A6F">
        <w:rPr>
          <w:rFonts w:ascii="Sylfaen" w:hAnsi="Sylfaen"/>
          <w:lang w:val="ka-GE"/>
        </w:rPr>
        <w:t xml:space="preserve"> </w:t>
      </w:r>
      <w:r w:rsidR="00E51232" w:rsidRPr="00F5432B">
        <w:rPr>
          <w:rFonts w:ascii="Sylfaen" w:hAnsi="Sylfaen"/>
          <w:lang w:val="ka-GE"/>
        </w:rPr>
        <w:t xml:space="preserve">მარეგულირებელი სააგენტო </w:t>
      </w:r>
      <w:r w:rsidR="00E51232" w:rsidRPr="00A57A6F">
        <w:rPr>
          <w:rFonts w:ascii="Sylfaen" w:hAnsi="Sylfaen"/>
          <w:lang w:val="ka-GE"/>
        </w:rPr>
        <w:t>H</w:t>
      </w:r>
      <w:r w:rsidR="001B365F" w:rsidRPr="00A57A6F">
        <w:rPr>
          <w:rFonts w:ascii="Sylfaen" w:hAnsi="Sylfaen"/>
          <w:lang w:val="ka-GE"/>
        </w:rPr>
        <w:t>AKOM</w:t>
      </w:r>
      <w:r w:rsidR="00E51232" w:rsidRPr="00A57A6F">
        <w:rPr>
          <w:rFonts w:ascii="Sylfaen" w:hAnsi="Sylfaen"/>
          <w:lang w:val="ka-GE"/>
        </w:rPr>
        <w:t xml:space="preserve"> NGA </w:t>
      </w:r>
      <w:r w:rsidR="00E51232" w:rsidRPr="00F5432B">
        <w:rPr>
          <w:rFonts w:ascii="Sylfaen" w:hAnsi="Sylfaen"/>
          <w:lang w:val="ka-GE"/>
        </w:rPr>
        <w:t xml:space="preserve">რისკის პრემიუმს იყენებს </w:t>
      </w:r>
      <w:r w:rsidR="00E51232" w:rsidRPr="00A57A6F">
        <w:rPr>
          <w:rFonts w:ascii="Sylfaen" w:hAnsi="Sylfaen"/>
          <w:lang w:val="ka-GE"/>
        </w:rPr>
        <w:t xml:space="preserve">FTTH/FTTB </w:t>
      </w:r>
      <w:r w:rsidR="00E51232" w:rsidRPr="00F5432B">
        <w:rPr>
          <w:rFonts w:ascii="Sylfaen" w:hAnsi="Sylfaen"/>
          <w:lang w:val="ka-GE"/>
        </w:rPr>
        <w:t xml:space="preserve">ინფრასტრუქტურისთვის </w:t>
      </w:r>
      <w:r w:rsidR="00E51232" w:rsidRPr="008E412C">
        <w:rPr>
          <w:rFonts w:ascii="Sylfaen" w:hAnsi="Sylfaen"/>
          <w:b/>
          <w:bCs/>
          <w:lang w:val="ka-GE"/>
        </w:rPr>
        <w:t>იმ შემთხვევაში, თუ ძველი ტრადიციული ინფრასტრუქტურის ჩანაცვლება ხდება ახალი ბოჭკოვანი ინფრასტრუქტურით</w:t>
      </w:r>
      <w:hyperlink r:id="rId45" w:history="1">
        <w:sdt>
          <w:sdtPr>
            <w:rPr>
              <w:rStyle w:val="Hyperlink"/>
              <w:rFonts w:ascii="Sylfaen" w:hAnsi="Sylfaen"/>
              <w:lang w:val="ka-GE"/>
            </w:rPr>
            <w:id w:val="1393926636"/>
            <w:citation/>
          </w:sdtPr>
          <w:sdtEndPr>
            <w:rPr>
              <w:rStyle w:val="Hyperlink"/>
            </w:rPr>
          </w:sdtEndPr>
          <w:sdtContent>
            <w:r w:rsidR="00E51232" w:rsidRPr="005E50DE">
              <w:rPr>
                <w:rStyle w:val="Hyperlink"/>
                <w:rFonts w:ascii="Sylfaen" w:hAnsi="Sylfaen"/>
                <w:lang w:val="ka-GE"/>
              </w:rPr>
              <w:fldChar w:fldCharType="begin"/>
            </w:r>
            <w:r w:rsidR="001B365F" w:rsidRPr="00F5432B">
              <w:rPr>
                <w:rStyle w:val="Hyperlink"/>
                <w:rFonts w:ascii="Sylfaen" w:hAnsi="Sylfaen"/>
                <w:lang w:val="ka-GE"/>
              </w:rPr>
              <w:instrText xml:space="preserve">CITATION Hac19 \l 1079 </w:instrText>
            </w:r>
            <w:r w:rsidR="00E51232" w:rsidRPr="005E50DE">
              <w:rPr>
                <w:rStyle w:val="Hyperlink"/>
                <w:rFonts w:ascii="Sylfaen" w:hAnsi="Sylfaen"/>
                <w:lang w:val="ka-GE"/>
              </w:rPr>
              <w:fldChar w:fldCharType="separate"/>
            </w:r>
            <w:r w:rsidRPr="00F5432B">
              <w:rPr>
                <w:rStyle w:val="Hyperlink"/>
                <w:rFonts w:ascii="Sylfaen" w:hAnsi="Sylfaen"/>
                <w:noProof/>
                <w:lang w:val="ka-GE"/>
              </w:rPr>
              <w:t xml:space="preserve"> </w:t>
            </w:r>
            <w:r w:rsidRPr="00A57A6F">
              <w:rPr>
                <w:rFonts w:ascii="Sylfaen" w:hAnsi="Sylfaen"/>
                <w:noProof/>
                <w:color w:val="0563C1" w:themeColor="hyperlink"/>
                <w:lang w:val="ka-GE"/>
              </w:rPr>
              <w:t>(HAKOM, `2019)</w:t>
            </w:r>
            <w:r w:rsidR="00E51232" w:rsidRPr="005E50DE">
              <w:rPr>
                <w:rStyle w:val="Hyperlink"/>
                <w:rFonts w:ascii="Sylfaen" w:hAnsi="Sylfaen"/>
                <w:lang w:val="ka-GE"/>
              </w:rPr>
              <w:fldChar w:fldCharType="end"/>
            </w:r>
          </w:sdtContent>
        </w:sdt>
      </w:hyperlink>
      <w:r w:rsidR="00E51232" w:rsidRPr="00F5432B">
        <w:rPr>
          <w:rFonts w:ascii="Sylfaen" w:hAnsi="Sylfaen"/>
          <w:lang w:val="ka-GE"/>
        </w:rPr>
        <w:t xml:space="preserve"> იმისთ</w:t>
      </w:r>
      <w:r w:rsidR="0032555B">
        <w:rPr>
          <w:rFonts w:ascii="Sylfaen" w:hAnsi="Sylfaen"/>
          <w:lang w:val="ka-GE"/>
        </w:rPr>
        <w:t>ვ</w:t>
      </w:r>
      <w:r w:rsidR="00E51232" w:rsidRPr="00F5432B">
        <w:rPr>
          <w:rFonts w:ascii="Sylfaen" w:hAnsi="Sylfaen"/>
          <w:lang w:val="ka-GE"/>
        </w:rPr>
        <w:t xml:space="preserve">ის, რომ სააგენტომ ხელი შეუწყოს გაზრდილ ინვესტიციებს </w:t>
      </w:r>
      <w:r w:rsidR="001E4A0C" w:rsidRPr="00A57A6F">
        <w:rPr>
          <w:rFonts w:ascii="Sylfaen" w:hAnsi="Sylfaen"/>
          <w:lang w:val="ka-GE"/>
        </w:rPr>
        <w:t xml:space="preserve">FTTH </w:t>
      </w:r>
      <w:r w:rsidR="001E4A0C" w:rsidRPr="00F5432B">
        <w:rPr>
          <w:rFonts w:ascii="Sylfaen" w:hAnsi="Sylfaen"/>
          <w:lang w:val="ka-GE"/>
        </w:rPr>
        <w:t xml:space="preserve">და </w:t>
      </w:r>
      <w:r w:rsidR="001E4A0C" w:rsidRPr="00A57A6F">
        <w:rPr>
          <w:rFonts w:ascii="Sylfaen" w:hAnsi="Sylfaen"/>
          <w:lang w:val="ka-GE"/>
        </w:rPr>
        <w:t xml:space="preserve">FTTB </w:t>
      </w:r>
      <w:r w:rsidR="001E4A0C" w:rsidRPr="00F5432B">
        <w:rPr>
          <w:rFonts w:ascii="Sylfaen" w:hAnsi="Sylfaen"/>
          <w:lang w:val="ka-GE"/>
        </w:rPr>
        <w:t xml:space="preserve">ქსელებში, იგი მიზანშეზონილად მიიჩნევს პრემიუმის დაწესებას ისეთი </w:t>
      </w:r>
      <w:r w:rsidR="00FB1752" w:rsidRPr="00A57A6F">
        <w:rPr>
          <w:rFonts w:ascii="Sylfaen" w:hAnsi="Sylfaen"/>
          <w:lang w:val="ka-GE"/>
        </w:rPr>
        <w:t xml:space="preserve">საბითუმო </w:t>
      </w:r>
      <w:r w:rsidR="001E4A0C" w:rsidRPr="00F5432B">
        <w:rPr>
          <w:rFonts w:ascii="Sylfaen" w:hAnsi="Sylfaen"/>
          <w:lang w:val="ka-GE"/>
        </w:rPr>
        <w:t>სერვისებისთვის, რომლებიც ამ ინფრასტრუქტურა</w:t>
      </w:r>
      <w:r w:rsidR="004A72F2">
        <w:rPr>
          <w:rFonts w:ascii="Sylfaen" w:hAnsi="Sylfaen"/>
          <w:lang w:val="ka-GE"/>
        </w:rPr>
        <w:t>ს იყენებს</w:t>
      </w:r>
      <w:r w:rsidR="00FB1752" w:rsidRPr="00A57A6F">
        <w:rPr>
          <w:rFonts w:ascii="Sylfaen" w:hAnsi="Sylfaen"/>
          <w:lang w:val="ka-GE"/>
        </w:rPr>
        <w:t>.</w:t>
      </w:r>
    </w:p>
    <w:p w14:paraId="4CBAA075" w14:textId="1784FAEB" w:rsidR="00226615" w:rsidRDefault="00226615" w:rsidP="00646F3A">
      <w:pPr>
        <w:jc w:val="both"/>
        <w:rPr>
          <w:rFonts w:ascii="Sylfaen" w:hAnsi="Sylfaen"/>
          <w:lang w:val="ka-GE"/>
        </w:rPr>
      </w:pPr>
      <w:r>
        <w:rPr>
          <w:rFonts w:ascii="Sylfaen" w:hAnsi="Sylfaen"/>
          <w:lang w:val="ka-GE"/>
        </w:rPr>
        <w:t xml:space="preserve">ნიდერლანდების და დიდი ბრიტანეთის  მარეგულირებელი ორგანოები ავითარებენ მოსაზრებას, რომ ოპტიკურ-ბოჭკოვანი ინფრასტრუქტურის განვითარების და მოსახლეობაში შეღწევადობის დონის ზრდასთან ერთად მცირდება ოპტიკურ-ბოჭკოვან ინფრასტრუქტურაში ინვესტიციების რისკიანობა, რაც დასტურდება შესაბამისი კვლევებითაც (მაგალითად, </w:t>
      </w:r>
      <w:hyperlink r:id="rId46" w:history="1">
        <w:sdt>
          <w:sdtPr>
            <w:rPr>
              <w:rStyle w:val="Hyperlink"/>
              <w:rFonts w:ascii="Sylfaen" w:hAnsi="Sylfaen"/>
              <w:lang w:val="ka-GE"/>
            </w:rPr>
            <w:id w:val="-1559241848"/>
            <w:citation/>
          </w:sdtPr>
          <w:sdtEndPr>
            <w:rPr>
              <w:rStyle w:val="Hyperlink"/>
            </w:rPr>
          </w:sdtEndPr>
          <w:sdtContent>
            <w:r w:rsidRPr="00177686">
              <w:rPr>
                <w:rStyle w:val="Hyperlink"/>
                <w:rFonts w:ascii="Sylfaen" w:hAnsi="Sylfaen"/>
                <w:lang w:val="ka-GE"/>
              </w:rPr>
              <w:fldChar w:fldCharType="begin"/>
            </w:r>
            <w:r w:rsidRPr="00177686">
              <w:rPr>
                <w:rStyle w:val="Hyperlink"/>
                <w:rFonts w:ascii="Sylfaen" w:hAnsi="Sylfaen"/>
                <w:lang w:val="ka-GE"/>
              </w:rPr>
              <w:instrText xml:space="preserve"> CITATION The20 \l 1079 </w:instrText>
            </w:r>
            <w:r w:rsidRPr="00177686">
              <w:rPr>
                <w:rStyle w:val="Hyperlink"/>
                <w:rFonts w:ascii="Sylfaen" w:hAnsi="Sylfaen"/>
                <w:lang w:val="ka-GE"/>
              </w:rPr>
              <w:fldChar w:fldCharType="separate"/>
            </w:r>
            <w:r>
              <w:rPr>
                <w:rStyle w:val="Hyperlink"/>
                <w:rFonts w:ascii="Sylfaen" w:hAnsi="Sylfaen"/>
                <w:noProof/>
                <w:lang w:val="ka-GE"/>
              </w:rPr>
              <w:t xml:space="preserve"> </w:t>
            </w:r>
            <w:r w:rsidRPr="00E83F33">
              <w:rPr>
                <w:rFonts w:ascii="Sylfaen" w:hAnsi="Sylfaen"/>
                <w:noProof/>
                <w:color w:val="0563C1" w:themeColor="hyperlink"/>
                <w:lang w:val="ka-GE"/>
              </w:rPr>
              <w:t>(The Brattle Group, 2020)</w:t>
            </w:r>
            <w:r w:rsidRPr="00177686">
              <w:rPr>
                <w:rStyle w:val="Hyperlink"/>
                <w:rFonts w:ascii="Sylfaen" w:hAnsi="Sylfaen"/>
                <w:lang w:val="ka-GE"/>
              </w:rPr>
              <w:fldChar w:fldCharType="end"/>
            </w:r>
          </w:sdtContent>
        </w:sdt>
      </w:hyperlink>
      <w:r>
        <w:rPr>
          <w:rFonts w:ascii="Sylfaen" w:hAnsi="Sylfaen"/>
          <w:lang w:val="ka-GE"/>
        </w:rPr>
        <w:t>, რომლის მიხედვითაც, ოპტიკურ-ბოჭკოვანი ტექნოლოგიის შეღწევადობის ზრდ</w:t>
      </w:r>
      <w:r w:rsidR="0091286F">
        <w:rPr>
          <w:rFonts w:ascii="Sylfaen" w:hAnsi="Sylfaen"/>
          <w:lang w:val="ka-GE"/>
        </w:rPr>
        <w:t>ის</w:t>
      </w:r>
      <w:r>
        <w:rPr>
          <w:rFonts w:ascii="Sylfaen" w:hAnsi="Sylfaen"/>
          <w:lang w:val="ka-GE"/>
        </w:rPr>
        <w:t xml:space="preserve"> და ინვესტიციების დონის შემცირებასთან ერთად მცირდება </w:t>
      </w:r>
      <w:r w:rsidRPr="008E412C">
        <w:rPr>
          <w:rFonts w:ascii="Sylfaen" w:hAnsi="Sylfaen"/>
          <w:lang w:val="ka-GE"/>
        </w:rPr>
        <w:t xml:space="preserve">NGA </w:t>
      </w:r>
      <w:r>
        <w:rPr>
          <w:rFonts w:ascii="Sylfaen" w:hAnsi="Sylfaen"/>
          <w:lang w:val="ka-GE"/>
        </w:rPr>
        <w:t xml:space="preserve">პრემიუმის გამოყენების აუცილებლობა. </w:t>
      </w:r>
    </w:p>
    <w:p w14:paraId="639AD233" w14:textId="2354F957" w:rsidR="00960299" w:rsidRDefault="00960299" w:rsidP="00646F3A">
      <w:pPr>
        <w:jc w:val="both"/>
        <w:rPr>
          <w:rFonts w:ascii="Sylfaen" w:hAnsi="Sylfaen"/>
          <w:lang w:val="ka-GE"/>
        </w:rPr>
      </w:pPr>
      <w:r>
        <w:rPr>
          <w:rFonts w:ascii="Sylfaen" w:hAnsi="Sylfaen"/>
          <w:lang w:val="ka-GE"/>
        </w:rPr>
        <w:t>ევროკომისიის 2010 წლის რეკომენდაცია</w:t>
      </w:r>
      <w:r w:rsidRPr="008E412C">
        <w:rPr>
          <w:rFonts w:ascii="Sylfaen" w:hAnsi="Sylfaen"/>
          <w:lang w:val="ka-GE"/>
        </w:rPr>
        <w:t xml:space="preserve"> NGA </w:t>
      </w:r>
      <w:r>
        <w:rPr>
          <w:rFonts w:ascii="Sylfaen" w:hAnsi="Sylfaen"/>
          <w:lang w:val="ka-GE"/>
        </w:rPr>
        <w:t>რისკის პრემიუმის შემოღების შესახებ ცხარე კრიტიკის საგანი გახდა ბოლო პერიოდში განვითარებული მოვლენების გათვალისწინებით. 2021 წლის 28 ოქტომბერს</w:t>
      </w:r>
      <w:r w:rsidR="006C57C8">
        <w:rPr>
          <w:rFonts w:ascii="Sylfaen" w:hAnsi="Sylfaen"/>
          <w:lang w:val="ka-GE"/>
        </w:rPr>
        <w:t xml:space="preserve"> გაიმართა</w:t>
      </w:r>
      <w:r>
        <w:rPr>
          <w:rFonts w:ascii="Sylfaen" w:hAnsi="Sylfaen"/>
          <w:lang w:val="ka-GE"/>
        </w:rPr>
        <w:t xml:space="preserve"> </w:t>
      </w:r>
      <w:r w:rsidRPr="008E412C">
        <w:rPr>
          <w:rFonts w:ascii="Sylfaen" w:hAnsi="Sylfaen"/>
          <w:lang w:val="ka-GE"/>
        </w:rPr>
        <w:t>BEREC</w:t>
      </w:r>
      <w:r>
        <w:rPr>
          <w:rFonts w:ascii="Sylfaen" w:hAnsi="Sylfaen"/>
          <w:lang w:val="ka-GE"/>
        </w:rPr>
        <w:t>-ის</w:t>
      </w:r>
      <w:r w:rsidR="00710B93">
        <w:rPr>
          <w:rFonts w:ascii="Sylfaen" w:hAnsi="Sylfaen"/>
          <w:lang w:val="ka-GE"/>
        </w:rPr>
        <w:t xml:space="preserve"> კვლევის</w:t>
      </w:r>
      <w:r w:rsidR="00EC7FAD">
        <w:rPr>
          <w:rFonts w:ascii="Sylfaen" w:hAnsi="Sylfaen"/>
          <w:lang w:val="ka-GE"/>
        </w:rPr>
        <w:t xml:space="preserve"> (</w:t>
      </w:r>
      <w:proofErr w:type="spellStart"/>
      <w:r w:rsidR="002E2182">
        <w:fldChar w:fldCharType="begin"/>
      </w:r>
      <w:r w:rsidR="002E2182">
        <w:instrText xml:space="preserve"> HYPERLINK "https://op.europa.eu/cs/publication-detail/-/publication/44c8f4c0-32e6-11ec-bd8e-01aa75ed71a1/language-hr" </w:instrText>
      </w:r>
      <w:r w:rsidR="002E2182">
        <w:fldChar w:fldCharType="separate"/>
      </w:r>
      <w:r w:rsidR="00552D96" w:rsidRPr="00552D96">
        <w:rPr>
          <w:rStyle w:val="Hyperlink"/>
          <w:rFonts w:ascii="Sylfaen" w:hAnsi="Sylfaen"/>
          <w:lang w:val="ka-GE"/>
        </w:rPr>
        <w:t>Study</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on</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regulatory</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incentives</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for</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the</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deployment</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of</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very</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high</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capacity</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networks</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in</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the</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context</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of</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the</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revision</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of</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the</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Commission’s</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access</w:t>
      </w:r>
      <w:proofErr w:type="spellEnd"/>
      <w:r w:rsidR="00552D96" w:rsidRPr="00552D96">
        <w:rPr>
          <w:rStyle w:val="Hyperlink"/>
          <w:rFonts w:ascii="Sylfaen" w:hAnsi="Sylfaen"/>
          <w:lang w:val="ka-GE"/>
        </w:rPr>
        <w:t xml:space="preserve"> </w:t>
      </w:r>
      <w:proofErr w:type="spellStart"/>
      <w:r w:rsidR="00552D96" w:rsidRPr="00552D96">
        <w:rPr>
          <w:rStyle w:val="Hyperlink"/>
          <w:rFonts w:ascii="Sylfaen" w:hAnsi="Sylfaen"/>
          <w:lang w:val="ka-GE"/>
        </w:rPr>
        <w:t>recommendations</w:t>
      </w:r>
      <w:proofErr w:type="spellEnd"/>
      <w:r w:rsidR="002E2182">
        <w:rPr>
          <w:rStyle w:val="Hyperlink"/>
          <w:rFonts w:ascii="Sylfaen" w:hAnsi="Sylfaen"/>
          <w:lang w:val="ka-GE"/>
        </w:rPr>
        <w:fldChar w:fldCharType="end"/>
      </w:r>
      <w:r w:rsidR="00552D96">
        <w:rPr>
          <w:rFonts w:ascii="Sylfaen" w:hAnsi="Sylfaen"/>
          <w:lang w:val="ka-GE"/>
        </w:rPr>
        <w:t>)</w:t>
      </w:r>
      <w:r w:rsidR="00887E87">
        <w:rPr>
          <w:rFonts w:ascii="Sylfaen" w:hAnsi="Sylfaen"/>
          <w:lang w:val="ka-GE"/>
        </w:rPr>
        <w:t xml:space="preserve"> წარდგენა</w:t>
      </w:r>
      <w:r w:rsidR="00831E22">
        <w:rPr>
          <w:rFonts w:ascii="Sylfaen" w:hAnsi="Sylfaen"/>
          <w:lang w:val="ka-GE"/>
        </w:rPr>
        <w:t>, რომელზეც</w:t>
      </w:r>
      <w:r>
        <w:rPr>
          <w:rFonts w:ascii="Sylfaen" w:hAnsi="Sylfaen"/>
          <w:lang w:val="ka-GE"/>
        </w:rPr>
        <w:t xml:space="preserve"> დაინტერესებულ მხარე</w:t>
      </w:r>
      <w:r w:rsidR="006B362D">
        <w:rPr>
          <w:rFonts w:ascii="Sylfaen" w:hAnsi="Sylfaen"/>
          <w:lang w:val="ka-GE"/>
        </w:rPr>
        <w:t>ებმა</w:t>
      </w:r>
      <w:r w:rsidR="00340947">
        <w:rPr>
          <w:rFonts w:ascii="Sylfaen" w:hAnsi="Sylfaen"/>
          <w:lang w:val="ka-GE"/>
        </w:rPr>
        <w:t xml:space="preserve"> (</w:t>
      </w:r>
      <w:r w:rsidR="00340947" w:rsidRPr="008E412C">
        <w:rPr>
          <w:rFonts w:ascii="Sylfaen" w:hAnsi="Sylfaen"/>
          <w:lang w:val="ka-GE"/>
        </w:rPr>
        <w:t xml:space="preserve">BEREC, ETNO, ECTA, ACM,  BIPT, EETT, PTS </w:t>
      </w:r>
      <w:r w:rsidR="00340947">
        <w:rPr>
          <w:rFonts w:ascii="Sylfaen" w:hAnsi="Sylfaen"/>
          <w:lang w:val="ka-GE"/>
        </w:rPr>
        <w:t xml:space="preserve">და </w:t>
      </w:r>
      <w:proofErr w:type="spellStart"/>
      <w:r w:rsidR="00340947">
        <w:rPr>
          <w:rFonts w:ascii="Sylfaen" w:hAnsi="Sylfaen"/>
          <w:lang w:val="ka-GE"/>
        </w:rPr>
        <w:t>ა.შ</w:t>
      </w:r>
      <w:proofErr w:type="spellEnd"/>
      <w:r w:rsidR="00340947">
        <w:rPr>
          <w:rFonts w:ascii="Sylfaen" w:hAnsi="Sylfaen"/>
          <w:lang w:val="ka-GE"/>
        </w:rPr>
        <w:t>.)</w:t>
      </w:r>
      <w:r>
        <w:rPr>
          <w:rFonts w:ascii="Sylfaen" w:hAnsi="Sylfaen"/>
          <w:lang w:val="ka-GE"/>
        </w:rPr>
        <w:t xml:space="preserve"> დ</w:t>
      </w:r>
      <w:r w:rsidR="008D3F5A">
        <w:rPr>
          <w:rFonts w:ascii="Sylfaen" w:hAnsi="Sylfaen"/>
          <w:lang w:val="ka-GE"/>
        </w:rPr>
        <w:t>ა</w:t>
      </w:r>
      <w:r>
        <w:rPr>
          <w:rFonts w:ascii="Sylfaen" w:hAnsi="Sylfaen"/>
          <w:lang w:val="ka-GE"/>
        </w:rPr>
        <w:t>ასახელ</w:t>
      </w:r>
      <w:r w:rsidR="006B362D">
        <w:rPr>
          <w:rFonts w:ascii="Sylfaen" w:hAnsi="Sylfaen"/>
          <w:lang w:val="ka-GE"/>
        </w:rPr>
        <w:t>ეს</w:t>
      </w:r>
      <w:r>
        <w:rPr>
          <w:rFonts w:ascii="Sylfaen" w:hAnsi="Sylfaen"/>
          <w:lang w:val="ka-GE"/>
        </w:rPr>
        <w:t xml:space="preserve"> მყარი არგუმენტები, რომ 2010 წლის რეკომენდაცია 2021 წლის საინვესტიციო გარემოსთვის შესაბამისი აღარაა და რომ ოპტიკურ-ბოჭკოვანი ტექნოლოგიების განვითარების დონე უმეტეს ქვეყნებში ჩანასახოვან სტადიაზე აღარ არის. კომპანიის მენეჯერებმა ბოლო 10-11 წლის განმავლობაში მნიშნელოვანი გამოცდილება და უნარები შეიძინეს ოპტიკურ-ბოჭკოვან ინფრასტრუქტურაში ინვესტირების თავისებურებების შესახებ (მაგალითად, ცოდნა იმის შესახებ თუ რა პრობლემები, რა ხარჯები და წინააღმდეგობები შეიძლება წარმოიშვას ინფრასტრუქტურის მშენებლობისას და </w:t>
      </w:r>
      <w:proofErr w:type="spellStart"/>
      <w:r>
        <w:rPr>
          <w:rFonts w:ascii="Sylfaen" w:hAnsi="Sylfaen"/>
          <w:lang w:val="ka-GE"/>
        </w:rPr>
        <w:t>ა.შ</w:t>
      </w:r>
      <w:proofErr w:type="spellEnd"/>
      <w:r>
        <w:rPr>
          <w:rFonts w:ascii="Sylfaen" w:hAnsi="Sylfaen"/>
          <w:lang w:val="ka-GE"/>
        </w:rPr>
        <w:t xml:space="preserve">.). გარდა ამისა, </w:t>
      </w:r>
      <w:r w:rsidRPr="00B466B8">
        <w:rPr>
          <w:rFonts w:ascii="Sylfaen" w:hAnsi="Sylfaen"/>
          <w:lang w:val="ka-GE"/>
        </w:rPr>
        <w:t>COVID</w:t>
      </w:r>
      <w:r>
        <w:rPr>
          <w:rFonts w:ascii="Sylfaen" w:hAnsi="Sylfaen"/>
          <w:lang w:val="ka-GE"/>
        </w:rPr>
        <w:t>-19</w:t>
      </w:r>
      <w:r w:rsidRPr="00B466B8">
        <w:rPr>
          <w:rFonts w:ascii="Sylfaen" w:hAnsi="Sylfaen"/>
          <w:lang w:val="ka-GE"/>
        </w:rPr>
        <w:t xml:space="preserve"> </w:t>
      </w:r>
      <w:r>
        <w:rPr>
          <w:rFonts w:ascii="Sylfaen" w:hAnsi="Sylfaen"/>
          <w:lang w:val="ka-GE"/>
        </w:rPr>
        <w:t>პანდემიამ არათუ გაზარდა რისკები, არამედ ხაზი გაუსვა მაღალსიჩქარიან ინტერნეტზე მზარდი მოთხოვნის გარდაუვალობას ციფრული განვითარების შეუქცევადობის პირობებში (</w:t>
      </w:r>
      <w:hyperlink r:id="rId47" w:history="1">
        <w:r w:rsidRPr="00B466B8">
          <w:rPr>
            <w:rStyle w:val="Hyperlink"/>
            <w:rFonts w:ascii="Sylfaen" w:hAnsi="Sylfaen"/>
            <w:lang w:val="ka-GE"/>
          </w:rPr>
          <w:t xml:space="preserve">BEREC </w:t>
        </w:r>
        <w:proofErr w:type="spellStart"/>
        <w:r w:rsidRPr="00B466B8">
          <w:rPr>
            <w:rStyle w:val="Hyperlink"/>
            <w:rFonts w:ascii="Sylfaen" w:hAnsi="Sylfaen"/>
            <w:lang w:val="ka-GE"/>
          </w:rPr>
          <w:t>Stakeholder</w:t>
        </w:r>
        <w:proofErr w:type="spellEnd"/>
        <w:r w:rsidRPr="00B466B8">
          <w:rPr>
            <w:rStyle w:val="Hyperlink"/>
            <w:rFonts w:ascii="Sylfaen" w:hAnsi="Sylfaen"/>
            <w:lang w:val="ka-GE"/>
          </w:rPr>
          <w:t xml:space="preserve"> </w:t>
        </w:r>
        <w:proofErr w:type="spellStart"/>
        <w:r w:rsidRPr="00B466B8">
          <w:rPr>
            <w:rStyle w:val="Hyperlink"/>
            <w:rFonts w:ascii="Sylfaen" w:hAnsi="Sylfaen"/>
            <w:lang w:val="ka-GE"/>
          </w:rPr>
          <w:t>Forum</w:t>
        </w:r>
        <w:proofErr w:type="spellEnd"/>
      </w:hyperlink>
      <w:r>
        <w:rPr>
          <w:rFonts w:ascii="Sylfaen" w:hAnsi="Sylfaen"/>
          <w:lang w:val="ka-GE"/>
        </w:rPr>
        <w:t>). შესაბამისად, მოთხოვნის არასტაბილურობის არგუმენტი აქტუალობას კარგავს ციფრული ეკონომიკის ზრდასთან ერთად.</w:t>
      </w:r>
    </w:p>
    <w:p w14:paraId="56D3033F" w14:textId="3F881A2C" w:rsidR="007D1160" w:rsidRDefault="007D1160" w:rsidP="00646F3A">
      <w:pPr>
        <w:jc w:val="both"/>
        <w:rPr>
          <w:rFonts w:ascii="Sylfaen" w:hAnsi="Sylfaen"/>
          <w:lang w:val="ka-GE"/>
        </w:rPr>
      </w:pPr>
      <w:r>
        <w:rPr>
          <w:rFonts w:ascii="Sylfaen" w:hAnsi="Sylfaen"/>
          <w:lang w:val="ka-GE"/>
        </w:rPr>
        <w:t>საქართველოში</w:t>
      </w:r>
      <w:r w:rsidR="00A94A3B">
        <w:rPr>
          <w:rFonts w:ascii="Sylfaen" w:hAnsi="Sylfaen"/>
          <w:lang w:val="ka-GE"/>
        </w:rPr>
        <w:t xml:space="preserve"> </w:t>
      </w:r>
      <w:r w:rsidR="00193512">
        <w:rPr>
          <w:rFonts w:ascii="Sylfaen" w:hAnsi="Sylfaen"/>
          <w:lang w:val="ka-GE"/>
        </w:rPr>
        <w:t xml:space="preserve">ოპტიკურ-ბოჭკოვანი ტექნოლოგიის </w:t>
      </w:r>
      <w:proofErr w:type="spellStart"/>
      <w:r w:rsidR="004F6141" w:rsidRPr="00C060EB">
        <w:rPr>
          <w:rFonts w:ascii="Sylfaen" w:hAnsi="Sylfaen"/>
          <w:lang w:val="ka-GE"/>
        </w:rPr>
        <w:t>პენეტრაციის</w:t>
      </w:r>
      <w:proofErr w:type="spellEnd"/>
      <w:r w:rsidR="0035777C">
        <w:rPr>
          <w:rFonts w:ascii="Sylfaen" w:hAnsi="Sylfaen"/>
          <w:lang w:val="ka-GE"/>
        </w:rPr>
        <w:t xml:space="preserve"> </w:t>
      </w:r>
      <w:r w:rsidR="00103CA5">
        <w:rPr>
          <w:rFonts w:ascii="Sylfaen" w:hAnsi="Sylfaen"/>
          <w:lang w:val="ka-GE"/>
        </w:rPr>
        <w:t>მონაცემების ანალიზი ცხადყოფს, რომ</w:t>
      </w:r>
      <w:r w:rsidR="002164BC">
        <w:rPr>
          <w:rFonts w:ascii="Sylfaen" w:hAnsi="Sylfaen"/>
          <w:lang w:val="ka-GE"/>
        </w:rPr>
        <w:t xml:space="preserve"> </w:t>
      </w:r>
      <w:r w:rsidR="00C11317">
        <w:rPr>
          <w:rFonts w:ascii="Sylfaen" w:hAnsi="Sylfaen"/>
          <w:lang w:val="ka-GE"/>
        </w:rPr>
        <w:t>საქართველო მოწინავე</w:t>
      </w:r>
      <w:r w:rsidR="00103CA5">
        <w:rPr>
          <w:rFonts w:ascii="Sylfaen" w:hAnsi="Sylfaen"/>
          <w:lang w:val="ka-GE"/>
        </w:rPr>
        <w:t xml:space="preserve"> პოზიციაზეა ევროკავშირის ქვეყნებთან შედარებით</w:t>
      </w:r>
      <w:r w:rsidR="00C11317">
        <w:rPr>
          <w:rFonts w:ascii="Sylfaen" w:hAnsi="Sylfaen"/>
          <w:lang w:val="ka-GE"/>
        </w:rPr>
        <w:t>.</w:t>
      </w:r>
      <w:r w:rsidR="00323481">
        <w:rPr>
          <w:rFonts w:ascii="Sylfaen" w:hAnsi="Sylfaen"/>
          <w:lang w:val="ka-GE"/>
        </w:rPr>
        <w:t xml:space="preserve"> კერძოდ, </w:t>
      </w:r>
      <w:r w:rsidR="00551EA3">
        <w:rPr>
          <w:rFonts w:ascii="Sylfaen" w:hAnsi="Sylfaen"/>
          <w:lang w:val="ka-GE"/>
        </w:rPr>
        <w:t>ოპტიკურ-ბოჭკოვანი ტექნოლოგიის წილით მთლიან ფიქსირებულ ინტერნეტში საქართველო პირველ ადგილზეა.</w:t>
      </w:r>
      <w:r w:rsidR="00C11317">
        <w:rPr>
          <w:rFonts w:ascii="Sylfaen" w:hAnsi="Sylfaen"/>
          <w:lang w:val="ka-GE"/>
        </w:rPr>
        <w:t xml:space="preserve"> ხოლო ქვეყნები, რომლებიც </w:t>
      </w:r>
      <w:r w:rsidR="00C11317">
        <w:rPr>
          <w:rFonts w:ascii="Sylfaen" w:hAnsi="Sylfaen"/>
          <w:lang w:val="en-GB"/>
        </w:rPr>
        <w:t>NGA</w:t>
      </w:r>
      <w:r w:rsidR="00193512">
        <w:rPr>
          <w:rFonts w:ascii="Sylfaen" w:hAnsi="Sylfaen"/>
          <w:lang w:val="ka-GE"/>
        </w:rPr>
        <w:t xml:space="preserve"> რისკის</w:t>
      </w:r>
      <w:r w:rsidR="00C11317">
        <w:rPr>
          <w:rFonts w:ascii="Sylfaen" w:hAnsi="Sylfaen"/>
          <w:lang w:val="en-GB"/>
        </w:rPr>
        <w:t xml:space="preserve"> </w:t>
      </w:r>
      <w:r w:rsidR="00C11317">
        <w:rPr>
          <w:rFonts w:ascii="Sylfaen" w:hAnsi="Sylfaen"/>
          <w:lang w:val="ka-GE"/>
        </w:rPr>
        <w:t>პრემიუმს გამოიყენებენ ოპტიკურ ბოჭკოვანი ინფრასტრუქტურა ჯერ კიდევ</w:t>
      </w:r>
      <w:r w:rsidR="00103CA5">
        <w:rPr>
          <w:rFonts w:ascii="Sylfaen" w:hAnsi="Sylfaen"/>
          <w:lang w:val="ka-GE"/>
        </w:rPr>
        <w:t xml:space="preserve"> ჩანასახოვან სტადიაზეა და იგი</w:t>
      </w:r>
      <w:r w:rsidR="00C11317">
        <w:rPr>
          <w:rFonts w:ascii="Sylfaen" w:hAnsi="Sylfaen"/>
          <w:lang w:val="ka-GE"/>
        </w:rPr>
        <w:t xml:space="preserve"> უმნიშვნელო წილს იკავებს </w:t>
      </w:r>
      <w:r w:rsidR="00551EA3">
        <w:rPr>
          <w:rFonts w:ascii="Sylfaen" w:hAnsi="Sylfaen"/>
          <w:lang w:val="ka-GE"/>
        </w:rPr>
        <w:t>ფიქსირებული</w:t>
      </w:r>
      <w:r w:rsidR="00C11317">
        <w:rPr>
          <w:rFonts w:ascii="Sylfaen" w:hAnsi="Sylfaen"/>
          <w:lang w:val="ka-GE"/>
        </w:rPr>
        <w:t xml:space="preserve"> ინტერნეტის მომსახურებაში.</w:t>
      </w:r>
    </w:p>
    <w:p w14:paraId="29FA0166" w14:textId="4242C875" w:rsidR="00C43529" w:rsidRPr="000030FA" w:rsidRDefault="00970DF7" w:rsidP="00646F3A">
      <w:pPr>
        <w:pStyle w:val="Caption"/>
        <w:rPr>
          <w:rFonts w:ascii="Sylfaen" w:hAnsi="Sylfaen"/>
          <w:lang w:val="ka-GE"/>
        </w:rPr>
      </w:pPr>
      <w:bookmarkStart w:id="6" w:name="_Ref92916242"/>
      <w:r>
        <w:rPr>
          <w:rFonts w:ascii="Sylfaen" w:hAnsi="Sylfaen"/>
          <w:sz w:val="22"/>
          <w:szCs w:val="22"/>
          <w:lang w:val="ka-GE"/>
        </w:rPr>
        <w:t>დიაგრამა</w:t>
      </w:r>
      <w:r w:rsidR="00C43529" w:rsidRPr="00B466B8">
        <w:rPr>
          <w:rFonts w:ascii="Sylfaen" w:hAnsi="Sylfaen"/>
          <w:sz w:val="22"/>
          <w:szCs w:val="22"/>
        </w:rPr>
        <w:t xml:space="preserve"> </w:t>
      </w:r>
      <w:r w:rsidR="00C43529" w:rsidRPr="00B466B8">
        <w:rPr>
          <w:rFonts w:ascii="Sylfaen" w:hAnsi="Sylfaen"/>
          <w:sz w:val="22"/>
          <w:szCs w:val="22"/>
        </w:rPr>
        <w:fldChar w:fldCharType="begin"/>
      </w:r>
      <w:r w:rsidR="00C43529" w:rsidRPr="00B466B8">
        <w:rPr>
          <w:rFonts w:ascii="Sylfaen" w:hAnsi="Sylfaen"/>
          <w:sz w:val="22"/>
          <w:szCs w:val="22"/>
        </w:rPr>
        <w:instrText xml:space="preserve"> SEQ ფიგურა \* ARABIC </w:instrText>
      </w:r>
      <w:r w:rsidR="00C43529" w:rsidRPr="00B466B8">
        <w:rPr>
          <w:rFonts w:ascii="Sylfaen" w:hAnsi="Sylfaen"/>
          <w:sz w:val="22"/>
          <w:szCs w:val="22"/>
        </w:rPr>
        <w:fldChar w:fldCharType="separate"/>
      </w:r>
      <w:r w:rsidR="00C43529">
        <w:rPr>
          <w:rFonts w:ascii="Sylfaen" w:hAnsi="Sylfaen"/>
          <w:noProof/>
          <w:sz w:val="22"/>
          <w:szCs w:val="22"/>
        </w:rPr>
        <w:t>3</w:t>
      </w:r>
      <w:r w:rsidR="00C43529" w:rsidRPr="00B466B8">
        <w:rPr>
          <w:rFonts w:ascii="Sylfaen" w:hAnsi="Sylfaen"/>
          <w:sz w:val="22"/>
          <w:szCs w:val="22"/>
        </w:rPr>
        <w:fldChar w:fldCharType="end"/>
      </w:r>
      <w:bookmarkEnd w:id="6"/>
    </w:p>
    <w:p w14:paraId="427C1339" w14:textId="49CD9933" w:rsidR="00A16A32" w:rsidRDefault="00A16A32" w:rsidP="00646F3A">
      <w:pPr>
        <w:jc w:val="both"/>
        <w:rPr>
          <w:rFonts w:ascii="Sylfaen" w:hAnsi="Sylfaen"/>
          <w:lang w:val="ka-GE"/>
        </w:rPr>
      </w:pPr>
      <w:r w:rsidRPr="00A16A32">
        <w:rPr>
          <w:rFonts w:ascii="Sylfaen" w:hAnsi="Sylfaen"/>
          <w:noProof/>
        </w:rPr>
        <w:drawing>
          <wp:inline distT="0" distB="0" distL="0" distR="0" wp14:anchorId="6937F398" wp14:editId="144BDC6E">
            <wp:extent cx="6286500" cy="3141980"/>
            <wp:effectExtent l="0" t="0" r="0" b="1270"/>
            <wp:docPr id="6" name="Chart 6">
              <a:extLst xmlns:a="http://schemas.openxmlformats.org/drawingml/2006/main">
                <a:ext uri="{FF2B5EF4-FFF2-40B4-BE49-F238E27FC236}">
                  <a16:creationId xmlns:a16="http://schemas.microsoft.com/office/drawing/2014/main" id="{9C57649C-067E-42A8-B0B4-1EC78AF501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352FA12" w14:textId="6863B570" w:rsidR="00630300" w:rsidRPr="008E412C" w:rsidRDefault="00630300" w:rsidP="00646F3A">
      <w:pPr>
        <w:jc w:val="both"/>
        <w:rPr>
          <w:rFonts w:ascii="Sylfaen" w:hAnsi="Sylfaen"/>
        </w:rPr>
      </w:pPr>
      <w:r w:rsidRPr="00630300">
        <w:rPr>
          <w:rFonts w:ascii="Sylfaen" w:hAnsi="Sylfaen"/>
          <w:lang w:val="ka-GE"/>
        </w:rPr>
        <w:t xml:space="preserve">წყარო: </w:t>
      </w:r>
      <w:hyperlink r:id="rId49" w:history="1">
        <w:r w:rsidR="006E03CB">
          <w:rPr>
            <w:rStyle w:val="Hyperlink"/>
            <w:rFonts w:ascii="Sylfaen" w:hAnsi="Sylfaen"/>
            <w:lang w:val="en-GB"/>
          </w:rPr>
          <w:t>OECD</w:t>
        </w:r>
      </w:hyperlink>
      <w:r w:rsidRPr="00630300">
        <w:rPr>
          <w:rFonts w:ascii="Sylfaen" w:hAnsi="Sylfaen"/>
          <w:lang w:val="ka-GE"/>
        </w:rPr>
        <w:t xml:space="preserve"> </w:t>
      </w:r>
    </w:p>
    <w:p w14:paraId="6F7B13AA" w14:textId="197AB9BB" w:rsidR="00630300" w:rsidRDefault="00630300" w:rsidP="00646F3A">
      <w:pPr>
        <w:jc w:val="both"/>
        <w:rPr>
          <w:rFonts w:ascii="Sylfaen" w:hAnsi="Sylfaen"/>
          <w:lang w:val="ka-GE"/>
        </w:rPr>
      </w:pPr>
    </w:p>
    <w:p w14:paraId="143402CB" w14:textId="61CF2F17" w:rsidR="00C43529" w:rsidRDefault="00C43529" w:rsidP="00646F3A">
      <w:pPr>
        <w:jc w:val="both"/>
        <w:rPr>
          <w:rFonts w:ascii="Sylfaen" w:hAnsi="Sylfaen"/>
          <w:lang w:val="ka-GE"/>
        </w:rPr>
      </w:pPr>
    </w:p>
    <w:p w14:paraId="644E64F6" w14:textId="65B310D0" w:rsidR="00C43529" w:rsidRPr="000030FA" w:rsidRDefault="00970DF7" w:rsidP="00646F3A">
      <w:pPr>
        <w:pStyle w:val="Caption"/>
        <w:rPr>
          <w:rFonts w:ascii="Sylfaen" w:hAnsi="Sylfaen"/>
          <w:lang w:val="ka-GE"/>
        </w:rPr>
      </w:pPr>
      <w:bookmarkStart w:id="7" w:name="_Ref92916255"/>
      <w:r>
        <w:rPr>
          <w:rFonts w:ascii="Sylfaen" w:hAnsi="Sylfaen"/>
          <w:sz w:val="22"/>
          <w:szCs w:val="22"/>
          <w:lang w:val="ka-GE"/>
        </w:rPr>
        <w:t>დიაგრამა</w:t>
      </w:r>
      <w:r w:rsidR="00C43529" w:rsidRPr="00B466B8">
        <w:rPr>
          <w:rFonts w:ascii="Sylfaen" w:hAnsi="Sylfaen"/>
          <w:sz w:val="22"/>
          <w:szCs w:val="22"/>
        </w:rPr>
        <w:t xml:space="preserve"> </w:t>
      </w:r>
      <w:r w:rsidR="00C43529" w:rsidRPr="00B466B8">
        <w:rPr>
          <w:rFonts w:ascii="Sylfaen" w:hAnsi="Sylfaen"/>
          <w:sz w:val="22"/>
          <w:szCs w:val="22"/>
        </w:rPr>
        <w:fldChar w:fldCharType="begin"/>
      </w:r>
      <w:r w:rsidR="00C43529" w:rsidRPr="00B466B8">
        <w:rPr>
          <w:rFonts w:ascii="Sylfaen" w:hAnsi="Sylfaen"/>
          <w:sz w:val="22"/>
          <w:szCs w:val="22"/>
        </w:rPr>
        <w:instrText xml:space="preserve"> SEQ ფიგურა \* ARABIC </w:instrText>
      </w:r>
      <w:r w:rsidR="00C43529" w:rsidRPr="00B466B8">
        <w:rPr>
          <w:rFonts w:ascii="Sylfaen" w:hAnsi="Sylfaen"/>
          <w:sz w:val="22"/>
          <w:szCs w:val="22"/>
        </w:rPr>
        <w:fldChar w:fldCharType="separate"/>
      </w:r>
      <w:r w:rsidR="00C43529">
        <w:rPr>
          <w:rFonts w:ascii="Sylfaen" w:hAnsi="Sylfaen"/>
          <w:noProof/>
          <w:sz w:val="22"/>
          <w:szCs w:val="22"/>
        </w:rPr>
        <w:t>4</w:t>
      </w:r>
      <w:r w:rsidR="00C43529" w:rsidRPr="00B466B8">
        <w:rPr>
          <w:rFonts w:ascii="Sylfaen" w:hAnsi="Sylfaen"/>
          <w:sz w:val="22"/>
          <w:szCs w:val="22"/>
        </w:rPr>
        <w:fldChar w:fldCharType="end"/>
      </w:r>
      <w:bookmarkEnd w:id="7"/>
    </w:p>
    <w:p w14:paraId="155D5CE6" w14:textId="0CA4CDE3" w:rsidR="002164BC" w:rsidRDefault="002164BC" w:rsidP="00646F3A">
      <w:pPr>
        <w:jc w:val="both"/>
        <w:rPr>
          <w:rFonts w:ascii="Sylfaen" w:hAnsi="Sylfaen"/>
          <w:lang w:val="ka-GE"/>
        </w:rPr>
      </w:pPr>
      <w:r w:rsidRPr="002164BC">
        <w:rPr>
          <w:rFonts w:ascii="Sylfaen" w:hAnsi="Sylfaen"/>
          <w:noProof/>
        </w:rPr>
        <w:drawing>
          <wp:inline distT="0" distB="0" distL="0" distR="0" wp14:anchorId="297B2B3F" wp14:editId="3A49AFC4">
            <wp:extent cx="6286500" cy="2705100"/>
            <wp:effectExtent l="0" t="0" r="0" b="0"/>
            <wp:docPr id="5" name="Chart 5">
              <a:extLst xmlns:a="http://schemas.openxmlformats.org/drawingml/2006/main">
                <a:ext uri="{FF2B5EF4-FFF2-40B4-BE49-F238E27FC236}">
                  <a16:creationId xmlns:a16="http://schemas.microsoft.com/office/drawing/2014/main" id="{FFBA0DF6-2DB0-46C1-9DC2-033100FE89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EDA8C2C" w14:textId="5F2FA977" w:rsidR="00A16A32" w:rsidRPr="00A16A32" w:rsidRDefault="00A16A32" w:rsidP="00646F3A">
      <w:pPr>
        <w:jc w:val="both"/>
        <w:rPr>
          <w:rFonts w:ascii="Sylfaen" w:hAnsi="Sylfaen"/>
          <w:lang w:val="ka-GE"/>
        </w:rPr>
      </w:pPr>
      <w:r w:rsidRPr="008E412C">
        <w:rPr>
          <w:rFonts w:ascii="Sylfaen" w:hAnsi="Sylfaen"/>
          <w:lang w:val="ka-GE"/>
        </w:rPr>
        <w:t xml:space="preserve">* </w:t>
      </w:r>
      <w:r w:rsidRPr="00A16A32">
        <w:rPr>
          <w:rFonts w:ascii="Sylfaen" w:hAnsi="Sylfaen"/>
          <w:lang w:val="ka-GE"/>
        </w:rPr>
        <w:t>საქართველოსთვის აღებულია აქტიური</w:t>
      </w:r>
      <w:r w:rsidR="003719F4">
        <w:rPr>
          <w:rFonts w:ascii="Sylfaen" w:hAnsi="Sylfaen"/>
          <w:lang w:val="ka-GE"/>
        </w:rPr>
        <w:t xml:space="preserve"> (აბონენტები)</w:t>
      </w:r>
      <w:r w:rsidRPr="00A16A32">
        <w:rPr>
          <w:rFonts w:ascii="Sylfaen" w:hAnsi="Sylfaen"/>
          <w:lang w:val="ka-GE"/>
        </w:rPr>
        <w:t xml:space="preserve"> შინამეურნეობები, ხოლო სხვა ქვეყნებისთვის დაფარვ</w:t>
      </w:r>
      <w:r w:rsidR="003719F4">
        <w:rPr>
          <w:rFonts w:ascii="Sylfaen" w:hAnsi="Sylfaen"/>
          <w:lang w:val="ka-GE"/>
        </w:rPr>
        <w:t xml:space="preserve">ის </w:t>
      </w:r>
      <w:r w:rsidR="00551EA3">
        <w:rPr>
          <w:rFonts w:ascii="Sylfaen" w:hAnsi="Sylfaen"/>
          <w:lang w:val="ka-GE"/>
        </w:rPr>
        <w:t>არეალში</w:t>
      </w:r>
      <w:r w:rsidR="003719F4">
        <w:rPr>
          <w:rFonts w:ascii="Sylfaen" w:hAnsi="Sylfaen"/>
          <w:lang w:val="ka-GE"/>
        </w:rPr>
        <w:t xml:space="preserve"> არსებული ყველა შინამეურნეობა</w:t>
      </w:r>
      <w:r w:rsidR="00551EA3">
        <w:rPr>
          <w:rFonts w:ascii="Sylfaen" w:hAnsi="Sylfaen"/>
          <w:lang w:val="ka-GE"/>
        </w:rPr>
        <w:t>.</w:t>
      </w:r>
    </w:p>
    <w:p w14:paraId="38E306B2" w14:textId="280A7B18" w:rsidR="005B5256" w:rsidRDefault="00A16A32" w:rsidP="00646F3A">
      <w:pPr>
        <w:jc w:val="both"/>
        <w:rPr>
          <w:rFonts w:ascii="Sylfaen" w:hAnsi="Sylfaen"/>
          <w:lang w:val="ka-GE"/>
        </w:rPr>
      </w:pPr>
      <w:r w:rsidRPr="00A16A32">
        <w:rPr>
          <w:rFonts w:ascii="Sylfaen" w:hAnsi="Sylfaen"/>
          <w:lang w:val="ka-GE"/>
        </w:rPr>
        <w:t xml:space="preserve">წყარო: </w:t>
      </w:r>
      <w:hyperlink r:id="rId51" w:history="1">
        <w:proofErr w:type="spellStart"/>
        <w:r w:rsidRPr="008E412C">
          <w:rPr>
            <w:rStyle w:val="Hyperlink"/>
            <w:rFonts w:ascii="Sylfaen" w:hAnsi="Sylfaen"/>
            <w:lang w:val="ka-GE"/>
          </w:rPr>
          <w:t>Digital</w:t>
        </w:r>
        <w:proofErr w:type="spellEnd"/>
        <w:r w:rsidRPr="008E412C">
          <w:rPr>
            <w:rStyle w:val="Hyperlink"/>
            <w:rFonts w:ascii="Sylfaen" w:hAnsi="Sylfaen"/>
            <w:lang w:val="ka-GE"/>
          </w:rPr>
          <w:t xml:space="preserve"> </w:t>
        </w:r>
        <w:proofErr w:type="spellStart"/>
        <w:r w:rsidRPr="008E412C">
          <w:rPr>
            <w:rStyle w:val="Hyperlink"/>
            <w:rFonts w:ascii="Sylfaen" w:hAnsi="Sylfaen"/>
            <w:lang w:val="ka-GE"/>
          </w:rPr>
          <w:t>Scoreboard</w:t>
        </w:r>
        <w:proofErr w:type="spellEnd"/>
      </w:hyperlink>
    </w:p>
    <w:p w14:paraId="4959CDDF" w14:textId="3A284ED5" w:rsidR="008F241F" w:rsidRDefault="008F241F" w:rsidP="00646F3A">
      <w:pPr>
        <w:jc w:val="both"/>
        <w:rPr>
          <w:rFonts w:ascii="Sylfaen" w:hAnsi="Sylfaen"/>
          <w:lang w:val="ka-GE"/>
        </w:rPr>
      </w:pPr>
      <w:r w:rsidRPr="00D14074">
        <w:rPr>
          <w:rFonts w:ascii="Sylfaen" w:hAnsi="Sylfaen"/>
          <w:lang w:val="ka-GE"/>
        </w:rPr>
        <w:t>მიუხედავად იმისა, რომ საქართველოში ოპტიკურ-ბოჭკოვანი ტექნოლოგია ინტერნეტი</w:t>
      </w:r>
      <w:r w:rsidR="00D14074" w:rsidRPr="00D14074">
        <w:rPr>
          <w:rFonts w:ascii="Sylfaen" w:hAnsi="Sylfaen"/>
          <w:lang w:val="ka-GE"/>
        </w:rPr>
        <w:t>ს მომსახურების სეგმენტზე</w:t>
      </w:r>
      <w:r w:rsidR="003358C4" w:rsidRPr="00D14074">
        <w:rPr>
          <w:rFonts w:ascii="Sylfaen" w:hAnsi="Sylfaen"/>
          <w:lang w:val="ka-GE"/>
        </w:rPr>
        <w:t xml:space="preserve"> მნიშნელოვან წილს იკავებს,</w:t>
      </w:r>
      <w:r w:rsidRPr="00D14074">
        <w:rPr>
          <w:rFonts w:ascii="Sylfaen" w:hAnsi="Sylfaen"/>
          <w:lang w:val="ka-GE"/>
        </w:rPr>
        <w:t xml:space="preserve"> დაფარვის არეალის და ბოლო მომხმარებლებისთვის ინტერნეტთან წვდომის გაზრდა კვლავ დარგის მნიშნელოვან გამოწვევად რჩება. რაც თავის მხრივ შესაძლებელი იქნება მსხვილი ოპერატორების მხრიდან მცირე ზომის ოპერატორებისთვის დაშვების უფლების მინიჭებით. </w:t>
      </w:r>
      <w:r w:rsidR="003A09DC" w:rsidRPr="00D14074">
        <w:rPr>
          <w:rFonts w:ascii="Sylfaen" w:hAnsi="Sylfaen"/>
          <w:lang w:val="ka-GE"/>
        </w:rPr>
        <w:t xml:space="preserve">„გამოყოფილი არხებით საბითუმო მომსახურების ბაზრის შესაბამისი სეგმენტებზე კონკურენციის კვლევისა და ანალიზის შედეგების შესახებ“ </w:t>
      </w:r>
      <w:r w:rsidRPr="00D14074">
        <w:rPr>
          <w:rFonts w:ascii="Sylfaen" w:hAnsi="Sylfaen"/>
          <w:lang w:val="ka-GE"/>
        </w:rPr>
        <w:t>კომისიის</w:t>
      </w:r>
      <w:r w:rsidR="003A09DC" w:rsidRPr="00D14074">
        <w:rPr>
          <w:rFonts w:ascii="Sylfaen" w:hAnsi="Sylfaen"/>
          <w:lang w:val="ka-GE"/>
        </w:rPr>
        <w:t xml:space="preserve"> 2018 წლის </w:t>
      </w:r>
      <w:r w:rsidR="00501249" w:rsidRPr="00D14074">
        <w:rPr>
          <w:rFonts w:ascii="Sylfaen" w:hAnsi="Sylfaen"/>
          <w:lang w:val="ka-GE"/>
        </w:rPr>
        <w:t>6 დეკემბრის</w:t>
      </w:r>
      <w:r w:rsidRPr="00D14074">
        <w:rPr>
          <w:rFonts w:ascii="Sylfaen" w:hAnsi="Sylfaen"/>
          <w:lang w:val="ka-GE"/>
        </w:rPr>
        <w:t xml:space="preserve"> N671/9 გადაწყვეტილებაში აღინიშნა, რომ ფიქსირებული ინტერნეტის საცალო მომსახურების ბაზარზე ინტერნეტის გლობალურ რესურსებზე და გამოყოფილი არხების საბითუმო მომსახურებებზე დღეს არსებული რეგულაციების მიუხედავად, აუცილებელია ინტერნეტის ადგილობრივ და საერთაშორისო რესურსებთან დაშვების არადისკრიმინაციული პირობების შექმნა იმისათვის, რომ მცირე ზომის ოპერატორებს, რომელთაც არ გააჩნიათ პირდაპირი დაშვება ადგილობრივ და საერთაშორისო დონის ქსელების ინფრასტრუქტურაზე, შესაძლებლობა ჰქონდეთ ეფექტიანი კონკურენცია გაუწიონ (სიჩქარის და/ან ფასის მხრივ) უფრო მსხვილ ოპერატორებს.</w:t>
      </w:r>
      <w:r w:rsidRPr="00F5432B">
        <w:rPr>
          <w:rFonts w:ascii="Sylfaen" w:hAnsi="Sylfaen"/>
          <w:lang w:val="ka-GE"/>
        </w:rPr>
        <w:t xml:space="preserve"> </w:t>
      </w:r>
    </w:p>
    <w:p w14:paraId="4CC55E0D" w14:textId="00890AF0" w:rsidR="002D76F7" w:rsidRDefault="003358C4" w:rsidP="00646F3A">
      <w:pPr>
        <w:jc w:val="both"/>
        <w:rPr>
          <w:rFonts w:ascii="Sylfaen" w:hAnsi="Sylfaen"/>
          <w:lang w:val="ka-GE"/>
        </w:rPr>
      </w:pPr>
      <w:r w:rsidRPr="00970DF7">
        <w:rPr>
          <w:rFonts w:ascii="Sylfaen" w:hAnsi="Sylfaen"/>
          <w:lang w:val="ka-GE"/>
        </w:rPr>
        <w:t xml:space="preserve">ზემოთ დასახელებული ფაქტორებზე დაყრდნობით, კომისიამ შეაჯერა PWC-ს, BEREC, ევროკომისიის, </w:t>
      </w:r>
      <w:proofErr w:type="spellStart"/>
      <w:r w:rsidRPr="00970DF7">
        <w:rPr>
          <w:rFonts w:ascii="Sylfaen" w:hAnsi="Sylfaen"/>
          <w:lang w:val="ka-GE"/>
        </w:rPr>
        <w:t>the</w:t>
      </w:r>
      <w:proofErr w:type="spellEnd"/>
      <w:r w:rsidRPr="00970DF7">
        <w:rPr>
          <w:rFonts w:ascii="Sylfaen" w:hAnsi="Sylfaen"/>
          <w:lang w:val="ka-GE"/>
        </w:rPr>
        <w:t xml:space="preserve"> </w:t>
      </w:r>
      <w:proofErr w:type="spellStart"/>
      <w:r w:rsidRPr="00970DF7">
        <w:rPr>
          <w:rFonts w:ascii="Sylfaen" w:hAnsi="Sylfaen"/>
          <w:lang w:val="ka-GE"/>
        </w:rPr>
        <w:t>Brattle</w:t>
      </w:r>
      <w:proofErr w:type="spellEnd"/>
      <w:r w:rsidRPr="00970DF7">
        <w:rPr>
          <w:rFonts w:ascii="Sylfaen" w:hAnsi="Sylfaen"/>
          <w:lang w:val="ka-GE"/>
        </w:rPr>
        <w:t xml:space="preserve"> </w:t>
      </w:r>
      <w:proofErr w:type="spellStart"/>
      <w:r w:rsidRPr="00970DF7">
        <w:rPr>
          <w:rFonts w:ascii="Sylfaen" w:hAnsi="Sylfaen"/>
          <w:lang w:val="ka-GE"/>
        </w:rPr>
        <w:t>Group</w:t>
      </w:r>
      <w:proofErr w:type="spellEnd"/>
      <w:r w:rsidRPr="00970DF7">
        <w:rPr>
          <w:rFonts w:ascii="Sylfaen" w:hAnsi="Sylfaen"/>
          <w:lang w:val="ka-GE"/>
        </w:rPr>
        <w:t xml:space="preserve"> და სხვადასხვა ევროპული ქვეყნების მარეგულირებელი ორგანოების რეკომენდაციები საქართველოში NGA პრემიუმის გამოყენების განსასაზღვრად</w:t>
      </w:r>
      <w:r w:rsidR="002C4909" w:rsidRPr="00970DF7">
        <w:rPr>
          <w:rFonts w:ascii="Sylfaen" w:hAnsi="Sylfaen"/>
          <w:lang w:val="ka-GE"/>
        </w:rPr>
        <w:t>,</w:t>
      </w:r>
      <w:r w:rsidRPr="00970DF7">
        <w:rPr>
          <w:rFonts w:ascii="Sylfaen" w:hAnsi="Sylfaen"/>
          <w:lang w:val="ka-GE"/>
        </w:rPr>
        <w:t xml:space="preserve"> რაც აგრეთვე გულისხმობს ქვეყნის ინდივიდუალური მახასიათებლების გათვალისწინებით ამ დამატებითი რიკის შეფასებას. ასევე, ზემოთ მოყვანილი ევროპის ქვეყნების პრაქტიკის შესწავლის შედეგად გამოიკვეთა, რომ NGA პრემიუმს გამოიყენებენ იმ ქვეყნებში, სადაც ტრადიციული (სპილენძი) ტექნოლოგიები დომინირებს და ახალი თაობის ქსელებს ჯერ კიდევ უმნიშვნელო წილი უჭირავს მომხმარებლების სწრაფი ინტერნეტით უზრუნველყოფაში. ხოლო ქვეყნების მარეგულირებლების ნაწილი, რომელთაც საწყის ეტაპზე გამოიყენეს NGA პრემიუმი, უახლესი ემპირიული კვლევების თანხმად მას აღარ ითვალისწინებენ </w:t>
      </w:r>
      <w:sdt>
        <w:sdtPr>
          <w:rPr>
            <w:rFonts w:ascii="Sylfaen" w:hAnsi="Sylfaen"/>
            <w:lang w:val="ka-GE"/>
          </w:rPr>
          <w:id w:val="-1875223527"/>
          <w:citation/>
        </w:sdtPr>
        <w:sdtEndPr/>
        <w:sdtContent>
          <w:r w:rsidRPr="00970DF7">
            <w:rPr>
              <w:rFonts w:ascii="Sylfaen" w:hAnsi="Sylfaen"/>
              <w:lang w:val="ka-GE"/>
            </w:rPr>
            <w:fldChar w:fldCharType="begin"/>
          </w:r>
          <w:r w:rsidRPr="00970DF7">
            <w:rPr>
              <w:rFonts w:ascii="Sylfaen" w:hAnsi="Sylfaen"/>
              <w:lang w:val="ka-GE"/>
            </w:rPr>
            <w:instrText xml:space="preserve"> CITATION Ofc21 \l 1079  \m The20</w:instrText>
          </w:r>
          <w:r w:rsidRPr="00970DF7">
            <w:rPr>
              <w:rFonts w:ascii="Sylfaen" w:hAnsi="Sylfaen"/>
              <w:lang w:val="ka-GE"/>
            </w:rPr>
            <w:fldChar w:fldCharType="separate"/>
          </w:r>
          <w:r w:rsidRPr="00970DF7">
            <w:rPr>
              <w:rFonts w:ascii="Sylfaen" w:hAnsi="Sylfaen"/>
              <w:noProof/>
              <w:lang w:val="ka-GE"/>
            </w:rPr>
            <w:t>(Ofcom, 2021; The Brattle Group, 2020)</w:t>
          </w:r>
          <w:r w:rsidRPr="00970DF7">
            <w:rPr>
              <w:rFonts w:ascii="Sylfaen" w:hAnsi="Sylfaen"/>
              <w:lang w:val="ka-GE"/>
            </w:rPr>
            <w:fldChar w:fldCharType="end"/>
          </w:r>
        </w:sdtContent>
      </w:sdt>
      <w:r w:rsidRPr="00970DF7">
        <w:rPr>
          <w:rFonts w:ascii="Sylfaen" w:hAnsi="Sylfaen"/>
          <w:lang w:val="ka-GE"/>
        </w:rPr>
        <w:t xml:space="preserve">. საქართველო ახალი თაობის ქსელების წილით მთლიან ფიქსირებულ </w:t>
      </w:r>
      <w:proofErr w:type="spellStart"/>
      <w:r w:rsidRPr="00970DF7">
        <w:rPr>
          <w:rFonts w:ascii="Sylfaen" w:hAnsi="Sylfaen"/>
          <w:lang w:val="ka-GE"/>
        </w:rPr>
        <w:t>ფართოზოლოვანი</w:t>
      </w:r>
      <w:proofErr w:type="spellEnd"/>
      <w:r w:rsidRPr="00970DF7">
        <w:rPr>
          <w:rFonts w:ascii="Sylfaen" w:hAnsi="Sylfaen"/>
          <w:lang w:val="ka-GE"/>
        </w:rPr>
        <w:t xml:space="preserve"> ინტერნეტით მომსახურებაში მოწინავე პოზიციას იკავებს ევროკავშირის ქვეყნებთან შედარებით. </w:t>
      </w:r>
      <w:r w:rsidR="002C4909" w:rsidRPr="00970DF7">
        <w:rPr>
          <w:rFonts w:ascii="Sylfaen" w:hAnsi="Sylfaen"/>
          <w:lang w:val="ka-GE"/>
        </w:rPr>
        <w:t xml:space="preserve">შესაბამისად, კომისია ითვალისწინებს ზემოთ მოყვანილ შეჯერებულ რეკომენდაციებს, რომელთა მიხედვით თუ საქართველოში NGA ქსელის განვითარების მიმდინარე ტრენდი გაგრძელდება, ეს დროთა განმავლობაში ფიქსირებული </w:t>
      </w:r>
      <w:proofErr w:type="spellStart"/>
      <w:r w:rsidR="002C4909" w:rsidRPr="00970DF7">
        <w:rPr>
          <w:rFonts w:ascii="Sylfaen" w:hAnsi="Sylfaen"/>
          <w:lang w:val="ka-GE"/>
        </w:rPr>
        <w:t>ფართოზოლოვანი</w:t>
      </w:r>
      <w:proofErr w:type="spellEnd"/>
      <w:r w:rsidR="002C4909" w:rsidRPr="00970DF7">
        <w:rPr>
          <w:rFonts w:ascii="Sylfaen" w:hAnsi="Sylfaen"/>
          <w:lang w:val="ka-GE"/>
        </w:rPr>
        <w:t xml:space="preserve"> მომსახურების სეგმენტისთვის განსხვავებული რისკების დადგენის წინაპირობებს შეასუსტებს და შესაბამისად, NGA პრემიუმის გამოყენების აუცილებლობა აღარ იქნება. </w:t>
      </w:r>
      <w:r w:rsidRPr="00970DF7">
        <w:rPr>
          <w:rFonts w:ascii="Sylfaen" w:hAnsi="Sylfaen"/>
          <w:lang w:val="ka-GE"/>
        </w:rPr>
        <w:t xml:space="preserve">შესაბამისად, </w:t>
      </w:r>
      <w:r w:rsidR="00976EC9" w:rsidRPr="00970DF7">
        <w:rPr>
          <w:rFonts w:ascii="Sylfaen" w:hAnsi="Sylfaen"/>
          <w:lang w:val="ka-GE"/>
        </w:rPr>
        <w:t xml:space="preserve">კომისია </w:t>
      </w:r>
      <w:r w:rsidR="00AC562E" w:rsidRPr="00970DF7">
        <w:rPr>
          <w:rFonts w:ascii="Sylfaen" w:hAnsi="Sylfaen"/>
          <w:lang w:val="ka-GE"/>
        </w:rPr>
        <w:t xml:space="preserve">დასაშვებად მიიჩნევს მიმდინარე პერიოდში განისაზღვროს </w:t>
      </w:r>
      <w:r w:rsidR="00976EC9" w:rsidRPr="00970DF7">
        <w:rPr>
          <w:rFonts w:ascii="Sylfaen" w:hAnsi="Sylfaen"/>
          <w:lang w:val="ka-GE"/>
        </w:rPr>
        <w:t>განსხვავებულ</w:t>
      </w:r>
      <w:r w:rsidR="00AC562E" w:rsidRPr="00970DF7">
        <w:rPr>
          <w:rFonts w:ascii="Sylfaen" w:hAnsi="Sylfaen"/>
          <w:lang w:val="ka-GE"/>
        </w:rPr>
        <w:t>ი</w:t>
      </w:r>
      <w:r w:rsidRPr="00970DF7">
        <w:rPr>
          <w:rFonts w:ascii="Sylfaen" w:hAnsi="Sylfaen"/>
          <w:lang w:val="ka-GE"/>
        </w:rPr>
        <w:t xml:space="preserve"> WACC-ს მობილური</w:t>
      </w:r>
      <w:r w:rsidR="002B1FF4" w:rsidRPr="00970DF7">
        <w:rPr>
          <w:rFonts w:ascii="Sylfaen" w:hAnsi="Sylfaen"/>
          <w:lang w:val="ka-GE"/>
        </w:rPr>
        <w:t xml:space="preserve"> და </w:t>
      </w:r>
      <w:r w:rsidRPr="00970DF7">
        <w:rPr>
          <w:rFonts w:ascii="Sylfaen" w:hAnsi="Sylfaen"/>
          <w:lang w:val="ka-GE"/>
        </w:rPr>
        <w:t>ფიქსირებული</w:t>
      </w:r>
      <w:r w:rsidR="002B1FF4" w:rsidRPr="00970DF7">
        <w:rPr>
          <w:rFonts w:ascii="Sylfaen" w:hAnsi="Sylfaen"/>
          <w:lang w:val="ka-GE"/>
        </w:rPr>
        <w:t xml:space="preserve"> ქსელებისთვის (გარდა NGA</w:t>
      </w:r>
      <w:r w:rsidR="00AC562E" w:rsidRPr="00970DF7">
        <w:rPr>
          <w:rFonts w:ascii="Sylfaen" w:hAnsi="Sylfaen"/>
          <w:lang w:val="ka-GE"/>
        </w:rPr>
        <w:t xml:space="preserve"> კატეგორიით განსაზღვრული</w:t>
      </w:r>
      <w:r w:rsidR="002B1FF4" w:rsidRPr="00970DF7">
        <w:rPr>
          <w:rFonts w:ascii="Sylfaen" w:hAnsi="Sylfaen"/>
          <w:lang w:val="ka-GE"/>
        </w:rPr>
        <w:t xml:space="preserve"> მომსახურებების</w:t>
      </w:r>
      <w:r w:rsidR="00AC562E" w:rsidRPr="00970DF7">
        <w:rPr>
          <w:rFonts w:ascii="Sylfaen" w:hAnsi="Sylfaen"/>
          <w:lang w:val="ka-GE"/>
        </w:rPr>
        <w:t xml:space="preserve"> სეგმენტების</w:t>
      </w:r>
      <w:r w:rsidR="002B1FF4" w:rsidRPr="00970DF7">
        <w:rPr>
          <w:rFonts w:ascii="Sylfaen" w:hAnsi="Sylfaen"/>
          <w:lang w:val="ka-GE"/>
        </w:rPr>
        <w:t>ა) 14.49%-ის ოდენობით</w:t>
      </w:r>
      <w:r w:rsidRPr="00970DF7">
        <w:rPr>
          <w:rFonts w:ascii="Sylfaen" w:hAnsi="Sylfaen"/>
          <w:lang w:val="ka-GE"/>
        </w:rPr>
        <w:t xml:space="preserve"> და ახალი თაობის ქსელებისთვის (NGA)</w:t>
      </w:r>
      <w:r w:rsidR="002B1FF4" w:rsidRPr="00970DF7">
        <w:rPr>
          <w:rFonts w:ascii="Sylfaen" w:hAnsi="Sylfaen"/>
          <w:lang w:val="ka-GE"/>
        </w:rPr>
        <w:t xml:space="preserve"> 16</w:t>
      </w:r>
      <w:r w:rsidR="002D76F7" w:rsidRPr="00970DF7">
        <w:rPr>
          <w:rFonts w:ascii="Sylfaen" w:hAnsi="Sylfaen"/>
          <w:lang w:val="ka-GE"/>
        </w:rPr>
        <w:t>.</w:t>
      </w:r>
      <w:r w:rsidR="002B1FF4" w:rsidRPr="00970DF7">
        <w:rPr>
          <w:rFonts w:ascii="Sylfaen" w:hAnsi="Sylfaen"/>
          <w:lang w:val="ka-GE"/>
        </w:rPr>
        <w:t>88%-ის ოდენობით</w:t>
      </w:r>
      <w:r w:rsidR="00AC562E" w:rsidRPr="00970DF7">
        <w:rPr>
          <w:rFonts w:ascii="Sylfaen" w:hAnsi="Sylfaen"/>
          <w:lang w:val="ka-GE"/>
        </w:rPr>
        <w:t xml:space="preserve">, იმ პირობით რომ კომისია დააკვირდება </w:t>
      </w:r>
      <w:r w:rsidR="004D4C19" w:rsidRPr="00970DF7">
        <w:rPr>
          <w:rFonts w:ascii="Sylfaen" w:hAnsi="Sylfaen"/>
          <w:lang w:val="ka-GE"/>
        </w:rPr>
        <w:t>N</w:t>
      </w:r>
      <w:r w:rsidR="004D4C19" w:rsidRPr="00970DF7">
        <w:rPr>
          <w:rFonts w:ascii="Sylfaen" w:hAnsi="Sylfaen"/>
          <w:lang w:val="en-GB"/>
        </w:rPr>
        <w:t xml:space="preserve">GA </w:t>
      </w:r>
      <w:r w:rsidR="004D4C19" w:rsidRPr="00970DF7">
        <w:rPr>
          <w:rFonts w:ascii="Sylfaen" w:hAnsi="Sylfaen"/>
          <w:lang w:val="ka-GE"/>
        </w:rPr>
        <w:t xml:space="preserve">სეგმენტის </w:t>
      </w:r>
      <w:r w:rsidR="00AC562E" w:rsidRPr="00970DF7">
        <w:rPr>
          <w:rFonts w:ascii="Sylfaen" w:hAnsi="Sylfaen"/>
          <w:lang w:val="ka-GE"/>
        </w:rPr>
        <w:t xml:space="preserve"> </w:t>
      </w:r>
      <w:r w:rsidR="007334A6" w:rsidRPr="00970DF7">
        <w:rPr>
          <w:rFonts w:ascii="Sylfaen" w:hAnsi="Sylfaen"/>
          <w:lang w:val="ka-GE"/>
        </w:rPr>
        <w:t xml:space="preserve">განვითარების </w:t>
      </w:r>
      <w:r w:rsidR="00AC562E" w:rsidRPr="00970DF7">
        <w:rPr>
          <w:rFonts w:ascii="Sylfaen" w:hAnsi="Sylfaen"/>
          <w:lang w:val="ka-GE"/>
        </w:rPr>
        <w:t xml:space="preserve">ტენდენციას და </w:t>
      </w:r>
      <w:r w:rsidR="004D4C19" w:rsidRPr="00970DF7">
        <w:rPr>
          <w:rFonts w:ascii="Sylfaen" w:hAnsi="Sylfaen"/>
          <w:lang w:val="ka-GE"/>
        </w:rPr>
        <w:t>N</w:t>
      </w:r>
      <w:r w:rsidR="004D4C19" w:rsidRPr="00970DF7">
        <w:rPr>
          <w:rFonts w:ascii="Sylfaen" w:hAnsi="Sylfaen"/>
          <w:lang w:val="en-GB"/>
        </w:rPr>
        <w:t xml:space="preserve">GA </w:t>
      </w:r>
      <w:r w:rsidR="004D4C19" w:rsidRPr="00970DF7">
        <w:rPr>
          <w:rFonts w:ascii="Sylfaen" w:hAnsi="Sylfaen"/>
          <w:lang w:val="ka-GE"/>
        </w:rPr>
        <w:t xml:space="preserve">ქსელის ინფრასტრუქტურაში ინვესტირებისთვის </w:t>
      </w:r>
      <w:r w:rsidR="00AC562E" w:rsidRPr="00970DF7">
        <w:rPr>
          <w:rFonts w:ascii="Sylfaen" w:hAnsi="Sylfaen"/>
          <w:lang w:val="ka-GE"/>
        </w:rPr>
        <w:t>განსხვავებული წინაპირობები</w:t>
      </w:r>
      <w:r w:rsidR="00F61555" w:rsidRPr="00970DF7">
        <w:rPr>
          <w:rFonts w:ascii="Sylfaen" w:hAnsi="Sylfaen"/>
          <w:lang w:val="ka-GE"/>
        </w:rPr>
        <w:t>ს</w:t>
      </w:r>
      <w:r w:rsidR="00AC562E" w:rsidRPr="00970DF7">
        <w:rPr>
          <w:rFonts w:ascii="Sylfaen" w:hAnsi="Sylfaen"/>
          <w:lang w:val="ka-GE"/>
        </w:rPr>
        <w:t xml:space="preserve"> აღმოფხვრი</w:t>
      </w:r>
      <w:r w:rsidR="004D4C19" w:rsidRPr="00970DF7">
        <w:rPr>
          <w:rFonts w:ascii="Sylfaen" w:hAnsi="Sylfaen"/>
          <w:lang w:val="ka-GE"/>
        </w:rPr>
        <w:t>ს</w:t>
      </w:r>
      <w:r w:rsidR="00AC562E" w:rsidRPr="00970DF7">
        <w:rPr>
          <w:rFonts w:ascii="Sylfaen" w:hAnsi="Sylfaen"/>
          <w:lang w:val="ka-GE"/>
        </w:rPr>
        <w:t xml:space="preserve"> </w:t>
      </w:r>
      <w:r w:rsidR="004D4C19" w:rsidRPr="00970DF7">
        <w:rPr>
          <w:rFonts w:ascii="Sylfaen" w:hAnsi="Sylfaen"/>
          <w:lang w:val="ka-GE"/>
        </w:rPr>
        <w:t>შემთხვევაში</w:t>
      </w:r>
      <w:r w:rsidR="00F61555" w:rsidRPr="00970DF7">
        <w:rPr>
          <w:rFonts w:ascii="Sylfaen" w:hAnsi="Sylfaen"/>
          <w:lang w:val="ka-GE"/>
        </w:rPr>
        <w:t xml:space="preserve"> განაახლებს </w:t>
      </w:r>
      <w:r w:rsidR="00F61555" w:rsidRPr="00970DF7">
        <w:rPr>
          <w:rFonts w:ascii="Sylfaen" w:hAnsi="Sylfaen"/>
          <w:lang w:val="en-GB"/>
        </w:rPr>
        <w:t xml:space="preserve">WACC </w:t>
      </w:r>
      <w:r w:rsidR="00F61555" w:rsidRPr="00970DF7">
        <w:rPr>
          <w:rFonts w:ascii="Sylfaen" w:hAnsi="Sylfaen"/>
          <w:lang w:val="ka-GE"/>
        </w:rPr>
        <w:t>კალკულაციას</w:t>
      </w:r>
      <w:r w:rsidRPr="00970DF7">
        <w:rPr>
          <w:rFonts w:ascii="Sylfaen" w:hAnsi="Sylfaen"/>
          <w:lang w:val="ka-GE"/>
        </w:rPr>
        <w:t>.</w:t>
      </w:r>
      <w:r w:rsidR="00976EC9" w:rsidRPr="00970DF7">
        <w:rPr>
          <w:rFonts w:ascii="Sylfaen" w:hAnsi="Sylfaen"/>
          <w:lang w:val="ka-GE"/>
        </w:rPr>
        <w:t xml:space="preserve"> </w:t>
      </w:r>
      <w:r w:rsidR="002D76F7" w:rsidRPr="00970DF7">
        <w:rPr>
          <w:rFonts w:ascii="Sylfaen" w:hAnsi="Sylfaen"/>
          <w:lang w:val="ka-GE"/>
        </w:rPr>
        <w:t>გაანგარიშების შესახებ დეტალური ინფორმაცია მოცემულია დანართში „კაპიტალის საშუალო შეწონილი ღირებულების გაანგარიშების</w:t>
      </w:r>
      <w:r w:rsidR="002C4909" w:rsidRPr="00970DF7">
        <w:rPr>
          <w:rFonts w:ascii="Sylfaen" w:hAnsi="Sylfaen"/>
          <w:lang w:val="ka-GE"/>
        </w:rPr>
        <w:t xml:space="preserve"> (WACC) </w:t>
      </w:r>
      <w:r w:rsidR="002D76F7" w:rsidRPr="00970DF7">
        <w:rPr>
          <w:rFonts w:ascii="Sylfaen" w:hAnsi="Sylfaen"/>
          <w:lang w:val="ka-GE"/>
        </w:rPr>
        <w:t>მეთოდოლოგია და წინასწარი შედეგები“.</w:t>
      </w:r>
      <w:r w:rsidR="002D76F7" w:rsidRPr="002D76F7">
        <w:rPr>
          <w:rFonts w:ascii="Sylfaen" w:hAnsi="Sylfaen"/>
          <w:lang w:val="ka-GE"/>
        </w:rPr>
        <w:t xml:space="preserve"> </w:t>
      </w:r>
    </w:p>
    <w:p w14:paraId="0F343FE3" w14:textId="77777777" w:rsidR="002D76F7" w:rsidRPr="009952D7" w:rsidRDefault="00976EC9" w:rsidP="00646F3A">
      <w:pPr>
        <w:jc w:val="both"/>
        <w:rPr>
          <w:rFonts w:ascii="Sylfaen" w:hAnsi="Sylfaen"/>
          <w:lang w:val="ka-GE"/>
        </w:rPr>
      </w:pPr>
      <w:r w:rsidRPr="009952D7">
        <w:rPr>
          <w:rFonts w:ascii="Sylfaen" w:hAnsi="Sylfaen"/>
          <w:lang w:val="ka-GE"/>
        </w:rPr>
        <w:t>საქართველოში ოპტიკურ-ბოჭკოვანი ტექნოლოგიებზე დაფუძნებული მომსახურებების ანალიზისას  გამოიკვეთა</w:t>
      </w:r>
      <w:r w:rsidR="002D76F7" w:rsidRPr="009952D7">
        <w:rPr>
          <w:rFonts w:ascii="Sylfaen" w:hAnsi="Sylfaen"/>
          <w:lang w:val="ka-GE"/>
        </w:rPr>
        <w:t xml:space="preserve"> ის მიზნობრივი სეგმენტები</w:t>
      </w:r>
      <w:r w:rsidRPr="009952D7">
        <w:rPr>
          <w:rFonts w:ascii="Sylfaen" w:hAnsi="Sylfaen"/>
          <w:lang w:val="ka-GE"/>
        </w:rPr>
        <w:t>, რომლებ</w:t>
      </w:r>
      <w:r w:rsidR="002D76F7" w:rsidRPr="009952D7">
        <w:rPr>
          <w:rFonts w:ascii="Sylfaen" w:hAnsi="Sylfaen"/>
          <w:lang w:val="ka-GE"/>
        </w:rPr>
        <w:t xml:space="preserve">ზეც გავრცელდება </w:t>
      </w:r>
      <w:r w:rsidR="002D76F7" w:rsidRPr="009952D7">
        <w:rPr>
          <w:rFonts w:ascii="Sylfaen" w:hAnsi="Sylfaen"/>
          <w:lang w:val="en-GB"/>
        </w:rPr>
        <w:t xml:space="preserve">NGA </w:t>
      </w:r>
      <w:r w:rsidR="002D76F7" w:rsidRPr="009952D7">
        <w:rPr>
          <w:rFonts w:ascii="Sylfaen" w:hAnsi="Sylfaen"/>
          <w:lang w:val="ka-GE"/>
        </w:rPr>
        <w:t>პრემიუმი:</w:t>
      </w:r>
    </w:p>
    <w:p w14:paraId="1C829157" w14:textId="77C8E5E5" w:rsidR="00794E5B" w:rsidRPr="009952D7" w:rsidRDefault="00794E5B" w:rsidP="00646F3A">
      <w:pPr>
        <w:pStyle w:val="ListParagraph"/>
        <w:numPr>
          <w:ilvl w:val="0"/>
          <w:numId w:val="6"/>
        </w:numPr>
        <w:jc w:val="both"/>
        <w:rPr>
          <w:rFonts w:ascii="Sylfaen" w:hAnsi="Sylfaen"/>
          <w:lang w:val="ka-GE"/>
        </w:rPr>
      </w:pPr>
      <w:r w:rsidRPr="009952D7">
        <w:rPr>
          <w:rFonts w:ascii="Sylfaen" w:hAnsi="Sylfaen"/>
        </w:rPr>
        <w:t xml:space="preserve">NGA </w:t>
      </w:r>
      <w:r w:rsidRPr="009952D7">
        <w:rPr>
          <w:rFonts w:ascii="Sylfaen" w:hAnsi="Sylfaen"/>
          <w:lang w:val="ka-GE"/>
        </w:rPr>
        <w:t xml:space="preserve">ტექნოლოგიაზე დაფუძნებული საკომუნიკაციო </w:t>
      </w:r>
      <w:proofErr w:type="spellStart"/>
      <w:r w:rsidRPr="009952D7">
        <w:rPr>
          <w:rFonts w:ascii="Sylfaen" w:hAnsi="Sylfaen"/>
          <w:lang w:val="ka-GE"/>
        </w:rPr>
        <w:t>საკანალიზაციო</w:t>
      </w:r>
      <w:proofErr w:type="spellEnd"/>
      <w:r w:rsidRPr="009952D7">
        <w:rPr>
          <w:rFonts w:ascii="Sylfaen" w:hAnsi="Sylfaen"/>
          <w:lang w:val="ka-GE"/>
        </w:rPr>
        <w:t xml:space="preserve"> არხებთან დაშვების საბითუმო ბაზარი; (</w:t>
      </w:r>
      <w:r w:rsidR="00BA4F34" w:rsidRPr="009952D7">
        <w:rPr>
          <w:rFonts w:ascii="Sylfaen" w:hAnsi="Sylfaen"/>
          <w:lang w:val="ka-GE"/>
        </w:rPr>
        <w:t xml:space="preserve">კომისიის </w:t>
      </w:r>
      <w:r w:rsidRPr="009952D7">
        <w:rPr>
          <w:rFonts w:ascii="Sylfaen" w:hAnsi="Sylfaen"/>
          <w:lang w:val="ka-GE"/>
        </w:rPr>
        <w:t>გადაწყვეტილება - N672/9 06.12.2018</w:t>
      </w:r>
      <w:proofErr w:type="gramStart"/>
      <w:r w:rsidRPr="009952D7">
        <w:rPr>
          <w:rFonts w:ascii="Sylfaen" w:hAnsi="Sylfaen"/>
          <w:lang w:val="ka-GE"/>
        </w:rPr>
        <w:t>)</w:t>
      </w:r>
      <w:r w:rsidR="00246B40">
        <w:rPr>
          <w:rFonts w:ascii="Sylfaen" w:hAnsi="Sylfaen"/>
          <w:lang w:val="ka-GE"/>
        </w:rPr>
        <w:t>;</w:t>
      </w:r>
      <w:proofErr w:type="gramEnd"/>
    </w:p>
    <w:p w14:paraId="580E70D3" w14:textId="71286731" w:rsidR="00794E5B" w:rsidRPr="009952D7" w:rsidRDefault="00794E5B" w:rsidP="00646F3A">
      <w:pPr>
        <w:pStyle w:val="ListParagraph"/>
        <w:numPr>
          <w:ilvl w:val="0"/>
          <w:numId w:val="6"/>
        </w:numPr>
        <w:jc w:val="both"/>
        <w:rPr>
          <w:rFonts w:ascii="Sylfaen" w:hAnsi="Sylfaen"/>
          <w:lang w:val="ka-GE"/>
        </w:rPr>
      </w:pPr>
      <w:r w:rsidRPr="009952D7">
        <w:rPr>
          <w:rFonts w:ascii="Sylfaen" w:hAnsi="Sylfaen"/>
          <w:lang w:val="ka-GE"/>
        </w:rPr>
        <w:t xml:space="preserve">ინტერნეტის გლობალურ რესურსებთან დაშვების  საბითუმო ბაზარი და საქართველოში განთავსებულ ინტერნეტის რესურსებთან მათ შორის, </w:t>
      </w:r>
      <w:proofErr w:type="spellStart"/>
      <w:r w:rsidRPr="009952D7">
        <w:rPr>
          <w:rFonts w:ascii="Sylfaen" w:hAnsi="Sylfaen"/>
          <w:lang w:val="ka-GE"/>
        </w:rPr>
        <w:t>ქეშირებულ</w:t>
      </w:r>
      <w:proofErr w:type="spellEnd"/>
      <w:r w:rsidRPr="009952D7">
        <w:rPr>
          <w:rFonts w:ascii="Sylfaen" w:hAnsi="Sylfaen"/>
          <w:lang w:val="ka-GE"/>
        </w:rPr>
        <w:t xml:space="preserve"> </w:t>
      </w:r>
      <w:proofErr w:type="spellStart"/>
      <w:r w:rsidRPr="009952D7">
        <w:rPr>
          <w:rFonts w:ascii="Sylfaen" w:hAnsi="Sylfaen"/>
          <w:lang w:val="ka-GE"/>
        </w:rPr>
        <w:t>კონტენტზე</w:t>
      </w:r>
      <w:proofErr w:type="spellEnd"/>
      <w:r w:rsidRPr="009952D7">
        <w:rPr>
          <w:rFonts w:ascii="Sylfaen" w:hAnsi="Sylfaen"/>
          <w:lang w:val="ka-GE"/>
        </w:rPr>
        <w:t xml:space="preserve"> დაშვების საბითუმო ბაზარი; (</w:t>
      </w:r>
      <w:r w:rsidR="00BA4F34" w:rsidRPr="009952D7">
        <w:rPr>
          <w:rFonts w:ascii="Sylfaen" w:hAnsi="Sylfaen"/>
          <w:lang w:val="ka-GE"/>
        </w:rPr>
        <w:t xml:space="preserve">კომისიის </w:t>
      </w:r>
      <w:r w:rsidRPr="009952D7">
        <w:rPr>
          <w:rFonts w:ascii="Sylfaen" w:hAnsi="Sylfaen"/>
          <w:lang w:val="ka-GE"/>
        </w:rPr>
        <w:t>გადაწყვეტილება -  N9/285   14.05.2019)</w:t>
      </w:r>
      <w:r w:rsidR="002B1FF4" w:rsidRPr="009952D7">
        <w:rPr>
          <w:rStyle w:val="FootnoteReference"/>
          <w:rFonts w:ascii="Sylfaen" w:hAnsi="Sylfaen"/>
          <w:lang w:val="ka-GE"/>
        </w:rPr>
        <w:footnoteReference w:id="6"/>
      </w:r>
      <w:r w:rsidR="00246B40">
        <w:rPr>
          <w:rFonts w:ascii="Sylfaen" w:hAnsi="Sylfaen"/>
          <w:lang w:val="ka-GE"/>
        </w:rPr>
        <w:t>;</w:t>
      </w:r>
    </w:p>
    <w:p w14:paraId="3D0B2DA9" w14:textId="7B6A58EF" w:rsidR="00794E5B" w:rsidRPr="00ED25B6" w:rsidRDefault="00794E5B" w:rsidP="00646F3A">
      <w:pPr>
        <w:pStyle w:val="ListParagraph"/>
        <w:numPr>
          <w:ilvl w:val="0"/>
          <w:numId w:val="6"/>
        </w:numPr>
        <w:jc w:val="both"/>
        <w:rPr>
          <w:rFonts w:ascii="Sylfaen" w:hAnsi="Sylfaen"/>
          <w:lang w:val="ka-GE"/>
        </w:rPr>
      </w:pPr>
      <w:r w:rsidRPr="009952D7">
        <w:rPr>
          <w:rFonts w:ascii="Sylfaen" w:hAnsi="Sylfaen"/>
          <w:lang w:val="ka-GE"/>
        </w:rPr>
        <w:t>გამოყოფილი არხებით საბითუმო მომსახურების ბაზარი - ა) მაგისტრალურ/ძირითად (“</w:t>
      </w:r>
      <w:proofErr w:type="spellStart"/>
      <w:r w:rsidRPr="009952D7">
        <w:rPr>
          <w:rFonts w:ascii="Sylfaen" w:hAnsi="Sylfaen"/>
          <w:lang w:val="ka-GE"/>
        </w:rPr>
        <w:t>trunk</w:t>
      </w:r>
      <w:proofErr w:type="spellEnd"/>
      <w:r w:rsidRPr="009952D7">
        <w:rPr>
          <w:rFonts w:ascii="Sylfaen" w:hAnsi="Sylfaen"/>
          <w:lang w:val="ka-GE"/>
        </w:rPr>
        <w:t xml:space="preserve">”) ქსელთან დაშვების საბითუმო მომსახურების ბაზრის შესაბამისი სეგმენტი, </w:t>
      </w:r>
      <w:r w:rsidRPr="00ED25B6">
        <w:rPr>
          <w:rFonts w:ascii="Sylfaen" w:hAnsi="Sylfaen"/>
          <w:lang w:val="ka-GE"/>
        </w:rPr>
        <w:t>ბ)„</w:t>
      </w:r>
      <w:proofErr w:type="spellStart"/>
      <w:r w:rsidRPr="00ED25B6">
        <w:rPr>
          <w:rFonts w:ascii="Sylfaen" w:hAnsi="Sylfaen"/>
          <w:lang w:val="ka-GE"/>
        </w:rPr>
        <w:t>Backhaul</w:t>
      </w:r>
      <w:proofErr w:type="spellEnd"/>
      <w:r w:rsidRPr="00ED25B6">
        <w:rPr>
          <w:rFonts w:ascii="Sylfaen" w:hAnsi="Sylfaen"/>
          <w:lang w:val="ka-GE"/>
        </w:rPr>
        <w:t>” გადაცემის ქსელთან დაშვების საბითუმო მომსახურების ბაზრის შესაბამისი სეგმენტი (</w:t>
      </w:r>
      <w:r w:rsidR="00BA4F34" w:rsidRPr="00ED25B6">
        <w:rPr>
          <w:rFonts w:ascii="Sylfaen" w:hAnsi="Sylfaen"/>
          <w:lang w:val="ka-GE"/>
        </w:rPr>
        <w:t xml:space="preserve">კომისიის </w:t>
      </w:r>
      <w:r w:rsidRPr="00ED25B6">
        <w:rPr>
          <w:rFonts w:ascii="Sylfaen" w:hAnsi="Sylfaen"/>
          <w:lang w:val="ka-GE"/>
        </w:rPr>
        <w:t>გადაწყვეტილება - N671/9 06.12.2018; N235/19 18.04.19)</w:t>
      </w:r>
      <w:r w:rsidR="00246B40" w:rsidRPr="00ED25B6">
        <w:rPr>
          <w:rFonts w:ascii="Sylfaen" w:hAnsi="Sylfaen"/>
          <w:lang w:val="ka-GE"/>
        </w:rPr>
        <w:t>;</w:t>
      </w:r>
    </w:p>
    <w:p w14:paraId="23521BAC" w14:textId="63566E77" w:rsidR="003E5678" w:rsidRPr="00ED25B6" w:rsidRDefault="00FF4BDB" w:rsidP="00646F3A">
      <w:pPr>
        <w:pStyle w:val="ListParagraph"/>
        <w:numPr>
          <w:ilvl w:val="0"/>
          <w:numId w:val="6"/>
        </w:numPr>
        <w:jc w:val="both"/>
        <w:rPr>
          <w:rFonts w:ascii="Sylfaen" w:hAnsi="Sylfaen"/>
          <w:lang w:val="ka-GE"/>
        </w:rPr>
      </w:pPr>
      <w:r w:rsidRPr="00ED25B6">
        <w:rPr>
          <w:rFonts w:ascii="Sylfaen" w:hAnsi="Sylfaen"/>
          <w:lang w:val="ka-GE"/>
        </w:rPr>
        <w:t>N</w:t>
      </w:r>
      <w:r w:rsidRPr="00ED25B6">
        <w:rPr>
          <w:rFonts w:ascii="Sylfaen" w:hAnsi="Sylfaen"/>
          <w:lang w:val="en-GB"/>
        </w:rPr>
        <w:t xml:space="preserve">GA </w:t>
      </w:r>
      <w:r w:rsidRPr="00ED25B6">
        <w:rPr>
          <w:rFonts w:ascii="Sylfaen" w:hAnsi="Sylfaen"/>
          <w:lang w:val="ka-GE"/>
        </w:rPr>
        <w:t>ტექნოლოგიაზე დაფუძნებულ</w:t>
      </w:r>
      <w:r w:rsidR="00FA316D" w:rsidRPr="00ED25B6">
        <w:rPr>
          <w:rFonts w:ascii="Sylfaen" w:hAnsi="Sylfaen"/>
          <w:lang w:val="ka-GE"/>
        </w:rPr>
        <w:t xml:space="preserve"> ადგილობრივ ქსელზე დაშვების საბითუმო ბაზარი</w:t>
      </w:r>
      <w:r w:rsidR="00246B40" w:rsidRPr="00ED25B6">
        <w:rPr>
          <w:rFonts w:ascii="Sylfaen" w:hAnsi="Sylfaen"/>
          <w:lang w:val="ka-GE"/>
        </w:rPr>
        <w:t>;</w:t>
      </w:r>
    </w:p>
    <w:p w14:paraId="2A909866" w14:textId="34FD78D5" w:rsidR="001A0010" w:rsidRPr="00ED25B6" w:rsidRDefault="00EC6673" w:rsidP="00646F3A">
      <w:pPr>
        <w:pStyle w:val="ListParagraph"/>
        <w:numPr>
          <w:ilvl w:val="0"/>
          <w:numId w:val="6"/>
        </w:numPr>
        <w:jc w:val="both"/>
        <w:rPr>
          <w:rFonts w:ascii="Sylfaen" w:hAnsi="Sylfaen"/>
          <w:lang w:val="ka-GE"/>
        </w:rPr>
      </w:pPr>
      <w:r w:rsidRPr="00ED25B6">
        <w:rPr>
          <w:rFonts w:ascii="Sylfaen" w:hAnsi="Sylfaen"/>
        </w:rPr>
        <w:t xml:space="preserve">5G </w:t>
      </w:r>
      <w:r w:rsidR="006548F3" w:rsidRPr="00ED25B6">
        <w:rPr>
          <w:rFonts w:ascii="Sylfaen" w:hAnsi="Sylfaen"/>
          <w:lang w:val="ka-GE"/>
        </w:rPr>
        <w:t>მობილური ქსელის</w:t>
      </w:r>
      <w:r w:rsidR="00992718" w:rsidRPr="00ED25B6">
        <w:rPr>
          <w:rFonts w:ascii="Sylfaen" w:hAnsi="Sylfaen"/>
          <w:lang w:val="ka-GE"/>
        </w:rPr>
        <w:t xml:space="preserve"> საბითუმო მომსახურებები</w:t>
      </w:r>
      <w:r w:rsidR="00A53369" w:rsidRPr="00ED25B6">
        <w:rPr>
          <w:rFonts w:ascii="Sylfaen" w:hAnsi="Sylfaen"/>
        </w:rPr>
        <w:t xml:space="preserve">, </w:t>
      </w:r>
      <w:r w:rsidR="00A53369" w:rsidRPr="00ED25B6">
        <w:rPr>
          <w:rFonts w:ascii="Sylfaen" w:hAnsi="Sylfaen"/>
          <w:lang w:val="ka-GE"/>
        </w:rPr>
        <w:t xml:space="preserve">იმ შემთხვევაში თუ </w:t>
      </w:r>
      <w:r w:rsidR="00F4369F" w:rsidRPr="00ED25B6">
        <w:rPr>
          <w:rFonts w:ascii="Sylfaen" w:hAnsi="Sylfaen"/>
          <w:lang w:val="ka-GE"/>
        </w:rPr>
        <w:t xml:space="preserve">მობილური სქელის ოპერატორი </w:t>
      </w:r>
      <w:r w:rsidR="0075094B" w:rsidRPr="00ED25B6">
        <w:rPr>
          <w:rFonts w:ascii="Sylfaen" w:hAnsi="Sylfaen"/>
          <w:lang w:val="ka-GE"/>
        </w:rPr>
        <w:t>სრულად დანერგავს</w:t>
      </w:r>
      <w:r w:rsidR="009E2F69" w:rsidRPr="00ED25B6">
        <w:rPr>
          <w:rFonts w:ascii="Sylfaen" w:hAnsi="Sylfaen"/>
          <w:lang w:val="ka-GE"/>
        </w:rPr>
        <w:t xml:space="preserve"> 5</w:t>
      </w:r>
      <w:r w:rsidR="009E2F69" w:rsidRPr="00ED25B6">
        <w:rPr>
          <w:rFonts w:ascii="Sylfaen" w:hAnsi="Sylfaen"/>
        </w:rPr>
        <w:t xml:space="preserve">G </w:t>
      </w:r>
      <w:r w:rsidR="009E2F69" w:rsidRPr="00ED25B6">
        <w:rPr>
          <w:rFonts w:ascii="Sylfaen" w:hAnsi="Sylfaen"/>
          <w:lang w:val="ka-GE"/>
        </w:rPr>
        <w:t>ქსელის</w:t>
      </w:r>
      <w:r w:rsidR="001A0010" w:rsidRPr="00ED25B6">
        <w:rPr>
          <w:rFonts w:ascii="Sylfaen" w:hAnsi="Sylfaen"/>
          <w:lang w:val="ka-GE"/>
        </w:rPr>
        <w:t xml:space="preserve"> ბირთვს (5</w:t>
      </w:r>
      <w:r w:rsidR="001A0010" w:rsidRPr="00ED25B6">
        <w:rPr>
          <w:rFonts w:ascii="Sylfaen" w:hAnsi="Sylfaen"/>
        </w:rPr>
        <w:t>G Core)</w:t>
      </w:r>
      <w:r w:rsidR="009E2F69" w:rsidRPr="00ED25B6">
        <w:rPr>
          <w:rFonts w:ascii="Sylfaen" w:hAnsi="Sylfaen"/>
          <w:lang w:val="ka-GE"/>
        </w:rPr>
        <w:t xml:space="preserve">. კერძოდ, </w:t>
      </w:r>
      <w:r w:rsidR="00251984" w:rsidRPr="00ED25B6">
        <w:rPr>
          <w:rFonts w:ascii="Sylfaen" w:hAnsi="Sylfaen"/>
          <w:lang w:val="ka-GE"/>
        </w:rPr>
        <w:t xml:space="preserve">მობილური ქსელის პროგრამული და </w:t>
      </w:r>
      <w:proofErr w:type="spellStart"/>
      <w:r w:rsidR="00891FEB" w:rsidRPr="00ED25B6">
        <w:rPr>
          <w:rFonts w:ascii="Sylfaen" w:hAnsi="Sylfaen"/>
          <w:lang w:val="ka-GE"/>
        </w:rPr>
        <w:t>აპარატუ</w:t>
      </w:r>
      <w:r w:rsidR="00BD46B7" w:rsidRPr="00ED25B6">
        <w:rPr>
          <w:rFonts w:ascii="Sylfaen" w:hAnsi="Sylfaen"/>
          <w:lang w:val="ka-GE"/>
        </w:rPr>
        <w:t>რუ</w:t>
      </w:r>
      <w:r w:rsidR="00891FEB" w:rsidRPr="00ED25B6">
        <w:rPr>
          <w:rFonts w:ascii="Sylfaen" w:hAnsi="Sylfaen"/>
          <w:lang w:val="ka-GE"/>
        </w:rPr>
        <w:t>ლი</w:t>
      </w:r>
      <w:proofErr w:type="spellEnd"/>
      <w:r w:rsidR="00891FEB" w:rsidRPr="00ED25B6">
        <w:rPr>
          <w:rFonts w:ascii="Sylfaen" w:hAnsi="Sylfaen"/>
          <w:lang w:val="ka-GE"/>
        </w:rPr>
        <w:t xml:space="preserve"> უზრუნველყოფა </w:t>
      </w:r>
      <w:r w:rsidR="00D34187" w:rsidRPr="00ED25B6">
        <w:rPr>
          <w:rFonts w:ascii="Sylfaen" w:hAnsi="Sylfaen"/>
          <w:lang w:val="ka-GE"/>
        </w:rPr>
        <w:t xml:space="preserve">უნდა </w:t>
      </w:r>
      <w:r w:rsidR="00517046" w:rsidRPr="00ED25B6">
        <w:rPr>
          <w:rFonts w:ascii="Sylfaen" w:hAnsi="Sylfaen"/>
          <w:lang w:val="ka-GE"/>
        </w:rPr>
        <w:t>იყოს განკუთვნილი და ემს</w:t>
      </w:r>
      <w:r w:rsidR="008F50B4" w:rsidRPr="00ED25B6">
        <w:rPr>
          <w:rFonts w:ascii="Sylfaen" w:hAnsi="Sylfaen"/>
          <w:lang w:val="ka-GE"/>
        </w:rPr>
        <w:t>ა</w:t>
      </w:r>
      <w:r w:rsidR="00517046" w:rsidRPr="00ED25B6">
        <w:rPr>
          <w:rFonts w:ascii="Sylfaen" w:hAnsi="Sylfaen"/>
          <w:lang w:val="ka-GE"/>
        </w:rPr>
        <w:t>ხურებოდეს</w:t>
      </w:r>
      <w:r w:rsidR="00D34187" w:rsidRPr="00ED25B6">
        <w:rPr>
          <w:rFonts w:ascii="Sylfaen" w:hAnsi="Sylfaen"/>
          <w:lang w:val="ka-GE"/>
        </w:rPr>
        <w:t xml:space="preserve"> </w:t>
      </w:r>
      <w:hyperlink r:id="rId52" w:history="1">
        <w:r w:rsidR="00D34187" w:rsidRPr="00ED25B6">
          <w:rPr>
            <w:rStyle w:val="Hyperlink"/>
            <w:rFonts w:ascii="Sylfaen" w:hAnsi="Sylfaen"/>
            <w:lang w:val="ka-GE"/>
          </w:rPr>
          <w:t>3</w:t>
        </w:r>
        <w:r w:rsidR="00D34187" w:rsidRPr="00ED25B6">
          <w:rPr>
            <w:rStyle w:val="Hyperlink"/>
            <w:rFonts w:ascii="Sylfaen" w:hAnsi="Sylfaen"/>
          </w:rPr>
          <w:t>GPP</w:t>
        </w:r>
      </w:hyperlink>
      <w:r w:rsidR="00D34187" w:rsidRPr="00ED25B6">
        <w:rPr>
          <w:rFonts w:ascii="Sylfaen" w:hAnsi="Sylfaen"/>
        </w:rPr>
        <w:t xml:space="preserve"> </w:t>
      </w:r>
      <w:r w:rsidR="00D34187" w:rsidRPr="00ED25B6">
        <w:rPr>
          <w:rFonts w:ascii="Sylfaen" w:hAnsi="Sylfaen"/>
          <w:lang w:val="ka-GE"/>
        </w:rPr>
        <w:t xml:space="preserve">გლობალური ინიციატივის </w:t>
      </w:r>
      <w:r w:rsidR="00594BFA" w:rsidRPr="00ED25B6">
        <w:rPr>
          <w:rFonts w:ascii="Sylfaen" w:hAnsi="Sylfaen"/>
          <w:lang w:val="ka-GE"/>
        </w:rPr>
        <w:t xml:space="preserve">ფარგლებში შემუშავებულ </w:t>
      </w:r>
      <w:r w:rsidR="00574373" w:rsidRPr="00ED25B6">
        <w:rPr>
          <w:rFonts w:ascii="Sylfaen" w:hAnsi="Sylfaen"/>
          <w:lang w:val="ka-GE"/>
        </w:rPr>
        <w:t>ტექნიკურ სპეციფიკაციებში (</w:t>
      </w:r>
      <w:hyperlink r:id="rId53" w:history="1">
        <w:r w:rsidR="00574373" w:rsidRPr="00ED25B6">
          <w:rPr>
            <w:rStyle w:val="Hyperlink"/>
            <w:rFonts w:ascii="Sylfaen" w:hAnsi="Sylfaen"/>
            <w:lang w:val="ka-GE"/>
          </w:rPr>
          <w:t>TS 23. 501 და TS 23.502</w:t>
        </w:r>
      </w:hyperlink>
      <w:r w:rsidR="00AA7B39" w:rsidRPr="00ED25B6">
        <w:rPr>
          <w:rFonts w:ascii="Sylfaen" w:hAnsi="Sylfaen"/>
          <w:lang w:val="ka-GE"/>
        </w:rPr>
        <w:t xml:space="preserve">, და </w:t>
      </w:r>
      <w:hyperlink r:id="rId54" w:history="1">
        <w:r w:rsidR="00DF67E3" w:rsidRPr="00ED25B6">
          <w:rPr>
            <w:rStyle w:val="Hyperlink"/>
            <w:rFonts w:ascii="Sylfaen" w:hAnsi="Sylfaen"/>
          </w:rPr>
          <w:t>TS 38</w:t>
        </w:r>
      </w:hyperlink>
      <w:r w:rsidR="00177B57" w:rsidRPr="00ED25B6">
        <w:rPr>
          <w:rFonts w:ascii="Sylfaen" w:hAnsi="Sylfaen"/>
          <w:lang w:val="ka-GE"/>
        </w:rPr>
        <w:t>) განსაზღვრულ</w:t>
      </w:r>
      <w:r w:rsidR="00E256E5" w:rsidRPr="00ED25B6">
        <w:rPr>
          <w:rFonts w:ascii="Sylfaen" w:hAnsi="Sylfaen"/>
          <w:lang w:val="ka-GE"/>
        </w:rPr>
        <w:t>ი</w:t>
      </w:r>
      <w:r w:rsidR="00177B57" w:rsidRPr="00ED25B6">
        <w:rPr>
          <w:rFonts w:ascii="Sylfaen" w:hAnsi="Sylfaen"/>
          <w:lang w:val="ka-GE"/>
        </w:rPr>
        <w:t xml:space="preserve"> ქსელურ</w:t>
      </w:r>
      <w:r w:rsidR="00E256E5" w:rsidRPr="00ED25B6">
        <w:rPr>
          <w:rFonts w:ascii="Sylfaen" w:hAnsi="Sylfaen"/>
          <w:lang w:val="ka-GE"/>
        </w:rPr>
        <w:t>ი</w:t>
      </w:r>
      <w:r w:rsidR="00177B57" w:rsidRPr="00ED25B6">
        <w:rPr>
          <w:rFonts w:ascii="Sylfaen" w:hAnsi="Sylfaen"/>
          <w:lang w:val="ka-GE"/>
        </w:rPr>
        <w:t xml:space="preserve"> ფუნქციებ</w:t>
      </w:r>
      <w:r w:rsidR="00E256E5" w:rsidRPr="00ED25B6">
        <w:rPr>
          <w:rFonts w:ascii="Sylfaen" w:hAnsi="Sylfaen"/>
          <w:lang w:val="ka-GE"/>
        </w:rPr>
        <w:t>ი</w:t>
      </w:r>
      <w:r w:rsidR="00177B57" w:rsidRPr="00ED25B6">
        <w:rPr>
          <w:rFonts w:ascii="Sylfaen" w:hAnsi="Sylfaen"/>
          <w:lang w:val="ka-GE"/>
        </w:rPr>
        <w:t>ს (</w:t>
      </w:r>
      <w:proofErr w:type="spellStart"/>
      <w:r w:rsidR="00177B57" w:rsidRPr="00ED25B6">
        <w:rPr>
          <w:rFonts w:ascii="Sylfaen" w:hAnsi="Sylfaen"/>
          <w:lang w:val="ka-GE"/>
        </w:rPr>
        <w:t>network</w:t>
      </w:r>
      <w:proofErr w:type="spellEnd"/>
      <w:r w:rsidR="00177B57" w:rsidRPr="00ED25B6">
        <w:rPr>
          <w:rFonts w:ascii="Sylfaen" w:hAnsi="Sylfaen"/>
          <w:lang w:val="ka-GE"/>
        </w:rPr>
        <w:t xml:space="preserve"> </w:t>
      </w:r>
      <w:proofErr w:type="spellStart"/>
      <w:r w:rsidR="00177B57" w:rsidRPr="00ED25B6">
        <w:rPr>
          <w:rFonts w:ascii="Sylfaen" w:hAnsi="Sylfaen"/>
          <w:lang w:val="ka-GE"/>
        </w:rPr>
        <w:t>function</w:t>
      </w:r>
      <w:proofErr w:type="spellEnd"/>
      <w:r w:rsidR="00177B57" w:rsidRPr="00ED25B6">
        <w:rPr>
          <w:rFonts w:ascii="Sylfaen" w:hAnsi="Sylfaen"/>
          <w:lang w:val="ka-GE"/>
        </w:rPr>
        <w:t>)</w:t>
      </w:r>
      <w:r w:rsidR="00E256E5" w:rsidRPr="00ED25B6">
        <w:rPr>
          <w:rFonts w:ascii="Sylfaen" w:hAnsi="Sylfaen"/>
          <w:lang w:val="ka-GE"/>
        </w:rPr>
        <w:t xml:space="preserve"> განხორციელებას.</w:t>
      </w:r>
    </w:p>
    <w:p w14:paraId="04DCA903" w14:textId="620A17D8" w:rsidR="008D2944" w:rsidRPr="006A7CE6" w:rsidRDefault="00C23B51" w:rsidP="00646F3A">
      <w:pPr>
        <w:jc w:val="both"/>
        <w:rPr>
          <w:rFonts w:ascii="Sylfaen" w:hAnsi="Sylfaen"/>
          <w:lang w:val="ka-GE"/>
        </w:rPr>
      </w:pPr>
      <w:r w:rsidRPr="00ED25B6">
        <w:rPr>
          <w:rFonts w:ascii="Sylfaen" w:hAnsi="Sylfaen"/>
          <w:lang w:val="ka-GE"/>
        </w:rPr>
        <w:t>ასევე,</w:t>
      </w:r>
      <w:r w:rsidR="00764D90" w:rsidRPr="00ED25B6">
        <w:rPr>
          <w:rFonts w:ascii="Sylfaen" w:hAnsi="Sylfaen"/>
          <w:lang w:val="ka-GE"/>
        </w:rPr>
        <w:t xml:space="preserve"> </w:t>
      </w:r>
      <w:r w:rsidR="00B23177" w:rsidRPr="00ED25B6">
        <w:rPr>
          <w:rFonts w:ascii="Sylfaen" w:hAnsi="Sylfaen"/>
          <w:lang w:val="ka-GE"/>
        </w:rPr>
        <w:t xml:space="preserve">კომისია ითვალისწინებს </w:t>
      </w:r>
      <w:r w:rsidR="0010506D" w:rsidRPr="00ED25B6">
        <w:rPr>
          <w:rFonts w:ascii="Sylfaen" w:hAnsi="Sylfaen"/>
          <w:lang w:val="ka-GE"/>
        </w:rPr>
        <w:t>სატელეკომუნიკაციო სექტორის დინამიკას და ბაზრის მოთხოვნებს რაც მა</w:t>
      </w:r>
      <w:r w:rsidR="0010506D" w:rsidRPr="009952D7">
        <w:rPr>
          <w:rFonts w:ascii="Sylfaen" w:hAnsi="Sylfaen"/>
          <w:lang w:val="ka-GE"/>
        </w:rPr>
        <w:t xml:space="preserve">თ შორის სექტორული  </w:t>
      </w:r>
      <w:r w:rsidR="00B23177" w:rsidRPr="009952D7">
        <w:rPr>
          <w:rFonts w:ascii="Sylfaen" w:hAnsi="Sylfaen"/>
          <w:lang w:val="ka-GE"/>
        </w:rPr>
        <w:t xml:space="preserve">WACC </w:t>
      </w:r>
      <w:r w:rsidR="0010506D" w:rsidRPr="009952D7">
        <w:rPr>
          <w:rFonts w:ascii="Sylfaen" w:hAnsi="Sylfaen"/>
          <w:lang w:val="ka-GE"/>
        </w:rPr>
        <w:t>გადათვლისა და განახლების</w:t>
      </w:r>
      <w:r w:rsidR="00796CB6" w:rsidRPr="009952D7">
        <w:rPr>
          <w:rFonts w:ascii="Sylfaen" w:hAnsi="Sylfaen"/>
          <w:lang w:val="ka-GE"/>
        </w:rPr>
        <w:t xml:space="preserve"> საჭიროების პერიოდულ შეფასებას გულისხმობს</w:t>
      </w:r>
      <w:r w:rsidR="00BA4F34" w:rsidRPr="009952D7">
        <w:rPr>
          <w:rFonts w:ascii="Sylfaen" w:hAnsi="Sylfaen"/>
          <w:lang w:val="ka-GE"/>
        </w:rPr>
        <w:t>.</w:t>
      </w:r>
      <w:r w:rsidR="00B23177" w:rsidRPr="009952D7">
        <w:rPr>
          <w:rFonts w:ascii="Sylfaen" w:hAnsi="Sylfaen"/>
          <w:lang w:val="ka-GE"/>
        </w:rPr>
        <w:t xml:space="preserve"> </w:t>
      </w:r>
      <w:r w:rsidR="005D2F3F" w:rsidRPr="009952D7">
        <w:rPr>
          <w:rFonts w:ascii="Sylfaen" w:hAnsi="Sylfaen"/>
          <w:lang w:val="ka-GE"/>
        </w:rPr>
        <w:t>შესაბამისად</w:t>
      </w:r>
      <w:r w:rsidR="00BA4F34" w:rsidRPr="009952D7">
        <w:rPr>
          <w:rFonts w:ascii="Sylfaen" w:hAnsi="Sylfaen"/>
          <w:lang w:val="ka-GE"/>
        </w:rPr>
        <w:t>,</w:t>
      </w:r>
      <w:r w:rsidR="005D2F3F" w:rsidRPr="009952D7">
        <w:rPr>
          <w:rFonts w:ascii="Sylfaen" w:hAnsi="Sylfaen"/>
          <w:lang w:val="ka-GE"/>
        </w:rPr>
        <w:t xml:space="preserve"> კომისია დასაშვებად მიიჩნევს WACC-ის გაანგარიშებაში შემავალი კოეფიციენტების არსებითი ცვლილებების შემთხვევაში (რომელიც ბაზრის კვლევის ან/და </w:t>
      </w:r>
      <w:proofErr w:type="spellStart"/>
      <w:r w:rsidR="005D2F3F" w:rsidRPr="009952D7">
        <w:rPr>
          <w:rFonts w:ascii="Sylfaen" w:hAnsi="Sylfaen"/>
          <w:lang w:val="ka-GE"/>
        </w:rPr>
        <w:t>საფასო</w:t>
      </w:r>
      <w:proofErr w:type="spellEnd"/>
      <w:r w:rsidR="005D2F3F" w:rsidRPr="009952D7">
        <w:rPr>
          <w:rFonts w:ascii="Sylfaen" w:hAnsi="Sylfaen"/>
          <w:lang w:val="ka-GE"/>
        </w:rPr>
        <w:t xml:space="preserve"> რეგულაციის განახლება/შემოღების შემთხვევაში გამოიკვეთება)  კაპიტალის საშუალო შეწონილი ღირებულება პერიოდულად გადაიანგარიშოს.  საგულისხმოა</w:t>
      </w:r>
      <w:r w:rsidR="00BA4F34" w:rsidRPr="009952D7">
        <w:rPr>
          <w:rFonts w:ascii="Sylfaen" w:hAnsi="Sylfaen"/>
          <w:lang w:val="ka-GE"/>
        </w:rPr>
        <w:t>,</w:t>
      </w:r>
      <w:r w:rsidR="005D2F3F" w:rsidRPr="009952D7">
        <w:rPr>
          <w:rFonts w:ascii="Sylfaen" w:hAnsi="Sylfaen"/>
          <w:lang w:val="ka-GE"/>
        </w:rPr>
        <w:t xml:space="preserve"> რომ ანალოგიურ პრაქტიკას მიმართავს  BEREC-ის</w:t>
      </w:r>
      <w:r w:rsidR="00976EC9" w:rsidRPr="009952D7">
        <w:rPr>
          <w:rFonts w:ascii="Sylfaen" w:hAnsi="Sylfaen"/>
          <w:lang w:val="ka-GE"/>
        </w:rPr>
        <w:t xml:space="preserve"> </w:t>
      </w:r>
      <w:hyperlink r:id="rId55" w:history="1">
        <w:sdt>
          <w:sdtPr>
            <w:rPr>
              <w:rStyle w:val="Hyperlink"/>
              <w:rFonts w:ascii="Sylfaen" w:hAnsi="Sylfaen"/>
              <w:lang w:val="en-GB"/>
            </w:rPr>
            <w:id w:val="-1196147848"/>
            <w:citation/>
          </w:sdtPr>
          <w:sdtEndPr>
            <w:rPr>
              <w:rStyle w:val="Hyperlink"/>
            </w:rPr>
          </w:sdtEndPr>
          <w:sdtContent>
            <w:r w:rsidR="00976EC9" w:rsidRPr="009952D7">
              <w:rPr>
                <w:rStyle w:val="Hyperlink"/>
                <w:rFonts w:ascii="Sylfaen" w:hAnsi="Sylfaen"/>
                <w:lang w:val="en-GB"/>
              </w:rPr>
              <w:fldChar w:fldCharType="begin"/>
            </w:r>
            <w:r w:rsidR="00976EC9" w:rsidRPr="009952D7">
              <w:rPr>
                <w:rStyle w:val="Hyperlink"/>
                <w:rFonts w:ascii="Sylfaen" w:hAnsi="Sylfaen"/>
                <w:lang w:val="ka-GE"/>
              </w:rPr>
              <w:instrText xml:space="preserve"> CITATION BER20 \l 2057 </w:instrText>
            </w:r>
            <w:r w:rsidR="00976EC9" w:rsidRPr="009952D7">
              <w:rPr>
                <w:rStyle w:val="Hyperlink"/>
                <w:rFonts w:ascii="Sylfaen" w:hAnsi="Sylfaen"/>
                <w:lang w:val="en-GB"/>
              </w:rPr>
              <w:fldChar w:fldCharType="separate"/>
            </w:r>
            <w:r w:rsidR="00976EC9" w:rsidRPr="009952D7">
              <w:rPr>
                <w:rStyle w:val="Hyperlink"/>
                <w:rFonts w:ascii="Sylfaen" w:hAnsi="Sylfaen"/>
                <w:noProof/>
                <w:lang w:val="ka-GE"/>
              </w:rPr>
              <w:t xml:space="preserve"> </w:t>
            </w:r>
            <w:r w:rsidR="00976EC9" w:rsidRPr="009952D7">
              <w:rPr>
                <w:rFonts w:ascii="Sylfaen" w:hAnsi="Sylfaen"/>
                <w:noProof/>
                <w:color w:val="0563C1" w:themeColor="hyperlink"/>
                <w:lang w:val="ka-GE"/>
              </w:rPr>
              <w:t>(BEREC, 2020)</w:t>
            </w:r>
            <w:r w:rsidR="00976EC9" w:rsidRPr="009952D7">
              <w:rPr>
                <w:rStyle w:val="Hyperlink"/>
                <w:rFonts w:ascii="Sylfaen" w:hAnsi="Sylfaen"/>
                <w:lang w:val="en-GB"/>
              </w:rPr>
              <w:fldChar w:fldCharType="end"/>
            </w:r>
          </w:sdtContent>
        </w:sdt>
      </w:hyperlink>
      <w:r w:rsidR="00976EC9" w:rsidRPr="009952D7">
        <w:rPr>
          <w:rStyle w:val="Hyperlink"/>
          <w:rFonts w:ascii="Sylfaen" w:hAnsi="Sylfaen"/>
          <w:lang w:val="ka-GE"/>
        </w:rPr>
        <w:t xml:space="preserve"> </w:t>
      </w:r>
      <w:r w:rsidR="005D2F3F" w:rsidRPr="009952D7">
        <w:rPr>
          <w:rFonts w:ascii="Sylfaen" w:hAnsi="Sylfaen"/>
          <w:lang w:val="ka-GE"/>
        </w:rPr>
        <w:t xml:space="preserve">მიერ შესწავლილი 32 ევროპული ქვეყნიდან 20 ქვეყნის მარეგულირებელი ორგანო.  კერძოდ,  ამ ქვეყნებში WACC განახლებას ექვემდებარება იმ შემთხვევაში თუ ამის საჭიროება გამოიკვეთება ბაზრის კვლევისას ან </w:t>
      </w:r>
      <w:proofErr w:type="spellStart"/>
      <w:r w:rsidR="005D2F3F" w:rsidRPr="009952D7">
        <w:rPr>
          <w:rFonts w:ascii="Sylfaen" w:hAnsi="Sylfaen"/>
          <w:lang w:val="ka-GE"/>
        </w:rPr>
        <w:t>საფასო</w:t>
      </w:r>
      <w:proofErr w:type="spellEnd"/>
      <w:r w:rsidR="005D2F3F" w:rsidRPr="009952D7">
        <w:rPr>
          <w:rFonts w:ascii="Sylfaen" w:hAnsi="Sylfaen"/>
          <w:lang w:val="ka-GE"/>
        </w:rPr>
        <w:t xml:space="preserve"> რეგულაციის მიღება</w:t>
      </w:r>
      <w:r w:rsidR="007B0224" w:rsidRPr="009952D7">
        <w:rPr>
          <w:rFonts w:ascii="Sylfaen" w:hAnsi="Sylfaen"/>
          <w:lang w:val="ka-GE"/>
        </w:rPr>
        <w:t>/</w:t>
      </w:r>
      <w:r w:rsidR="005D2F3F" w:rsidRPr="009952D7">
        <w:rPr>
          <w:rFonts w:ascii="Sylfaen" w:hAnsi="Sylfaen"/>
          <w:lang w:val="ka-GE"/>
        </w:rPr>
        <w:t>განახლებისას და როგორც წესი, WACC განახლება 3 წელიწადში ერთხელ ხორციელდება</w:t>
      </w:r>
      <w:r w:rsidR="009952D7">
        <w:rPr>
          <w:rFonts w:ascii="Sylfaen" w:hAnsi="Sylfaen"/>
          <w:lang w:val="ka-GE"/>
        </w:rPr>
        <w:t>.</w:t>
      </w:r>
      <w:r w:rsidR="009B1C4D">
        <w:rPr>
          <w:rFonts w:ascii="Sylfaen" w:hAnsi="Sylfaen"/>
          <w:lang w:val="ka-GE"/>
        </w:rPr>
        <w:t xml:space="preserve"> </w:t>
      </w:r>
      <w:r w:rsidR="006A7CE6" w:rsidRPr="00326854">
        <w:rPr>
          <w:rFonts w:ascii="Sylfaen" w:hAnsi="Sylfaen"/>
          <w:lang w:val="ka-GE"/>
        </w:rPr>
        <w:t xml:space="preserve">წინამდებარე </w:t>
      </w:r>
      <w:r w:rsidR="00742F53" w:rsidRPr="00326854">
        <w:rPr>
          <w:rFonts w:ascii="Sylfaen" w:hAnsi="Sylfaen"/>
          <w:lang w:val="ka-GE"/>
        </w:rPr>
        <w:t xml:space="preserve">გადაწყვეტილებით </w:t>
      </w:r>
      <w:r w:rsidR="006A7CE6" w:rsidRPr="00326854">
        <w:rPr>
          <w:rFonts w:ascii="Sylfaen" w:hAnsi="Sylfaen"/>
          <w:lang w:val="ka-GE"/>
        </w:rPr>
        <w:t xml:space="preserve">განსაზღვრული </w:t>
      </w:r>
      <w:r w:rsidR="006A7CE6" w:rsidRPr="00326854">
        <w:rPr>
          <w:rFonts w:ascii="Sylfaen" w:hAnsi="Sylfaen"/>
        </w:rPr>
        <w:t xml:space="preserve">WACC </w:t>
      </w:r>
      <w:r w:rsidR="006A7CE6" w:rsidRPr="00326854">
        <w:rPr>
          <w:rFonts w:ascii="Sylfaen" w:hAnsi="Sylfaen"/>
          <w:lang w:val="ka-GE"/>
        </w:rPr>
        <w:t xml:space="preserve">გავრცელდება 2022 წელსა და მომდევნო </w:t>
      </w:r>
      <w:proofErr w:type="spellStart"/>
      <w:r w:rsidR="006A7CE6" w:rsidRPr="00326854">
        <w:rPr>
          <w:rFonts w:ascii="Sylfaen" w:hAnsi="Sylfaen"/>
          <w:lang w:val="ka-GE"/>
        </w:rPr>
        <w:t>საანგარიშგებო</w:t>
      </w:r>
      <w:proofErr w:type="spellEnd"/>
      <w:r w:rsidR="006A7CE6" w:rsidRPr="00326854">
        <w:rPr>
          <w:rFonts w:ascii="Sylfaen" w:hAnsi="Sylfaen"/>
          <w:lang w:val="ka-GE"/>
        </w:rPr>
        <w:t xml:space="preserve"> პერიოდებზე.</w:t>
      </w:r>
      <w:r w:rsidR="006A7CE6">
        <w:rPr>
          <w:rFonts w:ascii="Sylfaen" w:hAnsi="Sylfaen"/>
          <w:lang w:val="ka-GE"/>
        </w:rPr>
        <w:t xml:space="preserve"> </w:t>
      </w:r>
    </w:p>
    <w:p w14:paraId="5A4807C7" w14:textId="31B4A7F8" w:rsidR="00942E72" w:rsidRDefault="00942E72" w:rsidP="00646F3A">
      <w:pPr>
        <w:jc w:val="both"/>
        <w:rPr>
          <w:rFonts w:ascii="Sylfaen" w:hAnsi="Sylfaen"/>
          <w:lang w:val="ka-GE"/>
        </w:rPr>
      </w:pPr>
      <w:r w:rsidRPr="00F13772">
        <w:rPr>
          <w:rFonts w:ascii="Sylfaen" w:hAnsi="Sylfaen"/>
          <w:lang w:val="ka-GE"/>
        </w:rPr>
        <w:t xml:space="preserve">ზემოაღნიშნულიდან გამომდინარე, „ელექტრონული კომუნიკაციების შესახებ” საქართველოს კანონის მე-4 და მე-11 მუხლის, საქართველოს ზოგადი ადმინისტრაციული კოდექსის 63-ე მუხლისა და VI და VII თავების და კომისიის 2006 წლის 20 აპრილის №5 დადგენილებით დამტკიცებული ”ავტორიზებული პირების მიერ ხარჯთაღრიცხვისა და დანახარჯების განცალკევებულად განაწილების მეთოდოლოგიური წესების” 25-ე მუხლის მე-3 და მე-4 პუნქტების, შესაბამისად, პროექტი ითვალისწინებს: </w:t>
      </w:r>
    </w:p>
    <w:p w14:paraId="0FD05E19" w14:textId="47B6A033" w:rsidR="00D36C58" w:rsidRDefault="00D36C58" w:rsidP="00646F3A">
      <w:pPr>
        <w:jc w:val="both"/>
        <w:rPr>
          <w:rFonts w:ascii="Sylfaen" w:hAnsi="Sylfaen"/>
          <w:lang w:val="ka-GE"/>
        </w:rPr>
      </w:pPr>
    </w:p>
    <w:p w14:paraId="00931901" w14:textId="38C2F8FA" w:rsidR="00D36C58" w:rsidRPr="009952D7" w:rsidRDefault="00D36C58" w:rsidP="00646F3A">
      <w:pPr>
        <w:jc w:val="both"/>
        <w:rPr>
          <w:rFonts w:ascii="Sylfaen" w:hAnsi="Sylfaen"/>
          <w:lang w:val="ka-GE"/>
        </w:rPr>
      </w:pPr>
      <w:r w:rsidRPr="00A57A6F">
        <w:rPr>
          <w:rFonts w:ascii="Sylfaen" w:hAnsi="Sylfaen"/>
          <w:lang w:val="ka-GE"/>
        </w:rPr>
        <w:t xml:space="preserve">1. შევიდეს ცვლილება </w:t>
      </w:r>
      <w:r w:rsidR="002E7452">
        <w:rPr>
          <w:rFonts w:ascii="Sylfaen" w:hAnsi="Sylfaen"/>
          <w:lang w:val="ka-GE"/>
        </w:rPr>
        <w:t>„</w:t>
      </w:r>
      <w:r w:rsidR="002E7452" w:rsidRPr="001838EA">
        <w:rPr>
          <w:rFonts w:ascii="Sylfaen" w:hAnsi="Sylfaen"/>
          <w:lang w:val="ka-GE"/>
        </w:rPr>
        <w:t>მობილური და ფიქსირებული ქსელებისთვის კაპიტალის საშუალო შეწონილი ღირებულების (WACC) დადგენის თაობაზე</w:t>
      </w:r>
      <w:r w:rsidR="002E7452">
        <w:rPr>
          <w:rFonts w:ascii="Sylfaen" w:hAnsi="Sylfaen"/>
          <w:lang w:val="ka-GE"/>
        </w:rPr>
        <w:t xml:space="preserve">“ </w:t>
      </w:r>
      <w:r w:rsidRPr="00A57A6F">
        <w:rPr>
          <w:rFonts w:ascii="Sylfaen" w:hAnsi="Sylfaen"/>
          <w:lang w:val="ka-GE"/>
        </w:rPr>
        <w:t xml:space="preserve">კომისიის 2017 წლის 5 სექტემბრის N592/9 გადაწყვეტილებაში და </w:t>
      </w:r>
      <w:r w:rsidRPr="009952D7">
        <w:rPr>
          <w:rFonts w:ascii="Sylfaen" w:hAnsi="Sylfaen"/>
          <w:lang w:val="ka-GE"/>
        </w:rPr>
        <w:t xml:space="preserve">გადაწყვეტილების პირველი და მეორე პუნქტები ჩამოყალიბდეს შემდეგი რედაქციით: </w:t>
      </w:r>
    </w:p>
    <w:p w14:paraId="2632E314" w14:textId="77777777" w:rsidR="00D36C58" w:rsidRPr="009952D7" w:rsidRDefault="00D36C58" w:rsidP="00646F3A">
      <w:pPr>
        <w:ind w:firstLine="720"/>
        <w:jc w:val="both"/>
        <w:rPr>
          <w:rFonts w:ascii="Sylfaen" w:hAnsi="Sylfaen"/>
          <w:lang w:val="ka-GE"/>
        </w:rPr>
      </w:pPr>
      <w:r w:rsidRPr="009952D7">
        <w:rPr>
          <w:rFonts w:ascii="Sylfaen" w:hAnsi="Sylfaen"/>
          <w:lang w:val="ka-GE"/>
        </w:rPr>
        <w:t xml:space="preserve">„1. კაპიტალის საშუალო შეწონილი ღირებულება დადგინდეს: </w:t>
      </w:r>
    </w:p>
    <w:p w14:paraId="093E3416" w14:textId="77777777" w:rsidR="00D36C58" w:rsidRPr="009952D7" w:rsidRDefault="00D36C58" w:rsidP="00646F3A">
      <w:pPr>
        <w:ind w:left="1701" w:firstLine="11"/>
        <w:jc w:val="both"/>
        <w:rPr>
          <w:rFonts w:ascii="Sylfaen" w:hAnsi="Sylfaen"/>
          <w:lang w:val="ka-GE"/>
        </w:rPr>
      </w:pPr>
      <w:r w:rsidRPr="009952D7">
        <w:rPr>
          <w:rFonts w:ascii="Sylfaen" w:hAnsi="Sylfaen"/>
          <w:lang w:val="ka-GE"/>
        </w:rPr>
        <w:t>ა) მობილური და ფიქსირებული ქსელებისთვის გარდა NGA ქსელის მიზნობრივი სეგმენტებისა 14.49% ოდენობით;</w:t>
      </w:r>
    </w:p>
    <w:p w14:paraId="3260E95A" w14:textId="77777777" w:rsidR="00D36C58" w:rsidRPr="009952D7" w:rsidRDefault="00D36C58" w:rsidP="00646F3A">
      <w:pPr>
        <w:ind w:left="1701" w:firstLine="11"/>
        <w:jc w:val="both"/>
        <w:rPr>
          <w:rFonts w:ascii="Sylfaen" w:hAnsi="Sylfaen"/>
          <w:lang w:val="ka-GE"/>
        </w:rPr>
      </w:pPr>
      <w:r w:rsidRPr="009952D7">
        <w:rPr>
          <w:rFonts w:ascii="Sylfaen" w:hAnsi="Sylfaen"/>
          <w:lang w:val="ka-GE"/>
        </w:rPr>
        <w:t>ბ) NGA ქსელის მიზნობრივი სეგმენტისთვის 16.88%-ის ოდენობით.</w:t>
      </w:r>
    </w:p>
    <w:p w14:paraId="4AE4EA1D" w14:textId="77777777" w:rsidR="00D36C58" w:rsidRPr="009952D7" w:rsidRDefault="00D36C58" w:rsidP="00646F3A">
      <w:pPr>
        <w:ind w:left="709" w:firstLine="11"/>
        <w:jc w:val="both"/>
        <w:rPr>
          <w:rFonts w:ascii="Sylfaen" w:hAnsi="Sylfaen"/>
          <w:lang w:val="ka-GE"/>
        </w:rPr>
      </w:pPr>
      <w:r w:rsidRPr="009952D7">
        <w:rPr>
          <w:rFonts w:ascii="Sylfaen" w:hAnsi="Sylfaen"/>
          <w:lang w:val="ka-GE"/>
        </w:rPr>
        <w:t>2. „</w:t>
      </w:r>
      <w:proofErr w:type="spellStart"/>
      <w:r w:rsidRPr="009952D7">
        <w:rPr>
          <w:rFonts w:ascii="Sylfaen" w:hAnsi="Sylfaen"/>
          <w:lang w:val="ka-GE"/>
        </w:rPr>
        <w:t>Pricewaterhouse</w:t>
      </w:r>
      <w:proofErr w:type="spellEnd"/>
      <w:r w:rsidRPr="009952D7">
        <w:rPr>
          <w:rFonts w:ascii="Sylfaen" w:hAnsi="Sylfaen"/>
          <w:lang w:val="ka-GE"/>
        </w:rPr>
        <w:t xml:space="preserve"> </w:t>
      </w:r>
      <w:proofErr w:type="spellStart"/>
      <w:r w:rsidRPr="009952D7">
        <w:rPr>
          <w:rFonts w:ascii="Sylfaen" w:hAnsi="Sylfaen"/>
          <w:lang w:val="ka-GE"/>
        </w:rPr>
        <w:t>Coopers</w:t>
      </w:r>
      <w:proofErr w:type="spellEnd"/>
      <w:r w:rsidRPr="009952D7">
        <w:rPr>
          <w:rFonts w:ascii="Sylfaen" w:hAnsi="Sylfaen"/>
          <w:lang w:val="ka-GE"/>
        </w:rPr>
        <w:t xml:space="preserve"> </w:t>
      </w:r>
      <w:proofErr w:type="spellStart"/>
      <w:r w:rsidRPr="009952D7">
        <w:rPr>
          <w:rFonts w:ascii="Sylfaen" w:hAnsi="Sylfaen"/>
          <w:lang w:val="ka-GE"/>
        </w:rPr>
        <w:t>Advisory</w:t>
      </w:r>
      <w:proofErr w:type="spellEnd"/>
      <w:r w:rsidRPr="009952D7">
        <w:rPr>
          <w:rFonts w:ascii="Sylfaen" w:hAnsi="Sylfaen"/>
          <w:lang w:val="ka-GE"/>
        </w:rPr>
        <w:t>, s. r. o. (PWC)” მიერ 2021 წლის 29 იანვარს წარმოდგენილი (მიღება-ჩაბარების აქტი N0309/01-20, 1.02.2021) კაპიტალის საშუალო შეწონილი ღირებულების (WACC) მეთოდოლოგია და წინასწარ შედეგები (ამ გადაწყვეტილების დანართი N1) ცნობილ იქნას გადაწყვეტილების განუყოფელ ნაწილად;“</w:t>
      </w:r>
    </w:p>
    <w:p w14:paraId="30F465F3" w14:textId="77777777" w:rsidR="00707723" w:rsidRDefault="00707723" w:rsidP="00646F3A">
      <w:pPr>
        <w:jc w:val="both"/>
        <w:rPr>
          <w:rFonts w:ascii="Sylfaen" w:hAnsi="Sylfaen"/>
          <w:lang w:val="ka-GE"/>
        </w:rPr>
      </w:pPr>
      <w:r>
        <w:rPr>
          <w:rFonts w:ascii="Sylfaen" w:hAnsi="Sylfaen"/>
          <w:lang w:val="ka-GE"/>
        </w:rPr>
        <w:t>2. ამ გადაწყვეტილების პირველი პუნქტით დადგენილი კაპიტალის საშუალო შეწონილი ღირებულება გათვალისწინებულ იქნას 2022 წლის იანვრის პერიოდიდან.</w:t>
      </w:r>
    </w:p>
    <w:p w14:paraId="6072D8CF" w14:textId="2FCF8695" w:rsidR="00707723" w:rsidRDefault="00D36C58" w:rsidP="00646F3A">
      <w:pPr>
        <w:jc w:val="both"/>
        <w:rPr>
          <w:rFonts w:ascii="Sylfaen" w:hAnsi="Sylfaen"/>
          <w:lang w:val="ka-GE"/>
        </w:rPr>
      </w:pPr>
      <w:r w:rsidRPr="009952D7">
        <w:rPr>
          <w:rFonts w:ascii="Sylfaen" w:hAnsi="Sylfaen"/>
          <w:lang w:val="ka-GE"/>
        </w:rPr>
        <w:t xml:space="preserve"> </w:t>
      </w:r>
    </w:p>
    <w:p w14:paraId="4AF63682" w14:textId="714BE86C" w:rsidR="00D36C58" w:rsidRPr="009952D7" w:rsidRDefault="00707723" w:rsidP="00646F3A">
      <w:pPr>
        <w:jc w:val="both"/>
        <w:rPr>
          <w:rFonts w:ascii="Sylfaen" w:hAnsi="Sylfaen"/>
          <w:lang w:val="ka-GE"/>
        </w:rPr>
      </w:pPr>
      <w:r>
        <w:rPr>
          <w:rFonts w:ascii="Sylfaen" w:hAnsi="Sylfaen"/>
          <w:lang w:val="ka-GE"/>
        </w:rPr>
        <w:t xml:space="preserve">3. </w:t>
      </w:r>
      <w:r w:rsidR="00D36C58" w:rsidRPr="009952D7">
        <w:rPr>
          <w:rFonts w:ascii="Sylfaen" w:hAnsi="Sylfaen"/>
          <w:lang w:val="ka-GE"/>
        </w:rPr>
        <w:t xml:space="preserve">გადაწყვეტილება ძალაში შევიდეს მისი კომისიის ოფიციალურ ვებგვერდზე </w:t>
      </w:r>
      <w:hyperlink r:id="rId56" w:history="1">
        <w:r w:rsidR="00D36C58" w:rsidRPr="009952D7">
          <w:rPr>
            <w:rStyle w:val="Hyperlink"/>
          </w:rPr>
          <w:t>www.</w:t>
        </w:r>
        <w:r w:rsidR="00D36C58" w:rsidRPr="009952D7">
          <w:rPr>
            <w:rStyle w:val="Hyperlink"/>
            <w:rFonts w:ascii="Sylfaen" w:hAnsi="Sylfaen"/>
          </w:rPr>
          <w:t>comcom</w:t>
        </w:r>
        <w:r w:rsidR="00D36C58" w:rsidRPr="009952D7">
          <w:rPr>
            <w:rStyle w:val="Hyperlink"/>
          </w:rPr>
          <w:t>.ge</w:t>
        </w:r>
      </w:hyperlink>
      <w:r w:rsidR="00D36C58" w:rsidRPr="009952D7">
        <w:rPr>
          <w:rFonts w:ascii="Sylfaen" w:hAnsi="Sylfaen"/>
          <w:lang w:val="ka-GE"/>
        </w:rPr>
        <w:t xml:space="preserve"> გამოქვეყნებისთანავე;</w:t>
      </w:r>
    </w:p>
    <w:p w14:paraId="629604D2" w14:textId="45F1FEB9" w:rsidR="00D36C58" w:rsidRPr="00A57A6F" w:rsidRDefault="00707723" w:rsidP="00646F3A">
      <w:pPr>
        <w:jc w:val="both"/>
        <w:rPr>
          <w:rFonts w:ascii="Sylfaen" w:hAnsi="Sylfaen"/>
          <w:lang w:val="ka-GE"/>
        </w:rPr>
      </w:pPr>
      <w:r>
        <w:rPr>
          <w:rFonts w:ascii="Sylfaen" w:hAnsi="Sylfaen"/>
          <w:lang w:val="ka-GE"/>
        </w:rPr>
        <w:t>4</w:t>
      </w:r>
      <w:r w:rsidR="00D36C58" w:rsidRPr="009952D7">
        <w:rPr>
          <w:rFonts w:ascii="Sylfaen" w:hAnsi="Sylfaen"/>
          <w:lang w:val="ka-GE"/>
        </w:rPr>
        <w:t>. გადაწყვეტილება შეიძლება</w:t>
      </w:r>
      <w:r w:rsidR="00D36C58" w:rsidRPr="00A57A6F">
        <w:rPr>
          <w:rFonts w:ascii="Sylfaen" w:hAnsi="Sylfaen"/>
          <w:lang w:val="ka-GE"/>
        </w:rPr>
        <w:t xml:space="preserve"> გასაჩივრდეს ქალაქ თბილისის საქალაქო სასამართლოს ადმინისტრაციულ საქმეთა კოლეგიაში (მისამართი: ქ. თბილისი, დავით აღმაშენებლის ხეივანი,  №6</w:t>
      </w:r>
      <w:r w:rsidR="00D36C58">
        <w:rPr>
          <w:rFonts w:ascii="Sylfaen" w:hAnsi="Sylfaen"/>
        </w:rPr>
        <w:t>4</w:t>
      </w:r>
      <w:r w:rsidR="00D36C58" w:rsidRPr="00A57A6F">
        <w:rPr>
          <w:rFonts w:ascii="Sylfaen" w:hAnsi="Sylfaen"/>
          <w:lang w:val="ka-GE"/>
        </w:rPr>
        <w:t>) ერთი თვის ვადაში;</w:t>
      </w:r>
    </w:p>
    <w:p w14:paraId="442CAA6E" w14:textId="47758186" w:rsidR="00D36C58" w:rsidRPr="00D36C58" w:rsidRDefault="00707723" w:rsidP="00646F3A">
      <w:pPr>
        <w:jc w:val="both"/>
      </w:pPr>
      <w:r>
        <w:rPr>
          <w:rFonts w:ascii="Sylfaen" w:hAnsi="Sylfaen"/>
          <w:lang w:val="ka-GE"/>
        </w:rPr>
        <w:t>5</w:t>
      </w:r>
      <w:r w:rsidR="00D36C58" w:rsidRPr="00A57A6F">
        <w:rPr>
          <w:rFonts w:ascii="Sylfaen" w:hAnsi="Sylfaen"/>
          <w:lang w:val="ka-GE"/>
        </w:rPr>
        <w:t>. გადაწყვეტილების შესრულებაზე კონტროლი დაევალოს კომისიის აპარატის სატელეკომუნიკაციო ბაზრის რეგულირების დეპარტამენტს (ე. სიჭინავა).</w:t>
      </w:r>
    </w:p>
    <w:sectPr w:rsidR="00D36C58" w:rsidRPr="00D36C58" w:rsidSect="007A4BF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C83D" w14:textId="77777777" w:rsidR="00ED131B" w:rsidRDefault="00ED131B" w:rsidP="005C4C84">
      <w:pPr>
        <w:spacing w:after="0" w:line="240" w:lineRule="auto"/>
      </w:pPr>
      <w:r>
        <w:separator/>
      </w:r>
    </w:p>
  </w:endnote>
  <w:endnote w:type="continuationSeparator" w:id="0">
    <w:p w14:paraId="6D7D729C" w14:textId="77777777" w:rsidR="00ED131B" w:rsidRDefault="00ED131B" w:rsidP="005C4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0"/>
      <w:gridCol w:w="3300"/>
      <w:gridCol w:w="3300"/>
    </w:tblGrid>
    <w:tr w:rsidR="6A614480" w14:paraId="316D5CA7" w14:textId="77777777" w:rsidTr="006C728E">
      <w:tc>
        <w:tcPr>
          <w:tcW w:w="3300" w:type="dxa"/>
        </w:tcPr>
        <w:p w14:paraId="6B140A0F" w14:textId="6C4C2D6C" w:rsidR="6A614480" w:rsidRDefault="6A614480" w:rsidP="006C728E">
          <w:pPr>
            <w:pStyle w:val="Header"/>
            <w:ind w:left="-115"/>
          </w:pPr>
        </w:p>
      </w:tc>
      <w:tc>
        <w:tcPr>
          <w:tcW w:w="3300" w:type="dxa"/>
        </w:tcPr>
        <w:p w14:paraId="373BA575" w14:textId="1422AA86" w:rsidR="6A614480" w:rsidRDefault="6A614480" w:rsidP="006C728E">
          <w:pPr>
            <w:pStyle w:val="Header"/>
            <w:jc w:val="center"/>
          </w:pPr>
        </w:p>
      </w:tc>
      <w:tc>
        <w:tcPr>
          <w:tcW w:w="3300" w:type="dxa"/>
        </w:tcPr>
        <w:p w14:paraId="0BEE8342" w14:textId="3167BC0C" w:rsidR="6A614480" w:rsidRDefault="6A614480" w:rsidP="006C728E">
          <w:pPr>
            <w:pStyle w:val="Header"/>
            <w:ind w:right="-115"/>
            <w:jc w:val="right"/>
          </w:pPr>
        </w:p>
      </w:tc>
    </w:tr>
  </w:tbl>
  <w:p w14:paraId="20C78B21" w14:textId="499C39D1" w:rsidR="6A614480" w:rsidRDefault="6A614480" w:rsidP="006C7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C7C4" w14:textId="77777777" w:rsidR="00ED131B" w:rsidRDefault="00ED131B" w:rsidP="005C4C84">
      <w:pPr>
        <w:spacing w:after="0" w:line="240" w:lineRule="auto"/>
      </w:pPr>
      <w:r>
        <w:separator/>
      </w:r>
    </w:p>
  </w:footnote>
  <w:footnote w:type="continuationSeparator" w:id="0">
    <w:p w14:paraId="1E794132" w14:textId="77777777" w:rsidR="00ED131B" w:rsidRDefault="00ED131B" w:rsidP="005C4C84">
      <w:pPr>
        <w:spacing w:after="0" w:line="240" w:lineRule="auto"/>
      </w:pPr>
      <w:r>
        <w:continuationSeparator/>
      </w:r>
    </w:p>
  </w:footnote>
  <w:footnote w:id="1">
    <w:p w14:paraId="71EF239A" w14:textId="3F3F2131" w:rsidR="00050317" w:rsidRPr="00AC0895" w:rsidRDefault="00050317" w:rsidP="00335072">
      <w:pPr>
        <w:pStyle w:val="FootnoteText"/>
        <w:jc w:val="both"/>
        <w:rPr>
          <w:rFonts w:ascii="Sylfaen" w:hAnsi="Sylfaen"/>
          <w:lang w:val="ka-GE"/>
        </w:rPr>
      </w:pPr>
      <w:r w:rsidRPr="00335072">
        <w:rPr>
          <w:rStyle w:val="FootnoteReference"/>
          <w:rFonts w:ascii="Sylfaen" w:hAnsi="Sylfaen"/>
        </w:rPr>
        <w:footnoteRef/>
      </w:r>
      <w:r w:rsidRPr="00335072">
        <w:rPr>
          <w:rFonts w:ascii="Sylfaen" w:hAnsi="Sylfaen"/>
        </w:rPr>
        <w:t xml:space="preserve"> </w:t>
      </w:r>
      <w:proofErr w:type="spellStart"/>
      <w:r w:rsidRPr="00335072">
        <w:rPr>
          <w:rFonts w:ascii="Sylfaen" w:hAnsi="Sylfaen"/>
        </w:rPr>
        <w:t>კაბელიანი</w:t>
      </w:r>
      <w:proofErr w:type="spellEnd"/>
      <w:r w:rsidRPr="00335072">
        <w:rPr>
          <w:rFonts w:ascii="Sylfaen" w:hAnsi="Sylfaen"/>
        </w:rPr>
        <w:t xml:space="preserve"> </w:t>
      </w:r>
      <w:proofErr w:type="spellStart"/>
      <w:r w:rsidRPr="00335072">
        <w:rPr>
          <w:rFonts w:ascii="Sylfaen" w:hAnsi="Sylfaen"/>
        </w:rPr>
        <w:t>დაშვების</w:t>
      </w:r>
      <w:proofErr w:type="spellEnd"/>
      <w:r w:rsidRPr="00335072">
        <w:rPr>
          <w:rFonts w:ascii="Sylfaen" w:hAnsi="Sylfaen"/>
        </w:rPr>
        <w:t xml:space="preserve"> </w:t>
      </w:r>
      <w:proofErr w:type="spellStart"/>
      <w:r w:rsidRPr="00335072">
        <w:rPr>
          <w:rFonts w:ascii="Sylfaen" w:hAnsi="Sylfaen"/>
        </w:rPr>
        <w:t>ქსელები</w:t>
      </w:r>
      <w:proofErr w:type="spellEnd"/>
      <w:r w:rsidRPr="00335072">
        <w:rPr>
          <w:rFonts w:ascii="Sylfaen" w:hAnsi="Sylfaen"/>
        </w:rPr>
        <w:t xml:space="preserve">, </w:t>
      </w:r>
      <w:proofErr w:type="spellStart"/>
      <w:r w:rsidRPr="00335072">
        <w:rPr>
          <w:rFonts w:ascii="Sylfaen" w:hAnsi="Sylfaen"/>
        </w:rPr>
        <w:t>რომელიც</w:t>
      </w:r>
      <w:proofErr w:type="spellEnd"/>
      <w:r w:rsidRPr="00335072">
        <w:rPr>
          <w:rFonts w:ascii="Sylfaen" w:hAnsi="Sylfaen"/>
        </w:rPr>
        <w:t xml:space="preserve"> </w:t>
      </w:r>
      <w:proofErr w:type="spellStart"/>
      <w:r w:rsidRPr="00335072">
        <w:rPr>
          <w:rFonts w:ascii="Sylfaen" w:hAnsi="Sylfaen"/>
        </w:rPr>
        <w:t>შედგება</w:t>
      </w:r>
      <w:proofErr w:type="spellEnd"/>
      <w:r w:rsidRPr="00335072">
        <w:rPr>
          <w:rFonts w:ascii="Sylfaen" w:hAnsi="Sylfaen"/>
        </w:rPr>
        <w:t xml:space="preserve"> </w:t>
      </w:r>
      <w:proofErr w:type="spellStart"/>
      <w:r w:rsidRPr="00335072">
        <w:rPr>
          <w:rFonts w:ascii="Sylfaen" w:hAnsi="Sylfaen"/>
        </w:rPr>
        <w:t>მთლიანად</w:t>
      </w:r>
      <w:proofErr w:type="spellEnd"/>
      <w:r w:rsidRPr="00335072">
        <w:rPr>
          <w:rFonts w:ascii="Sylfaen" w:hAnsi="Sylfaen"/>
        </w:rPr>
        <w:t xml:space="preserve"> </w:t>
      </w:r>
      <w:proofErr w:type="spellStart"/>
      <w:r w:rsidRPr="00335072">
        <w:rPr>
          <w:rFonts w:ascii="Sylfaen" w:hAnsi="Sylfaen"/>
        </w:rPr>
        <w:t>ან</w:t>
      </w:r>
      <w:proofErr w:type="spellEnd"/>
      <w:r w:rsidRPr="00335072">
        <w:rPr>
          <w:rFonts w:ascii="Sylfaen" w:hAnsi="Sylfaen"/>
        </w:rPr>
        <w:t xml:space="preserve"> </w:t>
      </w:r>
      <w:proofErr w:type="spellStart"/>
      <w:r w:rsidRPr="00335072">
        <w:rPr>
          <w:rFonts w:ascii="Sylfaen" w:hAnsi="Sylfaen"/>
        </w:rPr>
        <w:t>ნაწილობრივ</w:t>
      </w:r>
      <w:proofErr w:type="spellEnd"/>
      <w:r w:rsidRPr="00335072">
        <w:rPr>
          <w:rFonts w:ascii="Sylfaen" w:hAnsi="Sylfaen"/>
        </w:rPr>
        <w:t xml:space="preserve"> </w:t>
      </w:r>
      <w:proofErr w:type="spellStart"/>
      <w:r w:rsidRPr="00335072">
        <w:rPr>
          <w:rFonts w:ascii="Sylfaen" w:hAnsi="Sylfaen"/>
        </w:rPr>
        <w:t>ოპტიკური</w:t>
      </w:r>
      <w:proofErr w:type="spellEnd"/>
      <w:r w:rsidRPr="00335072">
        <w:rPr>
          <w:rFonts w:ascii="Sylfaen" w:hAnsi="Sylfaen"/>
        </w:rPr>
        <w:t xml:space="preserve"> </w:t>
      </w:r>
      <w:proofErr w:type="spellStart"/>
      <w:r w:rsidRPr="00335072">
        <w:rPr>
          <w:rFonts w:ascii="Sylfaen" w:hAnsi="Sylfaen"/>
        </w:rPr>
        <w:t>ელემენტებისგან</w:t>
      </w:r>
      <w:proofErr w:type="spellEnd"/>
      <w:r w:rsidRPr="00335072">
        <w:rPr>
          <w:rFonts w:ascii="Sylfaen" w:hAnsi="Sylfaen"/>
        </w:rPr>
        <w:t xml:space="preserve"> </w:t>
      </w:r>
      <w:proofErr w:type="spellStart"/>
      <w:r w:rsidRPr="00335072">
        <w:rPr>
          <w:rFonts w:ascii="Sylfaen" w:hAnsi="Sylfaen"/>
        </w:rPr>
        <w:t>და</w:t>
      </w:r>
      <w:proofErr w:type="spellEnd"/>
      <w:r w:rsidRPr="00335072">
        <w:rPr>
          <w:rFonts w:ascii="Sylfaen" w:hAnsi="Sylfaen"/>
        </w:rPr>
        <w:t xml:space="preserve"> </w:t>
      </w:r>
      <w:proofErr w:type="spellStart"/>
      <w:r w:rsidRPr="00335072">
        <w:rPr>
          <w:rFonts w:ascii="Sylfaen" w:hAnsi="Sylfaen"/>
        </w:rPr>
        <w:t>რომელსაც</w:t>
      </w:r>
      <w:proofErr w:type="spellEnd"/>
      <w:r w:rsidRPr="00335072">
        <w:rPr>
          <w:rFonts w:ascii="Sylfaen" w:hAnsi="Sylfaen"/>
        </w:rPr>
        <w:t xml:space="preserve"> </w:t>
      </w:r>
      <w:proofErr w:type="spellStart"/>
      <w:r w:rsidRPr="00335072">
        <w:rPr>
          <w:rFonts w:ascii="Sylfaen" w:hAnsi="Sylfaen"/>
        </w:rPr>
        <w:t>შეუძლია</w:t>
      </w:r>
      <w:proofErr w:type="spellEnd"/>
      <w:r w:rsidRPr="00335072">
        <w:rPr>
          <w:rFonts w:ascii="Sylfaen" w:hAnsi="Sylfaen"/>
        </w:rPr>
        <w:t xml:space="preserve"> </w:t>
      </w:r>
      <w:proofErr w:type="spellStart"/>
      <w:r w:rsidRPr="00335072">
        <w:rPr>
          <w:rFonts w:ascii="Sylfaen" w:hAnsi="Sylfaen"/>
        </w:rPr>
        <w:t>ფართოზოლოვანი</w:t>
      </w:r>
      <w:proofErr w:type="spellEnd"/>
      <w:r w:rsidRPr="00335072">
        <w:rPr>
          <w:rFonts w:ascii="Sylfaen" w:hAnsi="Sylfaen"/>
        </w:rPr>
        <w:t xml:space="preserve"> </w:t>
      </w:r>
      <w:proofErr w:type="spellStart"/>
      <w:r w:rsidRPr="00335072">
        <w:rPr>
          <w:rFonts w:ascii="Sylfaen" w:hAnsi="Sylfaen"/>
        </w:rPr>
        <w:t>დაშვების</w:t>
      </w:r>
      <w:proofErr w:type="spellEnd"/>
      <w:r w:rsidRPr="00335072">
        <w:rPr>
          <w:rFonts w:ascii="Sylfaen" w:hAnsi="Sylfaen"/>
        </w:rPr>
        <w:t xml:space="preserve"> </w:t>
      </w:r>
      <w:proofErr w:type="spellStart"/>
      <w:r w:rsidRPr="00335072">
        <w:rPr>
          <w:rFonts w:ascii="Sylfaen" w:hAnsi="Sylfaen"/>
        </w:rPr>
        <w:t>მომსახურების</w:t>
      </w:r>
      <w:proofErr w:type="spellEnd"/>
      <w:r w:rsidRPr="00335072">
        <w:rPr>
          <w:rFonts w:ascii="Sylfaen" w:hAnsi="Sylfaen"/>
        </w:rPr>
        <w:t xml:space="preserve"> </w:t>
      </w:r>
      <w:proofErr w:type="spellStart"/>
      <w:r w:rsidRPr="00335072">
        <w:rPr>
          <w:rFonts w:ascii="Sylfaen" w:hAnsi="Sylfaen"/>
        </w:rPr>
        <w:t>უზრუნველყოფა</w:t>
      </w:r>
      <w:proofErr w:type="spellEnd"/>
      <w:r w:rsidRPr="00335072">
        <w:rPr>
          <w:rFonts w:ascii="Sylfaen" w:hAnsi="Sylfaen"/>
        </w:rPr>
        <w:t xml:space="preserve"> </w:t>
      </w:r>
      <w:proofErr w:type="spellStart"/>
      <w:r w:rsidRPr="00335072">
        <w:rPr>
          <w:rFonts w:ascii="Sylfaen" w:hAnsi="Sylfaen"/>
        </w:rPr>
        <w:t>ვრცელი</w:t>
      </w:r>
      <w:proofErr w:type="spellEnd"/>
      <w:r>
        <w:rPr>
          <w:rFonts w:ascii="Sylfaen" w:hAnsi="Sylfaen"/>
        </w:rPr>
        <w:t xml:space="preserve"> </w:t>
      </w:r>
      <w:proofErr w:type="spellStart"/>
      <w:r w:rsidRPr="00AC0895">
        <w:rPr>
          <w:rFonts w:ascii="Sylfaen" w:hAnsi="Sylfaen"/>
        </w:rPr>
        <w:t>მახასიათებლებით</w:t>
      </w:r>
      <w:proofErr w:type="spellEnd"/>
      <w:r w:rsidRPr="00AC0895">
        <w:rPr>
          <w:rFonts w:ascii="Sylfaen" w:hAnsi="Sylfaen"/>
        </w:rPr>
        <w:t xml:space="preserve"> (</w:t>
      </w:r>
      <w:proofErr w:type="spellStart"/>
      <w:r w:rsidRPr="00AC0895">
        <w:rPr>
          <w:rFonts w:ascii="Sylfaen" w:hAnsi="Sylfaen"/>
        </w:rPr>
        <w:t>როგორიცაა</w:t>
      </w:r>
      <w:proofErr w:type="spellEnd"/>
      <w:r w:rsidRPr="00AC0895">
        <w:rPr>
          <w:rFonts w:ascii="Sylfaen" w:hAnsi="Sylfaen"/>
        </w:rPr>
        <w:t xml:space="preserve"> </w:t>
      </w:r>
      <w:proofErr w:type="spellStart"/>
      <w:r w:rsidRPr="00AC0895">
        <w:rPr>
          <w:rFonts w:ascii="Sylfaen" w:hAnsi="Sylfaen"/>
        </w:rPr>
        <w:t>მაღალი</w:t>
      </w:r>
      <w:proofErr w:type="spellEnd"/>
      <w:r w:rsidRPr="00AC0895">
        <w:rPr>
          <w:rFonts w:ascii="Sylfaen" w:hAnsi="Sylfaen"/>
        </w:rPr>
        <w:t xml:space="preserve"> </w:t>
      </w:r>
      <w:proofErr w:type="spellStart"/>
      <w:r w:rsidRPr="00AC0895">
        <w:rPr>
          <w:rFonts w:ascii="Sylfaen" w:hAnsi="Sylfaen"/>
        </w:rPr>
        <w:t>გამავლობა</w:t>
      </w:r>
      <w:proofErr w:type="spellEnd"/>
      <w:r w:rsidRPr="00AC0895">
        <w:rPr>
          <w:rFonts w:ascii="Sylfaen" w:hAnsi="Sylfaen"/>
        </w:rPr>
        <w:t xml:space="preserve">), </w:t>
      </w:r>
      <w:proofErr w:type="spellStart"/>
      <w:r w:rsidRPr="00AC0895">
        <w:rPr>
          <w:rFonts w:ascii="Sylfaen" w:hAnsi="Sylfaen"/>
        </w:rPr>
        <w:t>შედარებული</w:t>
      </w:r>
      <w:proofErr w:type="spellEnd"/>
      <w:r w:rsidRPr="00AC0895">
        <w:rPr>
          <w:rFonts w:ascii="Sylfaen" w:hAnsi="Sylfaen"/>
        </w:rPr>
        <w:t xml:space="preserve"> </w:t>
      </w:r>
      <w:proofErr w:type="spellStart"/>
      <w:r w:rsidRPr="00AC0895">
        <w:rPr>
          <w:rFonts w:ascii="Sylfaen" w:hAnsi="Sylfaen"/>
        </w:rPr>
        <w:t>უკვე</w:t>
      </w:r>
      <w:proofErr w:type="spellEnd"/>
      <w:r w:rsidRPr="00AC0895">
        <w:rPr>
          <w:rFonts w:ascii="Sylfaen" w:hAnsi="Sylfaen"/>
        </w:rPr>
        <w:t xml:space="preserve"> </w:t>
      </w:r>
      <w:proofErr w:type="spellStart"/>
      <w:r w:rsidRPr="00AC0895">
        <w:rPr>
          <w:rFonts w:ascii="Sylfaen" w:hAnsi="Sylfaen"/>
        </w:rPr>
        <w:t>არსებულ</w:t>
      </w:r>
      <w:proofErr w:type="spellEnd"/>
      <w:r w:rsidRPr="00AC0895">
        <w:rPr>
          <w:rFonts w:ascii="Sylfaen" w:hAnsi="Sylfaen"/>
        </w:rPr>
        <w:t xml:space="preserve"> </w:t>
      </w:r>
      <w:proofErr w:type="spellStart"/>
      <w:r w:rsidRPr="00AC0895">
        <w:rPr>
          <w:rFonts w:ascii="Sylfaen" w:hAnsi="Sylfaen"/>
        </w:rPr>
        <w:t>სპილენძის</w:t>
      </w:r>
      <w:proofErr w:type="spellEnd"/>
      <w:r w:rsidRPr="00AC0895">
        <w:rPr>
          <w:rFonts w:ascii="Sylfaen" w:hAnsi="Sylfaen"/>
        </w:rPr>
        <w:t xml:space="preserve"> </w:t>
      </w:r>
      <w:proofErr w:type="spellStart"/>
      <w:r w:rsidRPr="00AC0895">
        <w:rPr>
          <w:rFonts w:ascii="Sylfaen" w:hAnsi="Sylfaen"/>
        </w:rPr>
        <w:t>ქსელებთან</w:t>
      </w:r>
      <w:proofErr w:type="spellEnd"/>
      <w:r w:rsidRPr="00AC0895">
        <w:rPr>
          <w:rFonts w:ascii="Sylfaen" w:hAnsi="Sylfaen"/>
        </w:rPr>
        <w:t xml:space="preserve"> </w:t>
      </w:r>
      <w:proofErr w:type="spellStart"/>
      <w:r w:rsidRPr="00AC0895">
        <w:rPr>
          <w:rFonts w:ascii="Sylfaen" w:hAnsi="Sylfaen"/>
        </w:rPr>
        <w:t>ერთად</w:t>
      </w:r>
      <w:proofErr w:type="spellEnd"/>
      <w:r w:rsidRPr="00AC0895">
        <w:rPr>
          <w:rFonts w:ascii="Sylfaen" w:hAnsi="Sylfaen"/>
        </w:rPr>
        <w:t xml:space="preserve"> </w:t>
      </w:r>
      <w:proofErr w:type="spellStart"/>
      <w:r w:rsidRPr="00AC0895">
        <w:rPr>
          <w:rFonts w:ascii="Sylfaen" w:hAnsi="Sylfaen"/>
        </w:rPr>
        <w:t>შემოთავაზებულ</w:t>
      </w:r>
      <w:proofErr w:type="spellEnd"/>
      <w:r w:rsidRPr="00AC0895">
        <w:rPr>
          <w:rFonts w:ascii="Sylfaen" w:hAnsi="Sylfaen"/>
        </w:rPr>
        <w:t xml:space="preserve"> </w:t>
      </w:r>
      <w:proofErr w:type="spellStart"/>
      <w:r w:rsidRPr="00AC0895">
        <w:rPr>
          <w:rFonts w:ascii="Sylfaen" w:hAnsi="Sylfaen"/>
        </w:rPr>
        <w:t>მახასიათებლებთან</w:t>
      </w:r>
      <w:proofErr w:type="spellEnd"/>
    </w:p>
  </w:footnote>
  <w:footnote w:id="2">
    <w:p w14:paraId="41E65455" w14:textId="77777777" w:rsidR="00593666" w:rsidRPr="00E87417" w:rsidRDefault="00593666" w:rsidP="00593666">
      <w:pPr>
        <w:pStyle w:val="FootnoteText"/>
        <w:rPr>
          <w:lang w:val="ka-GE"/>
        </w:rPr>
      </w:pPr>
      <w:r w:rsidRPr="00F064DC">
        <w:rPr>
          <w:rStyle w:val="FootnoteReference"/>
        </w:rPr>
        <w:footnoteRef/>
      </w:r>
      <w:r w:rsidRPr="00F064DC">
        <w:t xml:space="preserve"> </w:t>
      </w:r>
      <w:r w:rsidRPr="00F064DC">
        <w:rPr>
          <w:lang w:val="ka-GE"/>
        </w:rPr>
        <w:t>2020 წლის ოქტომბრიდან 2021 წლის ოქტომბრამდე იგივე მაჩვენებელი 8.71% შეადგენს</w:t>
      </w:r>
      <w:r>
        <w:rPr>
          <w:lang w:val="ka-GE"/>
        </w:rPr>
        <w:t xml:space="preserve"> </w:t>
      </w:r>
    </w:p>
  </w:footnote>
  <w:footnote w:id="3">
    <w:p w14:paraId="319DC75D" w14:textId="62AF85C8" w:rsidR="00B97A01" w:rsidRPr="00967F8C" w:rsidRDefault="00B97A01">
      <w:pPr>
        <w:pStyle w:val="FootnoteText"/>
        <w:rPr>
          <w:rFonts w:ascii="Sylfaen" w:hAnsi="Sylfaen"/>
          <w:lang w:val="ka-GE"/>
        </w:rPr>
      </w:pPr>
      <w:r>
        <w:rPr>
          <w:rStyle w:val="FootnoteReference"/>
        </w:rPr>
        <w:footnoteRef/>
      </w:r>
      <w:r>
        <w:t xml:space="preserve"> </w:t>
      </w:r>
      <w:r w:rsidR="00967F8C">
        <w:rPr>
          <w:rFonts w:ascii="Sylfaen" w:hAnsi="Sylfaen"/>
          <w:lang w:val="ka-GE"/>
        </w:rPr>
        <w:t>იგივე მაჩვენებელი 2020 წლის ოქტომბრიდან 2021 წლის სექტემბრის ჩათვლის 8.71%-ს შეადგენს.</w:t>
      </w:r>
    </w:p>
  </w:footnote>
  <w:footnote w:id="4">
    <w:p w14:paraId="2F4CBF30" w14:textId="5D87EE1D" w:rsidR="00B66B36" w:rsidRPr="00B66B36" w:rsidRDefault="00B66B36">
      <w:pPr>
        <w:pStyle w:val="FootnoteText"/>
        <w:rPr>
          <w:lang w:val="en-GB"/>
        </w:rPr>
      </w:pPr>
      <w:r>
        <w:rPr>
          <w:rStyle w:val="FootnoteReference"/>
        </w:rPr>
        <w:footnoteRef/>
      </w:r>
      <w:r>
        <w:t xml:space="preserve"> </w:t>
      </w:r>
      <w:r w:rsidRPr="00D33843">
        <w:rPr>
          <w:lang w:val="ka-GE"/>
        </w:rPr>
        <w:t xml:space="preserve">(2020 </w:t>
      </w:r>
      <w:r w:rsidRPr="00B66B36">
        <w:rPr>
          <w:lang w:val="ka-GE"/>
        </w:rPr>
        <w:t>წლის ოქტომბრიდან 2021 წლის სექტემბრამდე ანალოგიური მაჩვენებელი 12</w:t>
      </w:r>
      <w:r w:rsidRPr="00D33843">
        <w:rPr>
          <w:lang w:val="ka-GE"/>
        </w:rPr>
        <w:t>.</w:t>
      </w:r>
      <w:r w:rsidRPr="00B66B36">
        <w:rPr>
          <w:lang w:val="ka-GE"/>
        </w:rPr>
        <w:t>18% შეადგენს)</w:t>
      </w:r>
    </w:p>
  </w:footnote>
  <w:footnote w:id="5">
    <w:p w14:paraId="0E95FFA2" w14:textId="4FCCAC03" w:rsidR="00D33843" w:rsidRPr="00D33843" w:rsidRDefault="00D33843" w:rsidP="00D33843">
      <w:pPr>
        <w:pStyle w:val="FootnoteText"/>
        <w:jc w:val="both"/>
        <w:rPr>
          <w:lang w:val="en-GB"/>
        </w:rPr>
      </w:pPr>
      <w:r>
        <w:rPr>
          <w:rStyle w:val="FootnoteReference"/>
        </w:rPr>
        <w:footnoteRef/>
      </w:r>
      <w:r>
        <w:t xml:space="preserve"> </w:t>
      </w:r>
      <w:r w:rsidR="00EE2893">
        <w:t>“</w:t>
      </w:r>
      <w:r w:rsidRPr="00D33843">
        <w:t>BACKGROUND DOCUMENT DESCRIBING THE COMMISSION SERVICES’ WORKING ASSUMPTIONS FOR THE DETERMINATION OF THE WEIGHTED AVERAGE COST OF CAPITAL (WACC) IN REGULATORY PROCEEDINGS IN THE ELECTRONIC COMMUNICATIONS SECTOR</w:t>
      </w:r>
      <w:r w:rsidR="00EE2893">
        <w:t>”, EC, 2018.</w:t>
      </w:r>
    </w:p>
  </w:footnote>
  <w:footnote w:id="6">
    <w:p w14:paraId="01AD63C9" w14:textId="303EE973" w:rsidR="002B1FF4" w:rsidRPr="00844F2E" w:rsidRDefault="002B1FF4" w:rsidP="002B1FF4">
      <w:pPr>
        <w:jc w:val="both"/>
        <w:rPr>
          <w:rFonts w:ascii="Sylfaen" w:hAnsi="Sylfaen"/>
        </w:rPr>
      </w:pPr>
      <w:r>
        <w:rPr>
          <w:rStyle w:val="FootnoteReference"/>
        </w:rPr>
        <w:footnoteRef/>
      </w:r>
      <w:r w:rsidRPr="00844F2E">
        <w:rPr>
          <w:rFonts w:ascii="Sylfaen" w:hAnsi="Sylfaen"/>
          <w:sz w:val="20"/>
          <w:szCs w:val="20"/>
        </w:rPr>
        <w:t xml:space="preserve"> </w:t>
      </w:r>
      <w:bookmarkStart w:id="8" w:name="_Hlk83383898"/>
      <w:r>
        <w:rPr>
          <w:rFonts w:ascii="Sylfaen" w:hAnsi="Sylfaen"/>
          <w:sz w:val="20"/>
          <w:szCs w:val="20"/>
          <w:lang w:val="ka-GE"/>
        </w:rPr>
        <w:t xml:space="preserve">შენიშვნა: </w:t>
      </w:r>
      <w:r w:rsidRPr="00844F2E">
        <w:rPr>
          <w:rFonts w:ascii="Sylfaen" w:hAnsi="Sylfaen"/>
          <w:sz w:val="20"/>
          <w:szCs w:val="20"/>
          <w:lang w:val="ka-GE"/>
        </w:rPr>
        <w:t>კომისიის 9/285 (14.05.2019) გ</w:t>
      </w:r>
      <w:r>
        <w:rPr>
          <w:rFonts w:ascii="Sylfaen" w:hAnsi="Sylfaen"/>
          <w:sz w:val="20"/>
          <w:szCs w:val="20"/>
          <w:lang w:val="ka-GE"/>
        </w:rPr>
        <w:t>ა</w:t>
      </w:r>
      <w:r w:rsidRPr="00844F2E">
        <w:rPr>
          <w:rFonts w:ascii="Sylfaen" w:hAnsi="Sylfaen"/>
          <w:sz w:val="20"/>
          <w:szCs w:val="20"/>
          <w:lang w:val="ka-GE"/>
        </w:rPr>
        <w:t>დაწყვეტილებით: „</w:t>
      </w:r>
      <w:proofErr w:type="spellStart"/>
      <w:r w:rsidRPr="00844F2E">
        <w:rPr>
          <w:rFonts w:ascii="Sylfaen" w:hAnsi="Sylfaen"/>
          <w:sz w:val="20"/>
          <w:szCs w:val="20"/>
        </w:rPr>
        <w:t>გლობალურ</w:t>
      </w:r>
      <w:proofErr w:type="spellEnd"/>
      <w:r w:rsidRPr="00844F2E">
        <w:rPr>
          <w:rFonts w:ascii="Sylfaen" w:hAnsi="Sylfaen"/>
          <w:sz w:val="20"/>
          <w:szCs w:val="20"/>
        </w:rPr>
        <w:t xml:space="preserve"> </w:t>
      </w:r>
      <w:proofErr w:type="spellStart"/>
      <w:r w:rsidRPr="00844F2E">
        <w:rPr>
          <w:rFonts w:ascii="Sylfaen" w:hAnsi="Sylfaen"/>
          <w:sz w:val="20"/>
          <w:szCs w:val="20"/>
        </w:rPr>
        <w:t>და</w:t>
      </w:r>
      <w:proofErr w:type="spellEnd"/>
      <w:r w:rsidRPr="00844F2E">
        <w:rPr>
          <w:rFonts w:ascii="Sylfaen" w:hAnsi="Sylfaen"/>
          <w:sz w:val="20"/>
          <w:szCs w:val="20"/>
        </w:rPr>
        <w:t xml:space="preserve"> </w:t>
      </w:r>
      <w:proofErr w:type="spellStart"/>
      <w:r w:rsidRPr="00844F2E">
        <w:rPr>
          <w:rFonts w:ascii="Sylfaen" w:hAnsi="Sylfaen"/>
          <w:sz w:val="20"/>
          <w:szCs w:val="20"/>
        </w:rPr>
        <w:t>ლოკალურ</w:t>
      </w:r>
      <w:proofErr w:type="spellEnd"/>
      <w:r w:rsidRPr="00844F2E">
        <w:rPr>
          <w:rFonts w:ascii="Sylfaen" w:hAnsi="Sylfaen"/>
          <w:sz w:val="20"/>
          <w:szCs w:val="20"/>
        </w:rPr>
        <w:t xml:space="preserve"> </w:t>
      </w:r>
      <w:proofErr w:type="spellStart"/>
      <w:r w:rsidRPr="00844F2E">
        <w:rPr>
          <w:rFonts w:ascii="Sylfaen" w:hAnsi="Sylfaen"/>
          <w:sz w:val="20"/>
          <w:szCs w:val="20"/>
        </w:rPr>
        <w:t>რესურსებთან</w:t>
      </w:r>
      <w:proofErr w:type="spellEnd"/>
      <w:r w:rsidRPr="00844F2E">
        <w:rPr>
          <w:rFonts w:ascii="Sylfaen" w:hAnsi="Sylfaen"/>
          <w:sz w:val="20"/>
          <w:szCs w:val="20"/>
        </w:rPr>
        <w:t xml:space="preserve"> </w:t>
      </w:r>
      <w:proofErr w:type="spellStart"/>
      <w:r w:rsidRPr="00844F2E">
        <w:rPr>
          <w:rFonts w:ascii="Sylfaen" w:hAnsi="Sylfaen"/>
          <w:sz w:val="20"/>
          <w:szCs w:val="20"/>
        </w:rPr>
        <w:t>დაშვების</w:t>
      </w:r>
      <w:proofErr w:type="spellEnd"/>
      <w:r w:rsidRPr="00844F2E">
        <w:rPr>
          <w:rFonts w:ascii="Sylfaen" w:hAnsi="Sylfaen"/>
          <w:sz w:val="20"/>
          <w:szCs w:val="20"/>
          <w:lang w:val="ka-GE"/>
        </w:rPr>
        <w:t xml:space="preserve"> მ</w:t>
      </w:r>
      <w:proofErr w:type="spellStart"/>
      <w:r w:rsidRPr="00844F2E">
        <w:rPr>
          <w:rFonts w:ascii="Sylfaen" w:hAnsi="Sylfaen"/>
          <w:sz w:val="20"/>
          <w:szCs w:val="20"/>
        </w:rPr>
        <w:t>ომსახურების</w:t>
      </w:r>
      <w:proofErr w:type="spellEnd"/>
      <w:r w:rsidRPr="00844F2E">
        <w:rPr>
          <w:rFonts w:ascii="Sylfaen" w:hAnsi="Sylfaen"/>
          <w:sz w:val="20"/>
          <w:szCs w:val="20"/>
        </w:rPr>
        <w:t xml:space="preserve"> </w:t>
      </w:r>
      <w:proofErr w:type="spellStart"/>
      <w:r w:rsidRPr="00844F2E">
        <w:rPr>
          <w:rFonts w:ascii="Sylfaen" w:hAnsi="Sylfaen"/>
          <w:sz w:val="20"/>
          <w:szCs w:val="20"/>
        </w:rPr>
        <w:t>დანახარჯების</w:t>
      </w:r>
      <w:proofErr w:type="spellEnd"/>
      <w:r w:rsidRPr="00844F2E">
        <w:rPr>
          <w:rFonts w:ascii="Sylfaen" w:hAnsi="Sylfaen"/>
          <w:sz w:val="20"/>
          <w:szCs w:val="20"/>
        </w:rPr>
        <w:t xml:space="preserve"> </w:t>
      </w:r>
      <w:proofErr w:type="spellStart"/>
      <w:r w:rsidRPr="00844F2E">
        <w:rPr>
          <w:rFonts w:ascii="Sylfaen" w:hAnsi="Sylfaen"/>
          <w:sz w:val="20"/>
          <w:szCs w:val="20"/>
        </w:rPr>
        <w:t>სტრუქტურაში</w:t>
      </w:r>
      <w:proofErr w:type="spellEnd"/>
      <w:r w:rsidRPr="00844F2E">
        <w:rPr>
          <w:rFonts w:ascii="Sylfaen" w:hAnsi="Sylfaen"/>
          <w:sz w:val="20"/>
          <w:szCs w:val="20"/>
        </w:rPr>
        <w:t xml:space="preserve"> (</w:t>
      </w:r>
      <w:proofErr w:type="spellStart"/>
      <w:r w:rsidRPr="00844F2E">
        <w:rPr>
          <w:rFonts w:ascii="Sylfaen" w:hAnsi="Sylfaen"/>
          <w:sz w:val="20"/>
          <w:szCs w:val="20"/>
        </w:rPr>
        <w:t>შემადგენლობაში</w:t>
      </w:r>
      <w:proofErr w:type="spellEnd"/>
      <w:r w:rsidRPr="00844F2E">
        <w:rPr>
          <w:rFonts w:ascii="Sylfaen" w:hAnsi="Sylfaen"/>
          <w:sz w:val="20"/>
          <w:szCs w:val="20"/>
        </w:rPr>
        <w:t xml:space="preserve">) </w:t>
      </w:r>
      <w:proofErr w:type="spellStart"/>
      <w:r w:rsidRPr="00844F2E">
        <w:rPr>
          <w:rFonts w:ascii="Sylfaen" w:hAnsi="Sylfaen"/>
          <w:sz w:val="20"/>
          <w:szCs w:val="20"/>
        </w:rPr>
        <w:t>გამოყოფილი</w:t>
      </w:r>
      <w:proofErr w:type="spellEnd"/>
      <w:r w:rsidRPr="00844F2E">
        <w:rPr>
          <w:rFonts w:ascii="Sylfaen" w:hAnsi="Sylfaen"/>
          <w:sz w:val="20"/>
          <w:szCs w:val="20"/>
        </w:rPr>
        <w:t xml:space="preserve"> </w:t>
      </w:r>
      <w:proofErr w:type="spellStart"/>
      <w:r w:rsidRPr="00844F2E">
        <w:rPr>
          <w:rFonts w:ascii="Sylfaen" w:hAnsi="Sylfaen"/>
          <w:sz w:val="20"/>
          <w:szCs w:val="20"/>
        </w:rPr>
        <w:t>არხებით</w:t>
      </w:r>
      <w:proofErr w:type="spellEnd"/>
      <w:r w:rsidRPr="00844F2E">
        <w:rPr>
          <w:rFonts w:ascii="Sylfaen" w:hAnsi="Sylfaen"/>
          <w:sz w:val="20"/>
          <w:szCs w:val="20"/>
        </w:rPr>
        <w:t xml:space="preserve"> </w:t>
      </w:r>
      <w:proofErr w:type="spellStart"/>
      <w:r w:rsidRPr="00844F2E">
        <w:rPr>
          <w:rFonts w:ascii="Sylfaen" w:hAnsi="Sylfaen"/>
          <w:sz w:val="20"/>
          <w:szCs w:val="20"/>
        </w:rPr>
        <w:t>საბითუმო</w:t>
      </w:r>
      <w:proofErr w:type="spellEnd"/>
      <w:r w:rsidRPr="00844F2E">
        <w:rPr>
          <w:rFonts w:ascii="Sylfaen" w:hAnsi="Sylfaen"/>
          <w:sz w:val="20"/>
          <w:szCs w:val="20"/>
        </w:rPr>
        <w:t xml:space="preserve"> </w:t>
      </w:r>
      <w:proofErr w:type="spellStart"/>
      <w:r w:rsidRPr="00844F2E">
        <w:rPr>
          <w:rFonts w:ascii="Sylfaen" w:hAnsi="Sylfaen"/>
          <w:sz w:val="20"/>
          <w:szCs w:val="20"/>
        </w:rPr>
        <w:t>მომსახურებას</w:t>
      </w:r>
      <w:proofErr w:type="spellEnd"/>
      <w:r w:rsidRPr="00844F2E">
        <w:rPr>
          <w:rFonts w:ascii="Sylfaen" w:hAnsi="Sylfaen"/>
          <w:sz w:val="20"/>
          <w:szCs w:val="20"/>
        </w:rPr>
        <w:t xml:space="preserve"> </w:t>
      </w:r>
      <w:proofErr w:type="spellStart"/>
      <w:r w:rsidRPr="00844F2E">
        <w:rPr>
          <w:rFonts w:ascii="Sylfaen" w:hAnsi="Sylfaen"/>
          <w:sz w:val="20"/>
          <w:szCs w:val="20"/>
        </w:rPr>
        <w:t>მნიშვნელოვანი</w:t>
      </w:r>
      <w:proofErr w:type="spellEnd"/>
      <w:r w:rsidRPr="00844F2E">
        <w:rPr>
          <w:rFonts w:ascii="Sylfaen" w:hAnsi="Sylfaen"/>
          <w:sz w:val="20"/>
          <w:szCs w:val="20"/>
        </w:rPr>
        <w:t xml:space="preserve"> </w:t>
      </w:r>
      <w:proofErr w:type="spellStart"/>
      <w:r w:rsidRPr="00844F2E">
        <w:rPr>
          <w:rFonts w:ascii="Sylfaen" w:hAnsi="Sylfaen"/>
          <w:sz w:val="20"/>
          <w:szCs w:val="20"/>
        </w:rPr>
        <w:t>წილი</w:t>
      </w:r>
      <w:proofErr w:type="spellEnd"/>
      <w:r w:rsidRPr="00844F2E">
        <w:rPr>
          <w:rFonts w:ascii="Sylfaen" w:hAnsi="Sylfaen"/>
          <w:sz w:val="20"/>
          <w:szCs w:val="20"/>
        </w:rPr>
        <w:t xml:space="preserve"> </w:t>
      </w:r>
      <w:proofErr w:type="spellStart"/>
      <w:r w:rsidRPr="00844F2E">
        <w:rPr>
          <w:rFonts w:ascii="Sylfaen" w:hAnsi="Sylfaen"/>
          <w:sz w:val="20"/>
          <w:szCs w:val="20"/>
        </w:rPr>
        <w:t>უკავია</w:t>
      </w:r>
      <w:proofErr w:type="spellEnd"/>
      <w:r w:rsidRPr="00844F2E">
        <w:rPr>
          <w:rFonts w:ascii="Sylfaen" w:hAnsi="Sylfaen"/>
          <w:sz w:val="20"/>
          <w:szCs w:val="20"/>
        </w:rPr>
        <w:t xml:space="preserve">, </w:t>
      </w:r>
      <w:proofErr w:type="spellStart"/>
      <w:r w:rsidRPr="00844F2E">
        <w:rPr>
          <w:rFonts w:ascii="Sylfaen" w:hAnsi="Sylfaen"/>
          <w:sz w:val="20"/>
          <w:szCs w:val="20"/>
        </w:rPr>
        <w:t>როგორც</w:t>
      </w:r>
      <w:proofErr w:type="spellEnd"/>
      <w:r w:rsidRPr="00844F2E">
        <w:rPr>
          <w:rFonts w:ascii="Sylfaen" w:hAnsi="Sylfaen"/>
          <w:sz w:val="20"/>
          <w:szCs w:val="20"/>
        </w:rPr>
        <w:t xml:space="preserve"> </w:t>
      </w:r>
      <w:proofErr w:type="spellStart"/>
      <w:r w:rsidRPr="00844F2E">
        <w:rPr>
          <w:rFonts w:ascii="Sylfaen" w:hAnsi="Sylfaen"/>
          <w:sz w:val="20"/>
          <w:szCs w:val="20"/>
        </w:rPr>
        <w:t>ამ</w:t>
      </w:r>
      <w:proofErr w:type="spellEnd"/>
      <w:r w:rsidRPr="00844F2E">
        <w:rPr>
          <w:rFonts w:ascii="Sylfaen" w:hAnsi="Sylfaen"/>
          <w:sz w:val="20"/>
          <w:szCs w:val="20"/>
        </w:rPr>
        <w:t xml:space="preserve"> </w:t>
      </w:r>
      <w:proofErr w:type="spellStart"/>
      <w:r w:rsidRPr="00844F2E">
        <w:rPr>
          <w:rFonts w:ascii="Sylfaen" w:hAnsi="Sylfaen"/>
          <w:sz w:val="20"/>
          <w:szCs w:val="20"/>
        </w:rPr>
        <w:t>მომსახურების</w:t>
      </w:r>
      <w:proofErr w:type="spellEnd"/>
      <w:r w:rsidRPr="00844F2E">
        <w:rPr>
          <w:rFonts w:ascii="Sylfaen" w:hAnsi="Sylfaen"/>
          <w:sz w:val="20"/>
          <w:szCs w:val="20"/>
        </w:rPr>
        <w:t xml:space="preserve"> </w:t>
      </w:r>
      <w:proofErr w:type="spellStart"/>
      <w:r w:rsidRPr="00844F2E">
        <w:rPr>
          <w:rFonts w:ascii="Sylfaen" w:hAnsi="Sylfaen"/>
          <w:sz w:val="20"/>
          <w:szCs w:val="20"/>
        </w:rPr>
        <w:t>მიმწოდებლისათვის</w:t>
      </w:r>
      <w:proofErr w:type="spellEnd"/>
      <w:r w:rsidRPr="00844F2E">
        <w:rPr>
          <w:rFonts w:ascii="Sylfaen" w:hAnsi="Sylfaen"/>
          <w:sz w:val="20"/>
          <w:szCs w:val="20"/>
        </w:rPr>
        <w:t xml:space="preserve">, </w:t>
      </w:r>
      <w:proofErr w:type="spellStart"/>
      <w:r w:rsidRPr="00844F2E">
        <w:rPr>
          <w:rFonts w:ascii="Sylfaen" w:hAnsi="Sylfaen"/>
          <w:sz w:val="20"/>
          <w:szCs w:val="20"/>
        </w:rPr>
        <w:t>ასევე</w:t>
      </w:r>
      <w:proofErr w:type="spellEnd"/>
      <w:r w:rsidRPr="00844F2E">
        <w:rPr>
          <w:rFonts w:ascii="Sylfaen" w:hAnsi="Sylfaen"/>
          <w:sz w:val="20"/>
          <w:szCs w:val="20"/>
        </w:rPr>
        <w:t xml:space="preserve"> </w:t>
      </w:r>
      <w:proofErr w:type="spellStart"/>
      <w:r w:rsidRPr="00844F2E">
        <w:rPr>
          <w:rFonts w:ascii="Sylfaen" w:hAnsi="Sylfaen"/>
          <w:sz w:val="20"/>
          <w:szCs w:val="20"/>
        </w:rPr>
        <w:t>მისი</w:t>
      </w:r>
      <w:proofErr w:type="spellEnd"/>
      <w:r w:rsidRPr="00844F2E">
        <w:rPr>
          <w:rFonts w:ascii="Sylfaen" w:hAnsi="Sylfaen"/>
          <w:sz w:val="20"/>
          <w:szCs w:val="20"/>
        </w:rPr>
        <w:t xml:space="preserve"> </w:t>
      </w:r>
      <w:proofErr w:type="spellStart"/>
      <w:r w:rsidRPr="00844F2E">
        <w:rPr>
          <w:rFonts w:ascii="Sylfaen" w:hAnsi="Sylfaen"/>
          <w:sz w:val="20"/>
          <w:szCs w:val="20"/>
        </w:rPr>
        <w:t>მიმღებისათვის</w:t>
      </w:r>
      <w:proofErr w:type="spellEnd"/>
      <w:r w:rsidRPr="00844F2E">
        <w:rPr>
          <w:rFonts w:ascii="Sylfaen" w:hAnsi="Sylfaen"/>
          <w:sz w:val="20"/>
          <w:szCs w:val="20"/>
          <w:lang w:val="ka-GE"/>
        </w:rPr>
        <w:t>“. შესაბამისად,</w:t>
      </w:r>
      <w:r w:rsidRPr="00844F2E">
        <w:rPr>
          <w:rFonts w:ascii="Sylfaen" w:hAnsi="Sylfaen"/>
          <w:sz w:val="20"/>
          <w:szCs w:val="20"/>
        </w:rPr>
        <w:t xml:space="preserve"> </w:t>
      </w:r>
      <w:proofErr w:type="spellStart"/>
      <w:r w:rsidRPr="00844F2E">
        <w:rPr>
          <w:rFonts w:ascii="Sylfaen" w:hAnsi="Sylfaen"/>
          <w:sz w:val="20"/>
          <w:szCs w:val="20"/>
        </w:rPr>
        <w:t>ამ</w:t>
      </w:r>
      <w:proofErr w:type="spellEnd"/>
      <w:r w:rsidRPr="00844F2E">
        <w:rPr>
          <w:rFonts w:ascii="Sylfaen" w:hAnsi="Sylfaen"/>
          <w:sz w:val="20"/>
          <w:szCs w:val="20"/>
        </w:rPr>
        <w:t xml:space="preserve"> </w:t>
      </w:r>
      <w:r w:rsidRPr="00844F2E">
        <w:rPr>
          <w:rFonts w:ascii="Sylfaen" w:hAnsi="Sylfaen"/>
          <w:sz w:val="20"/>
          <w:szCs w:val="20"/>
          <w:lang w:val="ka-GE"/>
        </w:rPr>
        <w:t>ორ სეგმენტს შორის გაზრდილი დანახარჯების</w:t>
      </w:r>
      <w:r>
        <w:rPr>
          <w:rFonts w:ascii="Sylfaen" w:hAnsi="Sylfaen"/>
          <w:sz w:val="20"/>
          <w:szCs w:val="20"/>
          <w:lang w:val="ka-GE"/>
        </w:rPr>
        <w:t xml:space="preserve"> ორმაგად ასახვის</w:t>
      </w:r>
      <w:r w:rsidRPr="00844F2E">
        <w:rPr>
          <w:rFonts w:ascii="Sylfaen" w:hAnsi="Sylfaen"/>
          <w:sz w:val="20"/>
          <w:szCs w:val="20"/>
          <w:lang w:val="ka-GE"/>
        </w:rPr>
        <w:t xml:space="preserve"> თავიდან არიდების მიზნით, დაუშვებელია ორივე მათგანზე </w:t>
      </w:r>
      <w:r w:rsidRPr="00844F2E">
        <w:rPr>
          <w:rFonts w:ascii="Sylfaen" w:hAnsi="Sylfaen"/>
          <w:sz w:val="20"/>
          <w:szCs w:val="20"/>
          <w:lang w:val="en-GB"/>
        </w:rPr>
        <w:t xml:space="preserve">NGA </w:t>
      </w:r>
      <w:r w:rsidRPr="00844F2E">
        <w:rPr>
          <w:rFonts w:ascii="Sylfaen" w:hAnsi="Sylfaen"/>
          <w:sz w:val="20"/>
          <w:szCs w:val="20"/>
          <w:lang w:val="ka-GE"/>
        </w:rPr>
        <w:t>პრემიუმის მინიჭება ერთდროულად.</w:t>
      </w:r>
      <w:bookmarkEnd w:id="8"/>
    </w:p>
    <w:p w14:paraId="48E7DA39" w14:textId="73D9D182" w:rsidR="002B1FF4" w:rsidRPr="002B1FF4" w:rsidRDefault="002B1FF4">
      <w:pPr>
        <w:pStyle w:val="FootnoteText"/>
        <w:rPr>
          <w:lang w:val="ka-G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0"/>
      <w:gridCol w:w="3300"/>
      <w:gridCol w:w="3300"/>
    </w:tblGrid>
    <w:tr w:rsidR="6A614480" w14:paraId="54711053" w14:textId="77777777" w:rsidTr="006C728E">
      <w:tc>
        <w:tcPr>
          <w:tcW w:w="3300" w:type="dxa"/>
        </w:tcPr>
        <w:p w14:paraId="7B56D274" w14:textId="13B8C77A" w:rsidR="6A614480" w:rsidRDefault="6A614480" w:rsidP="006C728E">
          <w:pPr>
            <w:pStyle w:val="Header"/>
            <w:ind w:left="-115"/>
          </w:pPr>
        </w:p>
      </w:tc>
      <w:tc>
        <w:tcPr>
          <w:tcW w:w="3300" w:type="dxa"/>
        </w:tcPr>
        <w:p w14:paraId="53686865" w14:textId="4003D4C4" w:rsidR="6A614480" w:rsidRDefault="6A614480" w:rsidP="006C728E">
          <w:pPr>
            <w:pStyle w:val="Header"/>
            <w:jc w:val="center"/>
          </w:pPr>
        </w:p>
      </w:tc>
      <w:tc>
        <w:tcPr>
          <w:tcW w:w="3300" w:type="dxa"/>
        </w:tcPr>
        <w:p w14:paraId="46DA5FC0" w14:textId="542918E8" w:rsidR="6A614480" w:rsidRDefault="6A614480" w:rsidP="006C728E">
          <w:pPr>
            <w:pStyle w:val="Header"/>
            <w:ind w:right="-115"/>
            <w:jc w:val="right"/>
          </w:pPr>
        </w:p>
      </w:tc>
    </w:tr>
  </w:tbl>
  <w:p w14:paraId="332E1FC3" w14:textId="3FD4B915" w:rsidR="6A614480" w:rsidRDefault="6A614480" w:rsidP="006C7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E1B"/>
    <w:multiLevelType w:val="hybridMultilevel"/>
    <w:tmpl w:val="68B4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1005C"/>
    <w:multiLevelType w:val="hybridMultilevel"/>
    <w:tmpl w:val="1B5E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592C"/>
    <w:multiLevelType w:val="hybridMultilevel"/>
    <w:tmpl w:val="EB220FD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15:restartNumberingAfterBreak="0">
    <w:nsid w:val="0CA12265"/>
    <w:multiLevelType w:val="hybridMultilevel"/>
    <w:tmpl w:val="597A29E4"/>
    <w:lvl w:ilvl="0" w:tplc="0809000D">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15:restartNumberingAfterBreak="0">
    <w:nsid w:val="13F25406"/>
    <w:multiLevelType w:val="multilevel"/>
    <w:tmpl w:val="4F38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5A0237"/>
    <w:multiLevelType w:val="hybridMultilevel"/>
    <w:tmpl w:val="656A0D6A"/>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6" w15:restartNumberingAfterBreak="0">
    <w:nsid w:val="2D0D0770"/>
    <w:multiLevelType w:val="hybridMultilevel"/>
    <w:tmpl w:val="91726316"/>
    <w:lvl w:ilvl="0" w:tplc="4ED23146">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7" w15:restartNumberingAfterBreak="0">
    <w:nsid w:val="3E1E4FDC"/>
    <w:multiLevelType w:val="hybridMultilevel"/>
    <w:tmpl w:val="EB5235F2"/>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8" w15:restartNumberingAfterBreak="0">
    <w:nsid w:val="45F92440"/>
    <w:multiLevelType w:val="hybridMultilevel"/>
    <w:tmpl w:val="A8925E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EF858ED"/>
    <w:multiLevelType w:val="hybridMultilevel"/>
    <w:tmpl w:val="8BA24C3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15:restartNumberingAfterBreak="0">
    <w:nsid w:val="58185A90"/>
    <w:multiLevelType w:val="hybridMultilevel"/>
    <w:tmpl w:val="A0B6EBE4"/>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1" w15:restartNumberingAfterBreak="0">
    <w:nsid w:val="5818604A"/>
    <w:multiLevelType w:val="hybridMultilevel"/>
    <w:tmpl w:val="65D07BF0"/>
    <w:lvl w:ilvl="0" w:tplc="287A5BBC">
      <w:start w:val="1"/>
      <w:numFmt w:val="decimal"/>
      <w:lvlText w:val="%1."/>
      <w:lvlJc w:val="left"/>
      <w:pPr>
        <w:tabs>
          <w:tab w:val="num" w:pos="720"/>
        </w:tabs>
        <w:ind w:left="720" w:hanging="360"/>
      </w:pPr>
    </w:lvl>
    <w:lvl w:ilvl="1" w:tplc="91085206" w:tentative="1">
      <w:start w:val="1"/>
      <w:numFmt w:val="decimal"/>
      <w:lvlText w:val="%2."/>
      <w:lvlJc w:val="left"/>
      <w:pPr>
        <w:tabs>
          <w:tab w:val="num" w:pos="1440"/>
        </w:tabs>
        <w:ind w:left="1440" w:hanging="360"/>
      </w:pPr>
    </w:lvl>
    <w:lvl w:ilvl="2" w:tplc="39562672" w:tentative="1">
      <w:start w:val="1"/>
      <w:numFmt w:val="decimal"/>
      <w:lvlText w:val="%3."/>
      <w:lvlJc w:val="left"/>
      <w:pPr>
        <w:tabs>
          <w:tab w:val="num" w:pos="2160"/>
        </w:tabs>
        <w:ind w:left="2160" w:hanging="360"/>
      </w:pPr>
    </w:lvl>
    <w:lvl w:ilvl="3" w:tplc="4F3295C2" w:tentative="1">
      <w:start w:val="1"/>
      <w:numFmt w:val="decimal"/>
      <w:lvlText w:val="%4."/>
      <w:lvlJc w:val="left"/>
      <w:pPr>
        <w:tabs>
          <w:tab w:val="num" w:pos="2880"/>
        </w:tabs>
        <w:ind w:left="2880" w:hanging="360"/>
      </w:pPr>
    </w:lvl>
    <w:lvl w:ilvl="4" w:tplc="C01ED644" w:tentative="1">
      <w:start w:val="1"/>
      <w:numFmt w:val="decimal"/>
      <w:lvlText w:val="%5."/>
      <w:lvlJc w:val="left"/>
      <w:pPr>
        <w:tabs>
          <w:tab w:val="num" w:pos="3600"/>
        </w:tabs>
        <w:ind w:left="3600" w:hanging="360"/>
      </w:pPr>
    </w:lvl>
    <w:lvl w:ilvl="5" w:tplc="80D6F9C4" w:tentative="1">
      <w:start w:val="1"/>
      <w:numFmt w:val="decimal"/>
      <w:lvlText w:val="%6."/>
      <w:lvlJc w:val="left"/>
      <w:pPr>
        <w:tabs>
          <w:tab w:val="num" w:pos="4320"/>
        </w:tabs>
        <w:ind w:left="4320" w:hanging="360"/>
      </w:pPr>
    </w:lvl>
    <w:lvl w:ilvl="6" w:tplc="881C2A3C" w:tentative="1">
      <w:start w:val="1"/>
      <w:numFmt w:val="decimal"/>
      <w:lvlText w:val="%7."/>
      <w:lvlJc w:val="left"/>
      <w:pPr>
        <w:tabs>
          <w:tab w:val="num" w:pos="5040"/>
        </w:tabs>
        <w:ind w:left="5040" w:hanging="360"/>
      </w:pPr>
    </w:lvl>
    <w:lvl w:ilvl="7" w:tplc="C38A0A44" w:tentative="1">
      <w:start w:val="1"/>
      <w:numFmt w:val="decimal"/>
      <w:lvlText w:val="%8."/>
      <w:lvlJc w:val="left"/>
      <w:pPr>
        <w:tabs>
          <w:tab w:val="num" w:pos="5760"/>
        </w:tabs>
        <w:ind w:left="5760" w:hanging="360"/>
      </w:pPr>
    </w:lvl>
    <w:lvl w:ilvl="8" w:tplc="3096378E" w:tentative="1">
      <w:start w:val="1"/>
      <w:numFmt w:val="decimal"/>
      <w:lvlText w:val="%9."/>
      <w:lvlJc w:val="left"/>
      <w:pPr>
        <w:tabs>
          <w:tab w:val="num" w:pos="6480"/>
        </w:tabs>
        <w:ind w:left="6480" w:hanging="360"/>
      </w:pPr>
    </w:lvl>
  </w:abstractNum>
  <w:abstractNum w:abstractNumId="12" w15:restartNumberingAfterBreak="0">
    <w:nsid w:val="72450652"/>
    <w:multiLevelType w:val="hybridMultilevel"/>
    <w:tmpl w:val="4CF84328"/>
    <w:lvl w:ilvl="0" w:tplc="3BAC91C8">
      <w:numFmt w:val="bullet"/>
      <w:lvlText w:val="•"/>
      <w:lvlJc w:val="left"/>
      <w:pPr>
        <w:ind w:left="1080" w:hanging="720"/>
      </w:pPr>
      <w:rPr>
        <w:rFonts w:ascii="Sylfaen" w:eastAsiaTheme="minorHAnsi" w:hAnsi="Sylfaen" w:cstheme="minorBidi"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3" w15:restartNumberingAfterBreak="0">
    <w:nsid w:val="78732B7A"/>
    <w:multiLevelType w:val="hybridMultilevel"/>
    <w:tmpl w:val="676287A4"/>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14" w15:restartNumberingAfterBreak="0">
    <w:nsid w:val="79CA0246"/>
    <w:multiLevelType w:val="hybridMultilevel"/>
    <w:tmpl w:val="D59AF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61865">
    <w:abstractNumId w:val="4"/>
  </w:num>
  <w:num w:numId="2" w16cid:durableId="1895777574">
    <w:abstractNumId w:val="8"/>
  </w:num>
  <w:num w:numId="3" w16cid:durableId="1886284890">
    <w:abstractNumId w:val="1"/>
  </w:num>
  <w:num w:numId="4" w16cid:durableId="404029903">
    <w:abstractNumId w:val="0"/>
  </w:num>
  <w:num w:numId="5" w16cid:durableId="2057856206">
    <w:abstractNumId w:val="14"/>
  </w:num>
  <w:num w:numId="6" w16cid:durableId="1699310527">
    <w:abstractNumId w:val="6"/>
  </w:num>
  <w:num w:numId="7" w16cid:durableId="757948386">
    <w:abstractNumId w:val="12"/>
  </w:num>
  <w:num w:numId="8" w16cid:durableId="1466124964">
    <w:abstractNumId w:val="9"/>
  </w:num>
  <w:num w:numId="9" w16cid:durableId="445270764">
    <w:abstractNumId w:val="2"/>
  </w:num>
  <w:num w:numId="10" w16cid:durableId="339624332">
    <w:abstractNumId w:val="3"/>
  </w:num>
  <w:num w:numId="11" w16cid:durableId="1177109818">
    <w:abstractNumId w:val="11"/>
  </w:num>
  <w:num w:numId="12" w16cid:durableId="2041394207">
    <w:abstractNumId w:val="10"/>
  </w:num>
  <w:num w:numId="13" w16cid:durableId="329062981">
    <w:abstractNumId w:val="13"/>
  </w:num>
  <w:num w:numId="14" w16cid:durableId="1892420550">
    <w:abstractNumId w:val="7"/>
  </w:num>
  <w:num w:numId="15" w16cid:durableId="1125269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AD"/>
    <w:rsid w:val="00001C02"/>
    <w:rsid w:val="000024E3"/>
    <w:rsid w:val="000030FA"/>
    <w:rsid w:val="00003C44"/>
    <w:rsid w:val="00010010"/>
    <w:rsid w:val="00010BC1"/>
    <w:rsid w:val="00011C5C"/>
    <w:rsid w:val="000122EB"/>
    <w:rsid w:val="000139A7"/>
    <w:rsid w:val="00014864"/>
    <w:rsid w:val="00015258"/>
    <w:rsid w:val="000157E4"/>
    <w:rsid w:val="00016847"/>
    <w:rsid w:val="00020C77"/>
    <w:rsid w:val="000217C6"/>
    <w:rsid w:val="000316DC"/>
    <w:rsid w:val="00034252"/>
    <w:rsid w:val="00036521"/>
    <w:rsid w:val="00036B1C"/>
    <w:rsid w:val="0003729F"/>
    <w:rsid w:val="000418EA"/>
    <w:rsid w:val="00050317"/>
    <w:rsid w:val="00050D0F"/>
    <w:rsid w:val="00054142"/>
    <w:rsid w:val="0005642E"/>
    <w:rsid w:val="00061F49"/>
    <w:rsid w:val="00063B80"/>
    <w:rsid w:val="00064BDD"/>
    <w:rsid w:val="00075ECB"/>
    <w:rsid w:val="00080DDE"/>
    <w:rsid w:val="00082745"/>
    <w:rsid w:val="00085F78"/>
    <w:rsid w:val="000900DA"/>
    <w:rsid w:val="00090153"/>
    <w:rsid w:val="000A43C2"/>
    <w:rsid w:val="000A4EB2"/>
    <w:rsid w:val="000A6E1A"/>
    <w:rsid w:val="000A7837"/>
    <w:rsid w:val="000A78CD"/>
    <w:rsid w:val="000B37D6"/>
    <w:rsid w:val="000B37F3"/>
    <w:rsid w:val="000B62F0"/>
    <w:rsid w:val="000B69C4"/>
    <w:rsid w:val="000B7432"/>
    <w:rsid w:val="000C04F7"/>
    <w:rsid w:val="000C0B3B"/>
    <w:rsid w:val="000C7DF4"/>
    <w:rsid w:val="000D055D"/>
    <w:rsid w:val="000D0ADF"/>
    <w:rsid w:val="000D1ACD"/>
    <w:rsid w:val="000D1D0D"/>
    <w:rsid w:val="000D1D7B"/>
    <w:rsid w:val="000E1030"/>
    <w:rsid w:val="000E1FAA"/>
    <w:rsid w:val="000E22F1"/>
    <w:rsid w:val="000E2E48"/>
    <w:rsid w:val="000E341A"/>
    <w:rsid w:val="000F6810"/>
    <w:rsid w:val="00101A13"/>
    <w:rsid w:val="00101AEB"/>
    <w:rsid w:val="0010317D"/>
    <w:rsid w:val="00103ABD"/>
    <w:rsid w:val="00103CA5"/>
    <w:rsid w:val="0010444D"/>
    <w:rsid w:val="0010506D"/>
    <w:rsid w:val="00110AEE"/>
    <w:rsid w:val="00111802"/>
    <w:rsid w:val="00111D3A"/>
    <w:rsid w:val="00115AA7"/>
    <w:rsid w:val="00116D89"/>
    <w:rsid w:val="001179D3"/>
    <w:rsid w:val="00122A8E"/>
    <w:rsid w:val="00123274"/>
    <w:rsid w:val="00123F2D"/>
    <w:rsid w:val="00126605"/>
    <w:rsid w:val="001267D0"/>
    <w:rsid w:val="00127BCA"/>
    <w:rsid w:val="001306CA"/>
    <w:rsid w:val="0013294E"/>
    <w:rsid w:val="0013348A"/>
    <w:rsid w:val="00134744"/>
    <w:rsid w:val="00136B26"/>
    <w:rsid w:val="00142A96"/>
    <w:rsid w:val="00144647"/>
    <w:rsid w:val="00144FD2"/>
    <w:rsid w:val="0014582E"/>
    <w:rsid w:val="00150D06"/>
    <w:rsid w:val="00153593"/>
    <w:rsid w:val="00154061"/>
    <w:rsid w:val="001565B4"/>
    <w:rsid w:val="00157AFA"/>
    <w:rsid w:val="001605FC"/>
    <w:rsid w:val="00162626"/>
    <w:rsid w:val="001629BA"/>
    <w:rsid w:val="00164E70"/>
    <w:rsid w:val="0016548D"/>
    <w:rsid w:val="00166205"/>
    <w:rsid w:val="00166F3B"/>
    <w:rsid w:val="00167EBA"/>
    <w:rsid w:val="00170C12"/>
    <w:rsid w:val="00171083"/>
    <w:rsid w:val="00173710"/>
    <w:rsid w:val="001739C1"/>
    <w:rsid w:val="001763EB"/>
    <w:rsid w:val="00176631"/>
    <w:rsid w:val="00177686"/>
    <w:rsid w:val="00177942"/>
    <w:rsid w:val="00177B57"/>
    <w:rsid w:val="001821E2"/>
    <w:rsid w:val="001826AC"/>
    <w:rsid w:val="00182EE7"/>
    <w:rsid w:val="001844B3"/>
    <w:rsid w:val="0018515F"/>
    <w:rsid w:val="001910FC"/>
    <w:rsid w:val="00191AD8"/>
    <w:rsid w:val="00191FB1"/>
    <w:rsid w:val="00193512"/>
    <w:rsid w:val="00193FAD"/>
    <w:rsid w:val="00195304"/>
    <w:rsid w:val="001A0010"/>
    <w:rsid w:val="001A27B3"/>
    <w:rsid w:val="001A3022"/>
    <w:rsid w:val="001A3B84"/>
    <w:rsid w:val="001A4348"/>
    <w:rsid w:val="001A6528"/>
    <w:rsid w:val="001B1593"/>
    <w:rsid w:val="001B1760"/>
    <w:rsid w:val="001B365F"/>
    <w:rsid w:val="001B407B"/>
    <w:rsid w:val="001B5607"/>
    <w:rsid w:val="001B6C3E"/>
    <w:rsid w:val="001C0582"/>
    <w:rsid w:val="001C1A59"/>
    <w:rsid w:val="001C31AA"/>
    <w:rsid w:val="001C4011"/>
    <w:rsid w:val="001C6C3C"/>
    <w:rsid w:val="001D062E"/>
    <w:rsid w:val="001D3E12"/>
    <w:rsid w:val="001D4B3F"/>
    <w:rsid w:val="001D55B0"/>
    <w:rsid w:val="001D5737"/>
    <w:rsid w:val="001D5F4A"/>
    <w:rsid w:val="001D71F7"/>
    <w:rsid w:val="001E260C"/>
    <w:rsid w:val="001E2656"/>
    <w:rsid w:val="001E4A0C"/>
    <w:rsid w:val="001F2530"/>
    <w:rsid w:val="001F35E8"/>
    <w:rsid w:val="001F37C7"/>
    <w:rsid w:val="001F385B"/>
    <w:rsid w:val="001F515D"/>
    <w:rsid w:val="00200284"/>
    <w:rsid w:val="00200FFD"/>
    <w:rsid w:val="0020167D"/>
    <w:rsid w:val="0020171E"/>
    <w:rsid w:val="00202F94"/>
    <w:rsid w:val="00205A2A"/>
    <w:rsid w:val="002108D8"/>
    <w:rsid w:val="0021412D"/>
    <w:rsid w:val="002148F5"/>
    <w:rsid w:val="002164BC"/>
    <w:rsid w:val="00216ACF"/>
    <w:rsid w:val="002213F4"/>
    <w:rsid w:val="00221BB5"/>
    <w:rsid w:val="00223902"/>
    <w:rsid w:val="00223F99"/>
    <w:rsid w:val="002254AC"/>
    <w:rsid w:val="00226615"/>
    <w:rsid w:val="00230CDF"/>
    <w:rsid w:val="00233E6A"/>
    <w:rsid w:val="00236FCC"/>
    <w:rsid w:val="00237E77"/>
    <w:rsid w:val="00241322"/>
    <w:rsid w:val="002427D4"/>
    <w:rsid w:val="00243CB6"/>
    <w:rsid w:val="00245A5B"/>
    <w:rsid w:val="00245EDB"/>
    <w:rsid w:val="00246B40"/>
    <w:rsid w:val="00247780"/>
    <w:rsid w:val="00251591"/>
    <w:rsid w:val="00251984"/>
    <w:rsid w:val="0025204D"/>
    <w:rsid w:val="0025208A"/>
    <w:rsid w:val="0025381D"/>
    <w:rsid w:val="002651CE"/>
    <w:rsid w:val="00265A2F"/>
    <w:rsid w:val="00272C10"/>
    <w:rsid w:val="00274A66"/>
    <w:rsid w:val="002753EB"/>
    <w:rsid w:val="00275E19"/>
    <w:rsid w:val="00276715"/>
    <w:rsid w:val="00277A4D"/>
    <w:rsid w:val="00280304"/>
    <w:rsid w:val="002813C6"/>
    <w:rsid w:val="002817E9"/>
    <w:rsid w:val="00282C54"/>
    <w:rsid w:val="00286437"/>
    <w:rsid w:val="00292C01"/>
    <w:rsid w:val="00293684"/>
    <w:rsid w:val="00295A6C"/>
    <w:rsid w:val="00296295"/>
    <w:rsid w:val="00297E37"/>
    <w:rsid w:val="002B0776"/>
    <w:rsid w:val="002B090C"/>
    <w:rsid w:val="002B0BAB"/>
    <w:rsid w:val="002B1FF4"/>
    <w:rsid w:val="002B2498"/>
    <w:rsid w:val="002C1E58"/>
    <w:rsid w:val="002C2B3E"/>
    <w:rsid w:val="002C4909"/>
    <w:rsid w:val="002C5ADA"/>
    <w:rsid w:val="002C5F07"/>
    <w:rsid w:val="002D0C83"/>
    <w:rsid w:val="002D0F5E"/>
    <w:rsid w:val="002D1647"/>
    <w:rsid w:val="002D5F6C"/>
    <w:rsid w:val="002D76F7"/>
    <w:rsid w:val="002E0EAF"/>
    <w:rsid w:val="002E2182"/>
    <w:rsid w:val="002E2E74"/>
    <w:rsid w:val="002E448B"/>
    <w:rsid w:val="002E472C"/>
    <w:rsid w:val="002E7452"/>
    <w:rsid w:val="002F0002"/>
    <w:rsid w:val="002F1E3B"/>
    <w:rsid w:val="002F40E5"/>
    <w:rsid w:val="002F5865"/>
    <w:rsid w:val="00300EC1"/>
    <w:rsid w:val="003027F8"/>
    <w:rsid w:val="003061DB"/>
    <w:rsid w:val="00306F26"/>
    <w:rsid w:val="003070E1"/>
    <w:rsid w:val="00307D91"/>
    <w:rsid w:val="0031268B"/>
    <w:rsid w:val="0031420B"/>
    <w:rsid w:val="003148D4"/>
    <w:rsid w:val="00314A4D"/>
    <w:rsid w:val="00316757"/>
    <w:rsid w:val="003212E0"/>
    <w:rsid w:val="00323481"/>
    <w:rsid w:val="003251ED"/>
    <w:rsid w:val="0032555B"/>
    <w:rsid w:val="0032620E"/>
    <w:rsid w:val="00326854"/>
    <w:rsid w:val="003322E2"/>
    <w:rsid w:val="00332B5D"/>
    <w:rsid w:val="003335F4"/>
    <w:rsid w:val="0033433A"/>
    <w:rsid w:val="00334533"/>
    <w:rsid w:val="00335072"/>
    <w:rsid w:val="0033537F"/>
    <w:rsid w:val="003358C4"/>
    <w:rsid w:val="00336473"/>
    <w:rsid w:val="00340947"/>
    <w:rsid w:val="00342987"/>
    <w:rsid w:val="00342994"/>
    <w:rsid w:val="00351BFD"/>
    <w:rsid w:val="00353F97"/>
    <w:rsid w:val="003552D5"/>
    <w:rsid w:val="00355E29"/>
    <w:rsid w:val="0035777C"/>
    <w:rsid w:val="00361BBB"/>
    <w:rsid w:val="003629B6"/>
    <w:rsid w:val="00362C67"/>
    <w:rsid w:val="00365570"/>
    <w:rsid w:val="00366EF5"/>
    <w:rsid w:val="00371660"/>
    <w:rsid w:val="003719F4"/>
    <w:rsid w:val="0037411F"/>
    <w:rsid w:val="00376769"/>
    <w:rsid w:val="00377AA0"/>
    <w:rsid w:val="00381D90"/>
    <w:rsid w:val="00382BE6"/>
    <w:rsid w:val="00386431"/>
    <w:rsid w:val="00386634"/>
    <w:rsid w:val="0039303D"/>
    <w:rsid w:val="00394669"/>
    <w:rsid w:val="00397B7C"/>
    <w:rsid w:val="00397CFE"/>
    <w:rsid w:val="003A09DC"/>
    <w:rsid w:val="003A18D2"/>
    <w:rsid w:val="003A4964"/>
    <w:rsid w:val="003A629B"/>
    <w:rsid w:val="003A7D90"/>
    <w:rsid w:val="003B0740"/>
    <w:rsid w:val="003B68FA"/>
    <w:rsid w:val="003C0E2F"/>
    <w:rsid w:val="003C3DF6"/>
    <w:rsid w:val="003C6909"/>
    <w:rsid w:val="003C7E35"/>
    <w:rsid w:val="003D05C1"/>
    <w:rsid w:val="003D1076"/>
    <w:rsid w:val="003D2798"/>
    <w:rsid w:val="003D280B"/>
    <w:rsid w:val="003D5FD7"/>
    <w:rsid w:val="003E0861"/>
    <w:rsid w:val="003E1173"/>
    <w:rsid w:val="003E1A8E"/>
    <w:rsid w:val="003E5678"/>
    <w:rsid w:val="003E586F"/>
    <w:rsid w:val="003E5F07"/>
    <w:rsid w:val="003F0C92"/>
    <w:rsid w:val="003F1BD4"/>
    <w:rsid w:val="003F41DB"/>
    <w:rsid w:val="003F5E3B"/>
    <w:rsid w:val="003F688F"/>
    <w:rsid w:val="003F7959"/>
    <w:rsid w:val="00400213"/>
    <w:rsid w:val="00401659"/>
    <w:rsid w:val="0040319A"/>
    <w:rsid w:val="00403668"/>
    <w:rsid w:val="00406686"/>
    <w:rsid w:val="004069EE"/>
    <w:rsid w:val="004144CF"/>
    <w:rsid w:val="00420267"/>
    <w:rsid w:val="00420D3B"/>
    <w:rsid w:val="0042102E"/>
    <w:rsid w:val="00427B61"/>
    <w:rsid w:val="0043222A"/>
    <w:rsid w:val="00432A95"/>
    <w:rsid w:val="00434A40"/>
    <w:rsid w:val="0043591B"/>
    <w:rsid w:val="00437305"/>
    <w:rsid w:val="00441FBA"/>
    <w:rsid w:val="0044244D"/>
    <w:rsid w:val="00443790"/>
    <w:rsid w:val="00444647"/>
    <w:rsid w:val="0044759C"/>
    <w:rsid w:val="00450E35"/>
    <w:rsid w:val="0045198B"/>
    <w:rsid w:val="004547D6"/>
    <w:rsid w:val="00456ABD"/>
    <w:rsid w:val="00460996"/>
    <w:rsid w:val="004622DB"/>
    <w:rsid w:val="00462F34"/>
    <w:rsid w:val="00463AD9"/>
    <w:rsid w:val="004640E0"/>
    <w:rsid w:val="00464542"/>
    <w:rsid w:val="00471629"/>
    <w:rsid w:val="004743A7"/>
    <w:rsid w:val="00474DD2"/>
    <w:rsid w:val="0047539D"/>
    <w:rsid w:val="0047541A"/>
    <w:rsid w:val="00475968"/>
    <w:rsid w:val="00475F45"/>
    <w:rsid w:val="00476237"/>
    <w:rsid w:val="00477F65"/>
    <w:rsid w:val="00480A0C"/>
    <w:rsid w:val="004813EC"/>
    <w:rsid w:val="00483007"/>
    <w:rsid w:val="004838AF"/>
    <w:rsid w:val="00486B4D"/>
    <w:rsid w:val="00490186"/>
    <w:rsid w:val="00490E16"/>
    <w:rsid w:val="004920E4"/>
    <w:rsid w:val="0049389A"/>
    <w:rsid w:val="00494E36"/>
    <w:rsid w:val="00495685"/>
    <w:rsid w:val="004A0318"/>
    <w:rsid w:val="004A2BE9"/>
    <w:rsid w:val="004A3782"/>
    <w:rsid w:val="004A530A"/>
    <w:rsid w:val="004A64EE"/>
    <w:rsid w:val="004A72F2"/>
    <w:rsid w:val="004B2BB0"/>
    <w:rsid w:val="004B56C7"/>
    <w:rsid w:val="004B6E6C"/>
    <w:rsid w:val="004C070C"/>
    <w:rsid w:val="004C1E2D"/>
    <w:rsid w:val="004C46B2"/>
    <w:rsid w:val="004C4BAC"/>
    <w:rsid w:val="004C6D27"/>
    <w:rsid w:val="004D06F7"/>
    <w:rsid w:val="004D1456"/>
    <w:rsid w:val="004D4C19"/>
    <w:rsid w:val="004D5CD7"/>
    <w:rsid w:val="004D746D"/>
    <w:rsid w:val="004E13A0"/>
    <w:rsid w:val="004E1A1B"/>
    <w:rsid w:val="004E2A01"/>
    <w:rsid w:val="004E4074"/>
    <w:rsid w:val="004E591B"/>
    <w:rsid w:val="004F0BEB"/>
    <w:rsid w:val="004F259C"/>
    <w:rsid w:val="004F27B3"/>
    <w:rsid w:val="004F3B89"/>
    <w:rsid w:val="004F5E2A"/>
    <w:rsid w:val="004F6141"/>
    <w:rsid w:val="004F62F8"/>
    <w:rsid w:val="004F68E5"/>
    <w:rsid w:val="004F7B16"/>
    <w:rsid w:val="00501249"/>
    <w:rsid w:val="00501859"/>
    <w:rsid w:val="005061CA"/>
    <w:rsid w:val="00510D3E"/>
    <w:rsid w:val="00510EE2"/>
    <w:rsid w:val="005134FD"/>
    <w:rsid w:val="005146C0"/>
    <w:rsid w:val="00517046"/>
    <w:rsid w:val="00517E0D"/>
    <w:rsid w:val="00520D6B"/>
    <w:rsid w:val="005231C4"/>
    <w:rsid w:val="00523544"/>
    <w:rsid w:val="0053074B"/>
    <w:rsid w:val="00535C78"/>
    <w:rsid w:val="0054053E"/>
    <w:rsid w:val="00544376"/>
    <w:rsid w:val="00544AA7"/>
    <w:rsid w:val="00546916"/>
    <w:rsid w:val="00551EA3"/>
    <w:rsid w:val="00552D96"/>
    <w:rsid w:val="00553BC7"/>
    <w:rsid w:val="00556083"/>
    <w:rsid w:val="0055613E"/>
    <w:rsid w:val="0056570A"/>
    <w:rsid w:val="0056742F"/>
    <w:rsid w:val="00572D45"/>
    <w:rsid w:val="00574373"/>
    <w:rsid w:val="0057772F"/>
    <w:rsid w:val="00577A21"/>
    <w:rsid w:val="00577BC0"/>
    <w:rsid w:val="005823B4"/>
    <w:rsid w:val="0058529E"/>
    <w:rsid w:val="005861B0"/>
    <w:rsid w:val="00592012"/>
    <w:rsid w:val="00592880"/>
    <w:rsid w:val="00593666"/>
    <w:rsid w:val="00594BFA"/>
    <w:rsid w:val="005A01CE"/>
    <w:rsid w:val="005A363C"/>
    <w:rsid w:val="005A5A2F"/>
    <w:rsid w:val="005A700B"/>
    <w:rsid w:val="005A79CF"/>
    <w:rsid w:val="005B2D70"/>
    <w:rsid w:val="005B3CA3"/>
    <w:rsid w:val="005B5256"/>
    <w:rsid w:val="005B566B"/>
    <w:rsid w:val="005B7BE9"/>
    <w:rsid w:val="005C06E0"/>
    <w:rsid w:val="005C4C39"/>
    <w:rsid w:val="005C4C84"/>
    <w:rsid w:val="005C6106"/>
    <w:rsid w:val="005C67F5"/>
    <w:rsid w:val="005C6C79"/>
    <w:rsid w:val="005C722C"/>
    <w:rsid w:val="005D00C2"/>
    <w:rsid w:val="005D1BB7"/>
    <w:rsid w:val="005D2F3F"/>
    <w:rsid w:val="005D5EA2"/>
    <w:rsid w:val="005E3898"/>
    <w:rsid w:val="005E50DE"/>
    <w:rsid w:val="005F08CB"/>
    <w:rsid w:val="005F0EE3"/>
    <w:rsid w:val="005F0FB7"/>
    <w:rsid w:val="005F3231"/>
    <w:rsid w:val="005F4873"/>
    <w:rsid w:val="005F4C2F"/>
    <w:rsid w:val="005F4FFA"/>
    <w:rsid w:val="005F59D2"/>
    <w:rsid w:val="005F5DC5"/>
    <w:rsid w:val="005F78FA"/>
    <w:rsid w:val="00601705"/>
    <w:rsid w:val="00606CAF"/>
    <w:rsid w:val="00611EB6"/>
    <w:rsid w:val="00612F04"/>
    <w:rsid w:val="00613986"/>
    <w:rsid w:val="00614D23"/>
    <w:rsid w:val="00615323"/>
    <w:rsid w:val="00617E87"/>
    <w:rsid w:val="006201A8"/>
    <w:rsid w:val="00623DC5"/>
    <w:rsid w:val="006247AB"/>
    <w:rsid w:val="0062518D"/>
    <w:rsid w:val="0062749A"/>
    <w:rsid w:val="0063014C"/>
    <w:rsid w:val="00630300"/>
    <w:rsid w:val="00632FA9"/>
    <w:rsid w:val="0063519F"/>
    <w:rsid w:val="0063668A"/>
    <w:rsid w:val="006376DD"/>
    <w:rsid w:val="006412B3"/>
    <w:rsid w:val="0064239F"/>
    <w:rsid w:val="0064272D"/>
    <w:rsid w:val="00646F3A"/>
    <w:rsid w:val="00650741"/>
    <w:rsid w:val="00652CAC"/>
    <w:rsid w:val="006548F3"/>
    <w:rsid w:val="006560F9"/>
    <w:rsid w:val="006562E5"/>
    <w:rsid w:val="006570D1"/>
    <w:rsid w:val="0066166F"/>
    <w:rsid w:val="006649BF"/>
    <w:rsid w:val="006657B6"/>
    <w:rsid w:val="0066595D"/>
    <w:rsid w:val="00665E23"/>
    <w:rsid w:val="00671676"/>
    <w:rsid w:val="0067620D"/>
    <w:rsid w:val="0067634E"/>
    <w:rsid w:val="00680317"/>
    <w:rsid w:val="006818D0"/>
    <w:rsid w:val="00682A2E"/>
    <w:rsid w:val="0068518B"/>
    <w:rsid w:val="006868A2"/>
    <w:rsid w:val="00690639"/>
    <w:rsid w:val="00691851"/>
    <w:rsid w:val="00691E7E"/>
    <w:rsid w:val="00694CED"/>
    <w:rsid w:val="006957CC"/>
    <w:rsid w:val="00695BA6"/>
    <w:rsid w:val="006A1E5A"/>
    <w:rsid w:val="006A3474"/>
    <w:rsid w:val="006A46AC"/>
    <w:rsid w:val="006A7240"/>
    <w:rsid w:val="006A7CE6"/>
    <w:rsid w:val="006B311D"/>
    <w:rsid w:val="006B362D"/>
    <w:rsid w:val="006B58F0"/>
    <w:rsid w:val="006B6030"/>
    <w:rsid w:val="006B7F2F"/>
    <w:rsid w:val="006B7FDD"/>
    <w:rsid w:val="006C2D10"/>
    <w:rsid w:val="006C4B8E"/>
    <w:rsid w:val="006C57C8"/>
    <w:rsid w:val="006C630E"/>
    <w:rsid w:val="006C728E"/>
    <w:rsid w:val="006D406F"/>
    <w:rsid w:val="006D51CE"/>
    <w:rsid w:val="006D6E6B"/>
    <w:rsid w:val="006D7A06"/>
    <w:rsid w:val="006E03CB"/>
    <w:rsid w:val="006E14C4"/>
    <w:rsid w:val="006E2A1B"/>
    <w:rsid w:val="006E3775"/>
    <w:rsid w:val="006E757F"/>
    <w:rsid w:val="006F18D3"/>
    <w:rsid w:val="006F3B16"/>
    <w:rsid w:val="006F44E5"/>
    <w:rsid w:val="0070183A"/>
    <w:rsid w:val="007033E8"/>
    <w:rsid w:val="007059D4"/>
    <w:rsid w:val="00707017"/>
    <w:rsid w:val="00707723"/>
    <w:rsid w:val="00710B93"/>
    <w:rsid w:val="00711AAE"/>
    <w:rsid w:val="007133C5"/>
    <w:rsid w:val="007167D3"/>
    <w:rsid w:val="00724A60"/>
    <w:rsid w:val="00724D1A"/>
    <w:rsid w:val="007251F6"/>
    <w:rsid w:val="00726516"/>
    <w:rsid w:val="00727B9C"/>
    <w:rsid w:val="0073061D"/>
    <w:rsid w:val="0073152D"/>
    <w:rsid w:val="00731E97"/>
    <w:rsid w:val="00732570"/>
    <w:rsid w:val="007334A6"/>
    <w:rsid w:val="00734E64"/>
    <w:rsid w:val="00734F5B"/>
    <w:rsid w:val="00741B8B"/>
    <w:rsid w:val="00742F53"/>
    <w:rsid w:val="00744D59"/>
    <w:rsid w:val="007465AB"/>
    <w:rsid w:val="0075094B"/>
    <w:rsid w:val="00751C7B"/>
    <w:rsid w:val="00753DB1"/>
    <w:rsid w:val="007549BA"/>
    <w:rsid w:val="00755C1E"/>
    <w:rsid w:val="00760FDB"/>
    <w:rsid w:val="00763AF9"/>
    <w:rsid w:val="00764354"/>
    <w:rsid w:val="00764D90"/>
    <w:rsid w:val="00765726"/>
    <w:rsid w:val="00766199"/>
    <w:rsid w:val="00766750"/>
    <w:rsid w:val="007672D3"/>
    <w:rsid w:val="00770392"/>
    <w:rsid w:val="00770BFB"/>
    <w:rsid w:val="00771366"/>
    <w:rsid w:val="00773442"/>
    <w:rsid w:val="0077382C"/>
    <w:rsid w:val="00775B88"/>
    <w:rsid w:val="0077702C"/>
    <w:rsid w:val="00780041"/>
    <w:rsid w:val="00780C09"/>
    <w:rsid w:val="00782730"/>
    <w:rsid w:val="007827A9"/>
    <w:rsid w:val="00784554"/>
    <w:rsid w:val="007847AE"/>
    <w:rsid w:val="007848A9"/>
    <w:rsid w:val="007906AF"/>
    <w:rsid w:val="00790969"/>
    <w:rsid w:val="007937F1"/>
    <w:rsid w:val="00793B4D"/>
    <w:rsid w:val="00793EC1"/>
    <w:rsid w:val="00794665"/>
    <w:rsid w:val="00794E5B"/>
    <w:rsid w:val="00795AD3"/>
    <w:rsid w:val="007966D7"/>
    <w:rsid w:val="00796A49"/>
    <w:rsid w:val="00796CB6"/>
    <w:rsid w:val="007972B2"/>
    <w:rsid w:val="007A0E72"/>
    <w:rsid w:val="007A1F89"/>
    <w:rsid w:val="007A2F7A"/>
    <w:rsid w:val="007A3032"/>
    <w:rsid w:val="007A4BF3"/>
    <w:rsid w:val="007A6A52"/>
    <w:rsid w:val="007B0224"/>
    <w:rsid w:val="007B068E"/>
    <w:rsid w:val="007B20C7"/>
    <w:rsid w:val="007B3664"/>
    <w:rsid w:val="007B439C"/>
    <w:rsid w:val="007B5921"/>
    <w:rsid w:val="007B6287"/>
    <w:rsid w:val="007B798C"/>
    <w:rsid w:val="007C2EE4"/>
    <w:rsid w:val="007C3A45"/>
    <w:rsid w:val="007C4626"/>
    <w:rsid w:val="007C59FE"/>
    <w:rsid w:val="007C61AB"/>
    <w:rsid w:val="007C69B9"/>
    <w:rsid w:val="007C6D09"/>
    <w:rsid w:val="007C7979"/>
    <w:rsid w:val="007D01AA"/>
    <w:rsid w:val="007D0D75"/>
    <w:rsid w:val="007D1160"/>
    <w:rsid w:val="007D266E"/>
    <w:rsid w:val="007D2838"/>
    <w:rsid w:val="007D2EAD"/>
    <w:rsid w:val="007D3CB4"/>
    <w:rsid w:val="007D549A"/>
    <w:rsid w:val="007D6DE7"/>
    <w:rsid w:val="007E2DAF"/>
    <w:rsid w:val="007E2DE5"/>
    <w:rsid w:val="007E2F26"/>
    <w:rsid w:val="007E524A"/>
    <w:rsid w:val="007E6FBE"/>
    <w:rsid w:val="007F2129"/>
    <w:rsid w:val="007F4508"/>
    <w:rsid w:val="0080014E"/>
    <w:rsid w:val="00800E55"/>
    <w:rsid w:val="00801C39"/>
    <w:rsid w:val="00802990"/>
    <w:rsid w:val="008063C6"/>
    <w:rsid w:val="0081207C"/>
    <w:rsid w:val="00815744"/>
    <w:rsid w:val="00815E6C"/>
    <w:rsid w:val="00820F53"/>
    <w:rsid w:val="00821B63"/>
    <w:rsid w:val="008227A0"/>
    <w:rsid w:val="00823E2A"/>
    <w:rsid w:val="0082559B"/>
    <w:rsid w:val="008269B0"/>
    <w:rsid w:val="0082787E"/>
    <w:rsid w:val="00831E22"/>
    <w:rsid w:val="00831E92"/>
    <w:rsid w:val="00831ED4"/>
    <w:rsid w:val="00832C45"/>
    <w:rsid w:val="0083549E"/>
    <w:rsid w:val="00835754"/>
    <w:rsid w:val="00836656"/>
    <w:rsid w:val="00837CF6"/>
    <w:rsid w:val="0084012E"/>
    <w:rsid w:val="00841741"/>
    <w:rsid w:val="00842C97"/>
    <w:rsid w:val="00844F2E"/>
    <w:rsid w:val="008455C9"/>
    <w:rsid w:val="00852DEB"/>
    <w:rsid w:val="00854262"/>
    <w:rsid w:val="0086667D"/>
    <w:rsid w:val="008671BB"/>
    <w:rsid w:val="008715A0"/>
    <w:rsid w:val="00872CDE"/>
    <w:rsid w:val="008747F6"/>
    <w:rsid w:val="00874C5D"/>
    <w:rsid w:val="00875B3B"/>
    <w:rsid w:val="00877557"/>
    <w:rsid w:val="008814A2"/>
    <w:rsid w:val="0088182E"/>
    <w:rsid w:val="008832BF"/>
    <w:rsid w:val="00883721"/>
    <w:rsid w:val="00883EC5"/>
    <w:rsid w:val="008854CB"/>
    <w:rsid w:val="00887E87"/>
    <w:rsid w:val="0089055F"/>
    <w:rsid w:val="00891B56"/>
    <w:rsid w:val="00891FEB"/>
    <w:rsid w:val="0089417C"/>
    <w:rsid w:val="00894E16"/>
    <w:rsid w:val="00897074"/>
    <w:rsid w:val="008A1647"/>
    <w:rsid w:val="008A34BE"/>
    <w:rsid w:val="008A3926"/>
    <w:rsid w:val="008A3E22"/>
    <w:rsid w:val="008A3F6B"/>
    <w:rsid w:val="008A4B1E"/>
    <w:rsid w:val="008A769C"/>
    <w:rsid w:val="008A7F6F"/>
    <w:rsid w:val="008B2DF5"/>
    <w:rsid w:val="008B3691"/>
    <w:rsid w:val="008B4C5B"/>
    <w:rsid w:val="008B51C8"/>
    <w:rsid w:val="008B7B40"/>
    <w:rsid w:val="008C5A07"/>
    <w:rsid w:val="008C7853"/>
    <w:rsid w:val="008D1101"/>
    <w:rsid w:val="008D113B"/>
    <w:rsid w:val="008D2944"/>
    <w:rsid w:val="008D2D96"/>
    <w:rsid w:val="008D3F5A"/>
    <w:rsid w:val="008D46C4"/>
    <w:rsid w:val="008D4AFE"/>
    <w:rsid w:val="008D628B"/>
    <w:rsid w:val="008D6DE4"/>
    <w:rsid w:val="008D7387"/>
    <w:rsid w:val="008E07DD"/>
    <w:rsid w:val="008E412C"/>
    <w:rsid w:val="008E423F"/>
    <w:rsid w:val="008E62BF"/>
    <w:rsid w:val="008E7F6B"/>
    <w:rsid w:val="008F241F"/>
    <w:rsid w:val="008F50B4"/>
    <w:rsid w:val="008F6622"/>
    <w:rsid w:val="00900935"/>
    <w:rsid w:val="00900BC9"/>
    <w:rsid w:val="00901C58"/>
    <w:rsid w:val="00903655"/>
    <w:rsid w:val="00903DEC"/>
    <w:rsid w:val="009042B5"/>
    <w:rsid w:val="009043B7"/>
    <w:rsid w:val="00906845"/>
    <w:rsid w:val="00906B88"/>
    <w:rsid w:val="0090776B"/>
    <w:rsid w:val="0091286F"/>
    <w:rsid w:val="00914587"/>
    <w:rsid w:val="009145AF"/>
    <w:rsid w:val="00914703"/>
    <w:rsid w:val="00914E41"/>
    <w:rsid w:val="00914EDA"/>
    <w:rsid w:val="00915F42"/>
    <w:rsid w:val="00921F6F"/>
    <w:rsid w:val="00922243"/>
    <w:rsid w:val="00922DFA"/>
    <w:rsid w:val="00924EA0"/>
    <w:rsid w:val="00925BA0"/>
    <w:rsid w:val="0092680A"/>
    <w:rsid w:val="00927AC1"/>
    <w:rsid w:val="009331C8"/>
    <w:rsid w:val="00934AFC"/>
    <w:rsid w:val="00935751"/>
    <w:rsid w:val="009375BA"/>
    <w:rsid w:val="009377BC"/>
    <w:rsid w:val="00937964"/>
    <w:rsid w:val="00937A62"/>
    <w:rsid w:val="00941A07"/>
    <w:rsid w:val="009425BC"/>
    <w:rsid w:val="00942E72"/>
    <w:rsid w:val="0094362F"/>
    <w:rsid w:val="00943672"/>
    <w:rsid w:val="00952BC4"/>
    <w:rsid w:val="0095459F"/>
    <w:rsid w:val="00955468"/>
    <w:rsid w:val="00957B0A"/>
    <w:rsid w:val="00960299"/>
    <w:rsid w:val="00962F33"/>
    <w:rsid w:val="0096388B"/>
    <w:rsid w:val="0096615E"/>
    <w:rsid w:val="00966384"/>
    <w:rsid w:val="00966E29"/>
    <w:rsid w:val="00967F8C"/>
    <w:rsid w:val="00970DF7"/>
    <w:rsid w:val="0097456C"/>
    <w:rsid w:val="00976EC9"/>
    <w:rsid w:val="009814F4"/>
    <w:rsid w:val="00985B8C"/>
    <w:rsid w:val="009874E2"/>
    <w:rsid w:val="00992718"/>
    <w:rsid w:val="009952D7"/>
    <w:rsid w:val="00996091"/>
    <w:rsid w:val="0099734B"/>
    <w:rsid w:val="00997F03"/>
    <w:rsid w:val="009A4B1A"/>
    <w:rsid w:val="009A4D83"/>
    <w:rsid w:val="009B13F2"/>
    <w:rsid w:val="009B1C4D"/>
    <w:rsid w:val="009B2218"/>
    <w:rsid w:val="009B5609"/>
    <w:rsid w:val="009B67A9"/>
    <w:rsid w:val="009C0E08"/>
    <w:rsid w:val="009C419B"/>
    <w:rsid w:val="009C7242"/>
    <w:rsid w:val="009C7CD7"/>
    <w:rsid w:val="009D2848"/>
    <w:rsid w:val="009D5AC6"/>
    <w:rsid w:val="009E1251"/>
    <w:rsid w:val="009E2F69"/>
    <w:rsid w:val="009E31D7"/>
    <w:rsid w:val="009E6A4A"/>
    <w:rsid w:val="009F0904"/>
    <w:rsid w:val="009F1913"/>
    <w:rsid w:val="009F1BA2"/>
    <w:rsid w:val="009F5514"/>
    <w:rsid w:val="009F717E"/>
    <w:rsid w:val="00A0056D"/>
    <w:rsid w:val="00A00BD7"/>
    <w:rsid w:val="00A01AEE"/>
    <w:rsid w:val="00A055BD"/>
    <w:rsid w:val="00A06AF1"/>
    <w:rsid w:val="00A11D81"/>
    <w:rsid w:val="00A13A40"/>
    <w:rsid w:val="00A16A32"/>
    <w:rsid w:val="00A17420"/>
    <w:rsid w:val="00A2645F"/>
    <w:rsid w:val="00A27C75"/>
    <w:rsid w:val="00A40E16"/>
    <w:rsid w:val="00A419D0"/>
    <w:rsid w:val="00A41E4A"/>
    <w:rsid w:val="00A43A47"/>
    <w:rsid w:val="00A44FEA"/>
    <w:rsid w:val="00A456F4"/>
    <w:rsid w:val="00A46284"/>
    <w:rsid w:val="00A46678"/>
    <w:rsid w:val="00A53369"/>
    <w:rsid w:val="00A53A59"/>
    <w:rsid w:val="00A57970"/>
    <w:rsid w:val="00A57A6F"/>
    <w:rsid w:val="00A6187D"/>
    <w:rsid w:val="00A63E20"/>
    <w:rsid w:val="00A6475B"/>
    <w:rsid w:val="00A72AF1"/>
    <w:rsid w:val="00A7359A"/>
    <w:rsid w:val="00A742F0"/>
    <w:rsid w:val="00A75BBB"/>
    <w:rsid w:val="00A80102"/>
    <w:rsid w:val="00A80D93"/>
    <w:rsid w:val="00A80E94"/>
    <w:rsid w:val="00A8135D"/>
    <w:rsid w:val="00A83AF4"/>
    <w:rsid w:val="00A83C72"/>
    <w:rsid w:val="00A861DD"/>
    <w:rsid w:val="00A8756D"/>
    <w:rsid w:val="00A90C66"/>
    <w:rsid w:val="00A92BDF"/>
    <w:rsid w:val="00A93AFE"/>
    <w:rsid w:val="00A93D2C"/>
    <w:rsid w:val="00A94A3B"/>
    <w:rsid w:val="00A96DD3"/>
    <w:rsid w:val="00A97013"/>
    <w:rsid w:val="00AA0DF9"/>
    <w:rsid w:val="00AA1035"/>
    <w:rsid w:val="00AA2071"/>
    <w:rsid w:val="00AA44E9"/>
    <w:rsid w:val="00AA7B39"/>
    <w:rsid w:val="00AB17D3"/>
    <w:rsid w:val="00AB4920"/>
    <w:rsid w:val="00AC0702"/>
    <w:rsid w:val="00AC0895"/>
    <w:rsid w:val="00AC2065"/>
    <w:rsid w:val="00AC2493"/>
    <w:rsid w:val="00AC262D"/>
    <w:rsid w:val="00AC562E"/>
    <w:rsid w:val="00AC5F0C"/>
    <w:rsid w:val="00AC5F62"/>
    <w:rsid w:val="00AC645F"/>
    <w:rsid w:val="00AC698D"/>
    <w:rsid w:val="00AC7216"/>
    <w:rsid w:val="00AD1DD8"/>
    <w:rsid w:val="00AD6BFF"/>
    <w:rsid w:val="00AD76B1"/>
    <w:rsid w:val="00AE0640"/>
    <w:rsid w:val="00AE40BB"/>
    <w:rsid w:val="00AE44C1"/>
    <w:rsid w:val="00AE4B0E"/>
    <w:rsid w:val="00AF277B"/>
    <w:rsid w:val="00AF33CC"/>
    <w:rsid w:val="00AF7B02"/>
    <w:rsid w:val="00B0149C"/>
    <w:rsid w:val="00B0623B"/>
    <w:rsid w:val="00B07AA7"/>
    <w:rsid w:val="00B1468F"/>
    <w:rsid w:val="00B203F7"/>
    <w:rsid w:val="00B225C0"/>
    <w:rsid w:val="00B23177"/>
    <w:rsid w:val="00B23D72"/>
    <w:rsid w:val="00B2451E"/>
    <w:rsid w:val="00B2550D"/>
    <w:rsid w:val="00B257E4"/>
    <w:rsid w:val="00B2599B"/>
    <w:rsid w:val="00B2726C"/>
    <w:rsid w:val="00B272CB"/>
    <w:rsid w:val="00B30BAB"/>
    <w:rsid w:val="00B3132C"/>
    <w:rsid w:val="00B33BE8"/>
    <w:rsid w:val="00B351F3"/>
    <w:rsid w:val="00B3574C"/>
    <w:rsid w:val="00B3672E"/>
    <w:rsid w:val="00B451B7"/>
    <w:rsid w:val="00B466B8"/>
    <w:rsid w:val="00B53CD2"/>
    <w:rsid w:val="00B579BA"/>
    <w:rsid w:val="00B60304"/>
    <w:rsid w:val="00B61230"/>
    <w:rsid w:val="00B61F9E"/>
    <w:rsid w:val="00B63D8F"/>
    <w:rsid w:val="00B642C0"/>
    <w:rsid w:val="00B66B36"/>
    <w:rsid w:val="00B6783E"/>
    <w:rsid w:val="00B704A8"/>
    <w:rsid w:val="00B747DF"/>
    <w:rsid w:val="00B76F7F"/>
    <w:rsid w:val="00B77272"/>
    <w:rsid w:val="00B80504"/>
    <w:rsid w:val="00B83638"/>
    <w:rsid w:val="00B83F7F"/>
    <w:rsid w:val="00B85EF8"/>
    <w:rsid w:val="00B917A0"/>
    <w:rsid w:val="00B940C9"/>
    <w:rsid w:val="00B94E01"/>
    <w:rsid w:val="00B96A6F"/>
    <w:rsid w:val="00B976EC"/>
    <w:rsid w:val="00B97A01"/>
    <w:rsid w:val="00BA0095"/>
    <w:rsid w:val="00BA1813"/>
    <w:rsid w:val="00BA4AA7"/>
    <w:rsid w:val="00BA4F34"/>
    <w:rsid w:val="00BA5BC0"/>
    <w:rsid w:val="00BA5FD3"/>
    <w:rsid w:val="00BA6ADD"/>
    <w:rsid w:val="00BA6C01"/>
    <w:rsid w:val="00BB0DB3"/>
    <w:rsid w:val="00BB12BB"/>
    <w:rsid w:val="00BB21D6"/>
    <w:rsid w:val="00BC13FC"/>
    <w:rsid w:val="00BC1564"/>
    <w:rsid w:val="00BC30D0"/>
    <w:rsid w:val="00BC365E"/>
    <w:rsid w:val="00BC3BC7"/>
    <w:rsid w:val="00BC4695"/>
    <w:rsid w:val="00BC7BC2"/>
    <w:rsid w:val="00BC7CB4"/>
    <w:rsid w:val="00BC7DB4"/>
    <w:rsid w:val="00BD1C52"/>
    <w:rsid w:val="00BD4665"/>
    <w:rsid w:val="00BD46B7"/>
    <w:rsid w:val="00BD59D4"/>
    <w:rsid w:val="00BE1813"/>
    <w:rsid w:val="00BE31E9"/>
    <w:rsid w:val="00BE7F09"/>
    <w:rsid w:val="00BF0E6D"/>
    <w:rsid w:val="00BF14B8"/>
    <w:rsid w:val="00BF18E5"/>
    <w:rsid w:val="00BF3F44"/>
    <w:rsid w:val="00BF42D7"/>
    <w:rsid w:val="00C03A36"/>
    <w:rsid w:val="00C041BF"/>
    <w:rsid w:val="00C04C1E"/>
    <w:rsid w:val="00C05A8C"/>
    <w:rsid w:val="00C060EB"/>
    <w:rsid w:val="00C07EDE"/>
    <w:rsid w:val="00C11317"/>
    <w:rsid w:val="00C127DF"/>
    <w:rsid w:val="00C12876"/>
    <w:rsid w:val="00C12A57"/>
    <w:rsid w:val="00C14699"/>
    <w:rsid w:val="00C16CC3"/>
    <w:rsid w:val="00C20281"/>
    <w:rsid w:val="00C20BF3"/>
    <w:rsid w:val="00C2259A"/>
    <w:rsid w:val="00C23B51"/>
    <w:rsid w:val="00C23DFE"/>
    <w:rsid w:val="00C245DB"/>
    <w:rsid w:val="00C256B3"/>
    <w:rsid w:val="00C26CE2"/>
    <w:rsid w:val="00C30257"/>
    <w:rsid w:val="00C30982"/>
    <w:rsid w:val="00C32459"/>
    <w:rsid w:val="00C33A1A"/>
    <w:rsid w:val="00C3720D"/>
    <w:rsid w:val="00C379E6"/>
    <w:rsid w:val="00C416E0"/>
    <w:rsid w:val="00C41743"/>
    <w:rsid w:val="00C418D3"/>
    <w:rsid w:val="00C43529"/>
    <w:rsid w:val="00C45A79"/>
    <w:rsid w:val="00C45F27"/>
    <w:rsid w:val="00C467E8"/>
    <w:rsid w:val="00C474AC"/>
    <w:rsid w:val="00C477E9"/>
    <w:rsid w:val="00C520A9"/>
    <w:rsid w:val="00C529F4"/>
    <w:rsid w:val="00C628E2"/>
    <w:rsid w:val="00C62D3E"/>
    <w:rsid w:val="00C63166"/>
    <w:rsid w:val="00C63A78"/>
    <w:rsid w:val="00C6626D"/>
    <w:rsid w:val="00C66665"/>
    <w:rsid w:val="00C66B3C"/>
    <w:rsid w:val="00C676CF"/>
    <w:rsid w:val="00C743EF"/>
    <w:rsid w:val="00C7524C"/>
    <w:rsid w:val="00C76973"/>
    <w:rsid w:val="00C82AB4"/>
    <w:rsid w:val="00C85C18"/>
    <w:rsid w:val="00C866A5"/>
    <w:rsid w:val="00C8695B"/>
    <w:rsid w:val="00C91E95"/>
    <w:rsid w:val="00C93B34"/>
    <w:rsid w:val="00C95C1A"/>
    <w:rsid w:val="00C96103"/>
    <w:rsid w:val="00C96FE2"/>
    <w:rsid w:val="00CA43BE"/>
    <w:rsid w:val="00CA4D4A"/>
    <w:rsid w:val="00CB1156"/>
    <w:rsid w:val="00CC0199"/>
    <w:rsid w:val="00CC02FA"/>
    <w:rsid w:val="00CC1B26"/>
    <w:rsid w:val="00CC3F3D"/>
    <w:rsid w:val="00CD0DC6"/>
    <w:rsid w:val="00CD160E"/>
    <w:rsid w:val="00CD410B"/>
    <w:rsid w:val="00CD4760"/>
    <w:rsid w:val="00CD53A3"/>
    <w:rsid w:val="00CD7C2B"/>
    <w:rsid w:val="00CE1227"/>
    <w:rsid w:val="00CE309E"/>
    <w:rsid w:val="00CE6C6E"/>
    <w:rsid w:val="00CE774E"/>
    <w:rsid w:val="00CF1C53"/>
    <w:rsid w:val="00D01B1E"/>
    <w:rsid w:val="00D02BE1"/>
    <w:rsid w:val="00D02FFD"/>
    <w:rsid w:val="00D070C7"/>
    <w:rsid w:val="00D10599"/>
    <w:rsid w:val="00D1266D"/>
    <w:rsid w:val="00D12EF5"/>
    <w:rsid w:val="00D14074"/>
    <w:rsid w:val="00D15227"/>
    <w:rsid w:val="00D15444"/>
    <w:rsid w:val="00D16415"/>
    <w:rsid w:val="00D1746F"/>
    <w:rsid w:val="00D2239F"/>
    <w:rsid w:val="00D25086"/>
    <w:rsid w:val="00D26A1A"/>
    <w:rsid w:val="00D304AC"/>
    <w:rsid w:val="00D31548"/>
    <w:rsid w:val="00D31F39"/>
    <w:rsid w:val="00D328B9"/>
    <w:rsid w:val="00D33843"/>
    <w:rsid w:val="00D33BC4"/>
    <w:rsid w:val="00D34187"/>
    <w:rsid w:val="00D34B68"/>
    <w:rsid w:val="00D36C58"/>
    <w:rsid w:val="00D3764F"/>
    <w:rsid w:val="00D44296"/>
    <w:rsid w:val="00D46CBC"/>
    <w:rsid w:val="00D46FDA"/>
    <w:rsid w:val="00D55CAF"/>
    <w:rsid w:val="00D560D7"/>
    <w:rsid w:val="00D57A23"/>
    <w:rsid w:val="00D62270"/>
    <w:rsid w:val="00D633A6"/>
    <w:rsid w:val="00D65386"/>
    <w:rsid w:val="00D70E24"/>
    <w:rsid w:val="00D72317"/>
    <w:rsid w:val="00D72AD1"/>
    <w:rsid w:val="00D75897"/>
    <w:rsid w:val="00D766AB"/>
    <w:rsid w:val="00D820D6"/>
    <w:rsid w:val="00D820E6"/>
    <w:rsid w:val="00D82976"/>
    <w:rsid w:val="00D83D73"/>
    <w:rsid w:val="00D852DD"/>
    <w:rsid w:val="00D854DE"/>
    <w:rsid w:val="00D8604D"/>
    <w:rsid w:val="00D90736"/>
    <w:rsid w:val="00D91DCF"/>
    <w:rsid w:val="00D93EDB"/>
    <w:rsid w:val="00D951EB"/>
    <w:rsid w:val="00D95B75"/>
    <w:rsid w:val="00D96B39"/>
    <w:rsid w:val="00DA4464"/>
    <w:rsid w:val="00DA6A8B"/>
    <w:rsid w:val="00DA6C00"/>
    <w:rsid w:val="00DB0EE9"/>
    <w:rsid w:val="00DB14EF"/>
    <w:rsid w:val="00DB151B"/>
    <w:rsid w:val="00DB1FC1"/>
    <w:rsid w:val="00DB3CB0"/>
    <w:rsid w:val="00DB4405"/>
    <w:rsid w:val="00DB46F4"/>
    <w:rsid w:val="00DB53AE"/>
    <w:rsid w:val="00DB566F"/>
    <w:rsid w:val="00DB7151"/>
    <w:rsid w:val="00DB7E63"/>
    <w:rsid w:val="00DC0E3C"/>
    <w:rsid w:val="00DC1CD2"/>
    <w:rsid w:val="00DC40AD"/>
    <w:rsid w:val="00DD3BAA"/>
    <w:rsid w:val="00DD4F5B"/>
    <w:rsid w:val="00DD687E"/>
    <w:rsid w:val="00DD6943"/>
    <w:rsid w:val="00DD6C0E"/>
    <w:rsid w:val="00DE5F0F"/>
    <w:rsid w:val="00DF1A56"/>
    <w:rsid w:val="00DF42F0"/>
    <w:rsid w:val="00DF67E3"/>
    <w:rsid w:val="00E003C9"/>
    <w:rsid w:val="00E00B34"/>
    <w:rsid w:val="00E01753"/>
    <w:rsid w:val="00E02DCF"/>
    <w:rsid w:val="00E03159"/>
    <w:rsid w:val="00E03C7E"/>
    <w:rsid w:val="00E03F7B"/>
    <w:rsid w:val="00E04648"/>
    <w:rsid w:val="00E04B83"/>
    <w:rsid w:val="00E1413D"/>
    <w:rsid w:val="00E17BB8"/>
    <w:rsid w:val="00E21D44"/>
    <w:rsid w:val="00E22D64"/>
    <w:rsid w:val="00E231EE"/>
    <w:rsid w:val="00E256E5"/>
    <w:rsid w:val="00E2590A"/>
    <w:rsid w:val="00E259B7"/>
    <w:rsid w:val="00E277D6"/>
    <w:rsid w:val="00E31545"/>
    <w:rsid w:val="00E328CD"/>
    <w:rsid w:val="00E33BED"/>
    <w:rsid w:val="00E34E8D"/>
    <w:rsid w:val="00E36EDF"/>
    <w:rsid w:val="00E37501"/>
    <w:rsid w:val="00E377AE"/>
    <w:rsid w:val="00E41C87"/>
    <w:rsid w:val="00E4263D"/>
    <w:rsid w:val="00E426D2"/>
    <w:rsid w:val="00E467F2"/>
    <w:rsid w:val="00E46876"/>
    <w:rsid w:val="00E47240"/>
    <w:rsid w:val="00E5092F"/>
    <w:rsid w:val="00E51225"/>
    <w:rsid w:val="00E51232"/>
    <w:rsid w:val="00E52233"/>
    <w:rsid w:val="00E52898"/>
    <w:rsid w:val="00E52B7E"/>
    <w:rsid w:val="00E56CEE"/>
    <w:rsid w:val="00E57059"/>
    <w:rsid w:val="00E62037"/>
    <w:rsid w:val="00E622FA"/>
    <w:rsid w:val="00E63914"/>
    <w:rsid w:val="00E65EDA"/>
    <w:rsid w:val="00E708A1"/>
    <w:rsid w:val="00E70C17"/>
    <w:rsid w:val="00E7114B"/>
    <w:rsid w:val="00E71AAF"/>
    <w:rsid w:val="00E76576"/>
    <w:rsid w:val="00E825DB"/>
    <w:rsid w:val="00E82F3E"/>
    <w:rsid w:val="00E857B7"/>
    <w:rsid w:val="00E86005"/>
    <w:rsid w:val="00E87417"/>
    <w:rsid w:val="00E927D8"/>
    <w:rsid w:val="00E928C6"/>
    <w:rsid w:val="00E9459F"/>
    <w:rsid w:val="00E977B5"/>
    <w:rsid w:val="00EA203A"/>
    <w:rsid w:val="00EB32AB"/>
    <w:rsid w:val="00EB3950"/>
    <w:rsid w:val="00EB6FE8"/>
    <w:rsid w:val="00EC3741"/>
    <w:rsid w:val="00EC6673"/>
    <w:rsid w:val="00EC7FAD"/>
    <w:rsid w:val="00ED0A5F"/>
    <w:rsid w:val="00ED131B"/>
    <w:rsid w:val="00ED25B6"/>
    <w:rsid w:val="00ED53C1"/>
    <w:rsid w:val="00ED5EA0"/>
    <w:rsid w:val="00ED6F53"/>
    <w:rsid w:val="00EE0A21"/>
    <w:rsid w:val="00EE24EF"/>
    <w:rsid w:val="00EE2893"/>
    <w:rsid w:val="00EE5F24"/>
    <w:rsid w:val="00EE6C2E"/>
    <w:rsid w:val="00EE774F"/>
    <w:rsid w:val="00EE7CC0"/>
    <w:rsid w:val="00EF0F29"/>
    <w:rsid w:val="00EF360E"/>
    <w:rsid w:val="00EF3F7F"/>
    <w:rsid w:val="00EF4210"/>
    <w:rsid w:val="00EF4706"/>
    <w:rsid w:val="00EF7CDD"/>
    <w:rsid w:val="00F00EEA"/>
    <w:rsid w:val="00F00FBC"/>
    <w:rsid w:val="00F051FE"/>
    <w:rsid w:val="00F05D6E"/>
    <w:rsid w:val="00F064DC"/>
    <w:rsid w:val="00F07794"/>
    <w:rsid w:val="00F1032F"/>
    <w:rsid w:val="00F1036C"/>
    <w:rsid w:val="00F113DB"/>
    <w:rsid w:val="00F12A0C"/>
    <w:rsid w:val="00F13772"/>
    <w:rsid w:val="00F14797"/>
    <w:rsid w:val="00F200EA"/>
    <w:rsid w:val="00F22323"/>
    <w:rsid w:val="00F22B5B"/>
    <w:rsid w:val="00F2539A"/>
    <w:rsid w:val="00F270E2"/>
    <w:rsid w:val="00F30CF5"/>
    <w:rsid w:val="00F34899"/>
    <w:rsid w:val="00F40B6C"/>
    <w:rsid w:val="00F42CA2"/>
    <w:rsid w:val="00F4369F"/>
    <w:rsid w:val="00F455C2"/>
    <w:rsid w:val="00F469FC"/>
    <w:rsid w:val="00F46A36"/>
    <w:rsid w:val="00F50176"/>
    <w:rsid w:val="00F52859"/>
    <w:rsid w:val="00F531F3"/>
    <w:rsid w:val="00F5432B"/>
    <w:rsid w:val="00F56462"/>
    <w:rsid w:val="00F61555"/>
    <w:rsid w:val="00F67FF4"/>
    <w:rsid w:val="00F71479"/>
    <w:rsid w:val="00F73ADD"/>
    <w:rsid w:val="00F746F8"/>
    <w:rsid w:val="00F851D3"/>
    <w:rsid w:val="00F90C38"/>
    <w:rsid w:val="00F9167D"/>
    <w:rsid w:val="00F91778"/>
    <w:rsid w:val="00F950AA"/>
    <w:rsid w:val="00FA0369"/>
    <w:rsid w:val="00FA316D"/>
    <w:rsid w:val="00FA346C"/>
    <w:rsid w:val="00FA5A3B"/>
    <w:rsid w:val="00FA5DB9"/>
    <w:rsid w:val="00FB1752"/>
    <w:rsid w:val="00FB2DB2"/>
    <w:rsid w:val="00FB49AC"/>
    <w:rsid w:val="00FB4EC8"/>
    <w:rsid w:val="00FB537C"/>
    <w:rsid w:val="00FB5D3C"/>
    <w:rsid w:val="00FB617B"/>
    <w:rsid w:val="00FC03AA"/>
    <w:rsid w:val="00FC0634"/>
    <w:rsid w:val="00FC08D6"/>
    <w:rsid w:val="00FC2351"/>
    <w:rsid w:val="00FC3DFB"/>
    <w:rsid w:val="00FC6264"/>
    <w:rsid w:val="00FC6CDB"/>
    <w:rsid w:val="00FC77D4"/>
    <w:rsid w:val="00FD1770"/>
    <w:rsid w:val="00FD4A95"/>
    <w:rsid w:val="00FD64A8"/>
    <w:rsid w:val="00FE0521"/>
    <w:rsid w:val="00FE1F8D"/>
    <w:rsid w:val="00FE45EB"/>
    <w:rsid w:val="00FE4A3F"/>
    <w:rsid w:val="00FE7C6F"/>
    <w:rsid w:val="00FF0072"/>
    <w:rsid w:val="00FF0D59"/>
    <w:rsid w:val="00FF4BDB"/>
    <w:rsid w:val="00FF55AF"/>
    <w:rsid w:val="00FF66F3"/>
    <w:rsid w:val="1139C0AD"/>
    <w:rsid w:val="1BF8F0DE"/>
    <w:rsid w:val="20334179"/>
    <w:rsid w:val="21DB5520"/>
    <w:rsid w:val="28A07583"/>
    <w:rsid w:val="2D67087E"/>
    <w:rsid w:val="35C32ED5"/>
    <w:rsid w:val="3741DBC5"/>
    <w:rsid w:val="381B6870"/>
    <w:rsid w:val="4B28DB60"/>
    <w:rsid w:val="533A3037"/>
    <w:rsid w:val="53BAF806"/>
    <w:rsid w:val="5816123A"/>
    <w:rsid w:val="6A614480"/>
    <w:rsid w:val="6B1631D0"/>
    <w:rsid w:val="7075DC38"/>
    <w:rsid w:val="7571D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A60F"/>
  <w15:docId w15:val="{BC611709-C854-40C2-8857-05AA2261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0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53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20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B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385B"/>
    <w:pPr>
      <w:ind w:left="720"/>
      <w:contextualSpacing/>
    </w:pPr>
  </w:style>
  <w:style w:type="character" w:styleId="CommentReference">
    <w:name w:val="annotation reference"/>
    <w:basedOn w:val="DefaultParagraphFont"/>
    <w:uiPriority w:val="99"/>
    <w:semiHidden/>
    <w:unhideWhenUsed/>
    <w:rsid w:val="00483007"/>
    <w:rPr>
      <w:sz w:val="16"/>
      <w:szCs w:val="16"/>
    </w:rPr>
  </w:style>
  <w:style w:type="paragraph" w:styleId="CommentText">
    <w:name w:val="annotation text"/>
    <w:basedOn w:val="Normal"/>
    <w:link w:val="CommentTextChar"/>
    <w:uiPriority w:val="99"/>
    <w:unhideWhenUsed/>
    <w:rsid w:val="00483007"/>
    <w:pPr>
      <w:spacing w:line="240" w:lineRule="auto"/>
    </w:pPr>
    <w:rPr>
      <w:sz w:val="20"/>
      <w:szCs w:val="20"/>
    </w:rPr>
  </w:style>
  <w:style w:type="character" w:customStyle="1" w:styleId="CommentTextChar">
    <w:name w:val="Comment Text Char"/>
    <w:basedOn w:val="DefaultParagraphFont"/>
    <w:link w:val="CommentText"/>
    <w:uiPriority w:val="99"/>
    <w:rsid w:val="00483007"/>
    <w:rPr>
      <w:sz w:val="20"/>
      <w:szCs w:val="20"/>
    </w:rPr>
  </w:style>
  <w:style w:type="paragraph" w:styleId="CommentSubject">
    <w:name w:val="annotation subject"/>
    <w:basedOn w:val="CommentText"/>
    <w:next w:val="CommentText"/>
    <w:link w:val="CommentSubjectChar"/>
    <w:uiPriority w:val="99"/>
    <w:semiHidden/>
    <w:unhideWhenUsed/>
    <w:rsid w:val="00483007"/>
    <w:rPr>
      <w:b/>
      <w:bCs/>
    </w:rPr>
  </w:style>
  <w:style w:type="character" w:customStyle="1" w:styleId="CommentSubjectChar">
    <w:name w:val="Comment Subject Char"/>
    <w:basedOn w:val="CommentTextChar"/>
    <w:link w:val="CommentSubject"/>
    <w:uiPriority w:val="99"/>
    <w:semiHidden/>
    <w:rsid w:val="00483007"/>
    <w:rPr>
      <w:b/>
      <w:bCs/>
      <w:sz w:val="20"/>
      <w:szCs w:val="20"/>
    </w:rPr>
  </w:style>
  <w:style w:type="paragraph" w:styleId="BalloonText">
    <w:name w:val="Balloon Text"/>
    <w:basedOn w:val="Normal"/>
    <w:link w:val="BalloonTextChar"/>
    <w:uiPriority w:val="99"/>
    <w:semiHidden/>
    <w:unhideWhenUsed/>
    <w:rsid w:val="00483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007"/>
    <w:rPr>
      <w:rFonts w:ascii="Segoe UI" w:hAnsi="Segoe UI" w:cs="Segoe UI"/>
      <w:sz w:val="18"/>
      <w:szCs w:val="18"/>
    </w:rPr>
  </w:style>
  <w:style w:type="paragraph" w:styleId="FootnoteText">
    <w:name w:val="footnote text"/>
    <w:basedOn w:val="Normal"/>
    <w:link w:val="FootnoteTextChar"/>
    <w:uiPriority w:val="99"/>
    <w:unhideWhenUsed/>
    <w:rsid w:val="005C4C84"/>
    <w:pPr>
      <w:spacing w:after="0" w:line="240" w:lineRule="auto"/>
    </w:pPr>
    <w:rPr>
      <w:sz w:val="20"/>
      <w:szCs w:val="20"/>
    </w:rPr>
  </w:style>
  <w:style w:type="character" w:customStyle="1" w:styleId="FootnoteTextChar">
    <w:name w:val="Footnote Text Char"/>
    <w:basedOn w:val="DefaultParagraphFont"/>
    <w:link w:val="FootnoteText"/>
    <w:uiPriority w:val="99"/>
    <w:rsid w:val="005C4C84"/>
    <w:rPr>
      <w:sz w:val="20"/>
      <w:szCs w:val="20"/>
    </w:rPr>
  </w:style>
  <w:style w:type="character" w:styleId="FootnoteReference">
    <w:name w:val="footnote reference"/>
    <w:basedOn w:val="DefaultParagraphFont"/>
    <w:uiPriority w:val="99"/>
    <w:semiHidden/>
    <w:unhideWhenUsed/>
    <w:rsid w:val="005C4C84"/>
    <w:rPr>
      <w:vertAlign w:val="superscript"/>
    </w:rPr>
  </w:style>
  <w:style w:type="character" w:customStyle="1" w:styleId="Heading2Char">
    <w:name w:val="Heading 2 Char"/>
    <w:basedOn w:val="DefaultParagraphFont"/>
    <w:link w:val="Heading2"/>
    <w:uiPriority w:val="9"/>
    <w:rsid w:val="00ED53C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35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3537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5F3231"/>
    <w:rPr>
      <w:color w:val="0563C1" w:themeColor="hyperlink"/>
      <w:u w:val="single"/>
    </w:rPr>
  </w:style>
  <w:style w:type="character" w:styleId="UnresolvedMention">
    <w:name w:val="Unresolved Mention"/>
    <w:basedOn w:val="DefaultParagraphFont"/>
    <w:uiPriority w:val="99"/>
    <w:semiHidden/>
    <w:unhideWhenUsed/>
    <w:rsid w:val="005F3231"/>
    <w:rPr>
      <w:color w:val="605E5C"/>
      <w:shd w:val="clear" w:color="auto" w:fill="E1DFDD"/>
    </w:rPr>
  </w:style>
  <w:style w:type="character" w:styleId="FollowedHyperlink">
    <w:name w:val="FollowedHyperlink"/>
    <w:basedOn w:val="DefaultParagraphFont"/>
    <w:uiPriority w:val="99"/>
    <w:semiHidden/>
    <w:unhideWhenUsed/>
    <w:rsid w:val="00B642C0"/>
    <w:rPr>
      <w:color w:val="954F72" w:themeColor="followedHyperlink"/>
      <w:u w:val="single"/>
    </w:rPr>
  </w:style>
  <w:style w:type="paragraph" w:styleId="Revision">
    <w:name w:val="Revision"/>
    <w:hidden/>
    <w:uiPriority w:val="99"/>
    <w:semiHidden/>
    <w:rsid w:val="005E50DE"/>
    <w:pPr>
      <w:spacing w:after="0" w:line="240" w:lineRule="auto"/>
    </w:pPr>
  </w:style>
  <w:style w:type="character" w:customStyle="1" w:styleId="Heading1Char">
    <w:name w:val="Heading 1 Char"/>
    <w:basedOn w:val="DefaultParagraphFont"/>
    <w:link w:val="Heading1"/>
    <w:uiPriority w:val="9"/>
    <w:rsid w:val="007B20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B20C7"/>
    <w:rPr>
      <w:rFonts w:asciiTheme="majorHAnsi" w:eastAsiaTheme="majorEastAsia" w:hAnsiTheme="majorHAnsi" w:cstheme="majorBidi"/>
      <w:color w:val="1F3763" w:themeColor="accent1" w:themeShade="7F"/>
      <w:sz w:val="24"/>
      <w:szCs w:val="24"/>
    </w:rPr>
  </w:style>
  <w:style w:type="table" w:styleId="PlainTable4">
    <w:name w:val="Plain Table 4"/>
    <w:basedOn w:val="TableNormal"/>
    <w:uiPriority w:val="44"/>
    <w:rsid w:val="00AC698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7033E8"/>
    <w:pPr>
      <w:spacing w:after="200" w:line="240" w:lineRule="auto"/>
    </w:pPr>
    <w:rPr>
      <w:i/>
      <w:iCs/>
      <w:color w:val="44546A" w:themeColor="text2"/>
      <w:sz w:val="18"/>
      <w:szCs w:val="18"/>
    </w:rPr>
  </w:style>
  <w:style w:type="paragraph" w:customStyle="1" w:styleId="Default">
    <w:name w:val="Default"/>
    <w:rsid w:val="00E52233"/>
    <w:pPr>
      <w:autoSpaceDE w:val="0"/>
      <w:autoSpaceDN w:val="0"/>
      <w:adjustRightInd w:val="0"/>
      <w:spacing w:after="0" w:line="240" w:lineRule="auto"/>
    </w:pPr>
    <w:rPr>
      <w:rFonts w:ascii="Arial" w:hAnsi="Arial" w:cs="Arial"/>
      <w:color w:val="000000"/>
      <w:sz w:val="24"/>
      <w:szCs w:val="24"/>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4156">
      <w:bodyDiv w:val="1"/>
      <w:marLeft w:val="0"/>
      <w:marRight w:val="0"/>
      <w:marTop w:val="0"/>
      <w:marBottom w:val="0"/>
      <w:divBdr>
        <w:top w:val="none" w:sz="0" w:space="0" w:color="auto"/>
        <w:left w:val="none" w:sz="0" w:space="0" w:color="auto"/>
        <w:bottom w:val="none" w:sz="0" w:space="0" w:color="auto"/>
        <w:right w:val="none" w:sz="0" w:space="0" w:color="auto"/>
      </w:divBdr>
    </w:div>
    <w:div w:id="115802183">
      <w:bodyDiv w:val="1"/>
      <w:marLeft w:val="0"/>
      <w:marRight w:val="0"/>
      <w:marTop w:val="0"/>
      <w:marBottom w:val="0"/>
      <w:divBdr>
        <w:top w:val="none" w:sz="0" w:space="0" w:color="auto"/>
        <w:left w:val="none" w:sz="0" w:space="0" w:color="auto"/>
        <w:bottom w:val="none" w:sz="0" w:space="0" w:color="auto"/>
        <w:right w:val="none" w:sz="0" w:space="0" w:color="auto"/>
      </w:divBdr>
    </w:div>
    <w:div w:id="131758298">
      <w:bodyDiv w:val="1"/>
      <w:marLeft w:val="0"/>
      <w:marRight w:val="0"/>
      <w:marTop w:val="0"/>
      <w:marBottom w:val="0"/>
      <w:divBdr>
        <w:top w:val="none" w:sz="0" w:space="0" w:color="auto"/>
        <w:left w:val="none" w:sz="0" w:space="0" w:color="auto"/>
        <w:bottom w:val="none" w:sz="0" w:space="0" w:color="auto"/>
        <w:right w:val="none" w:sz="0" w:space="0" w:color="auto"/>
      </w:divBdr>
    </w:div>
    <w:div w:id="173961386">
      <w:bodyDiv w:val="1"/>
      <w:marLeft w:val="0"/>
      <w:marRight w:val="0"/>
      <w:marTop w:val="0"/>
      <w:marBottom w:val="0"/>
      <w:divBdr>
        <w:top w:val="none" w:sz="0" w:space="0" w:color="auto"/>
        <w:left w:val="none" w:sz="0" w:space="0" w:color="auto"/>
        <w:bottom w:val="none" w:sz="0" w:space="0" w:color="auto"/>
        <w:right w:val="none" w:sz="0" w:space="0" w:color="auto"/>
      </w:divBdr>
    </w:div>
    <w:div w:id="195193652">
      <w:bodyDiv w:val="1"/>
      <w:marLeft w:val="0"/>
      <w:marRight w:val="0"/>
      <w:marTop w:val="0"/>
      <w:marBottom w:val="0"/>
      <w:divBdr>
        <w:top w:val="none" w:sz="0" w:space="0" w:color="auto"/>
        <w:left w:val="none" w:sz="0" w:space="0" w:color="auto"/>
        <w:bottom w:val="none" w:sz="0" w:space="0" w:color="auto"/>
        <w:right w:val="none" w:sz="0" w:space="0" w:color="auto"/>
      </w:divBdr>
    </w:div>
    <w:div w:id="202600221">
      <w:bodyDiv w:val="1"/>
      <w:marLeft w:val="0"/>
      <w:marRight w:val="0"/>
      <w:marTop w:val="0"/>
      <w:marBottom w:val="0"/>
      <w:divBdr>
        <w:top w:val="none" w:sz="0" w:space="0" w:color="auto"/>
        <w:left w:val="none" w:sz="0" w:space="0" w:color="auto"/>
        <w:bottom w:val="none" w:sz="0" w:space="0" w:color="auto"/>
        <w:right w:val="none" w:sz="0" w:space="0" w:color="auto"/>
      </w:divBdr>
    </w:div>
    <w:div w:id="214976675">
      <w:bodyDiv w:val="1"/>
      <w:marLeft w:val="0"/>
      <w:marRight w:val="0"/>
      <w:marTop w:val="0"/>
      <w:marBottom w:val="0"/>
      <w:divBdr>
        <w:top w:val="none" w:sz="0" w:space="0" w:color="auto"/>
        <w:left w:val="none" w:sz="0" w:space="0" w:color="auto"/>
        <w:bottom w:val="none" w:sz="0" w:space="0" w:color="auto"/>
        <w:right w:val="none" w:sz="0" w:space="0" w:color="auto"/>
      </w:divBdr>
    </w:div>
    <w:div w:id="226916383">
      <w:bodyDiv w:val="1"/>
      <w:marLeft w:val="0"/>
      <w:marRight w:val="0"/>
      <w:marTop w:val="0"/>
      <w:marBottom w:val="0"/>
      <w:divBdr>
        <w:top w:val="none" w:sz="0" w:space="0" w:color="auto"/>
        <w:left w:val="none" w:sz="0" w:space="0" w:color="auto"/>
        <w:bottom w:val="none" w:sz="0" w:space="0" w:color="auto"/>
        <w:right w:val="none" w:sz="0" w:space="0" w:color="auto"/>
      </w:divBdr>
    </w:div>
    <w:div w:id="268512906">
      <w:bodyDiv w:val="1"/>
      <w:marLeft w:val="0"/>
      <w:marRight w:val="0"/>
      <w:marTop w:val="0"/>
      <w:marBottom w:val="0"/>
      <w:divBdr>
        <w:top w:val="none" w:sz="0" w:space="0" w:color="auto"/>
        <w:left w:val="none" w:sz="0" w:space="0" w:color="auto"/>
        <w:bottom w:val="none" w:sz="0" w:space="0" w:color="auto"/>
        <w:right w:val="none" w:sz="0" w:space="0" w:color="auto"/>
      </w:divBdr>
    </w:div>
    <w:div w:id="333846384">
      <w:bodyDiv w:val="1"/>
      <w:marLeft w:val="0"/>
      <w:marRight w:val="0"/>
      <w:marTop w:val="0"/>
      <w:marBottom w:val="0"/>
      <w:divBdr>
        <w:top w:val="none" w:sz="0" w:space="0" w:color="auto"/>
        <w:left w:val="none" w:sz="0" w:space="0" w:color="auto"/>
        <w:bottom w:val="none" w:sz="0" w:space="0" w:color="auto"/>
        <w:right w:val="none" w:sz="0" w:space="0" w:color="auto"/>
      </w:divBdr>
    </w:div>
    <w:div w:id="374933179">
      <w:bodyDiv w:val="1"/>
      <w:marLeft w:val="0"/>
      <w:marRight w:val="0"/>
      <w:marTop w:val="0"/>
      <w:marBottom w:val="0"/>
      <w:divBdr>
        <w:top w:val="none" w:sz="0" w:space="0" w:color="auto"/>
        <w:left w:val="none" w:sz="0" w:space="0" w:color="auto"/>
        <w:bottom w:val="none" w:sz="0" w:space="0" w:color="auto"/>
        <w:right w:val="none" w:sz="0" w:space="0" w:color="auto"/>
      </w:divBdr>
    </w:div>
    <w:div w:id="380524041">
      <w:bodyDiv w:val="1"/>
      <w:marLeft w:val="0"/>
      <w:marRight w:val="0"/>
      <w:marTop w:val="0"/>
      <w:marBottom w:val="0"/>
      <w:divBdr>
        <w:top w:val="none" w:sz="0" w:space="0" w:color="auto"/>
        <w:left w:val="none" w:sz="0" w:space="0" w:color="auto"/>
        <w:bottom w:val="none" w:sz="0" w:space="0" w:color="auto"/>
        <w:right w:val="none" w:sz="0" w:space="0" w:color="auto"/>
      </w:divBdr>
    </w:div>
    <w:div w:id="386609242">
      <w:bodyDiv w:val="1"/>
      <w:marLeft w:val="0"/>
      <w:marRight w:val="0"/>
      <w:marTop w:val="0"/>
      <w:marBottom w:val="0"/>
      <w:divBdr>
        <w:top w:val="none" w:sz="0" w:space="0" w:color="auto"/>
        <w:left w:val="none" w:sz="0" w:space="0" w:color="auto"/>
        <w:bottom w:val="none" w:sz="0" w:space="0" w:color="auto"/>
        <w:right w:val="none" w:sz="0" w:space="0" w:color="auto"/>
      </w:divBdr>
    </w:div>
    <w:div w:id="424883795">
      <w:bodyDiv w:val="1"/>
      <w:marLeft w:val="0"/>
      <w:marRight w:val="0"/>
      <w:marTop w:val="0"/>
      <w:marBottom w:val="0"/>
      <w:divBdr>
        <w:top w:val="none" w:sz="0" w:space="0" w:color="auto"/>
        <w:left w:val="none" w:sz="0" w:space="0" w:color="auto"/>
        <w:bottom w:val="none" w:sz="0" w:space="0" w:color="auto"/>
        <w:right w:val="none" w:sz="0" w:space="0" w:color="auto"/>
      </w:divBdr>
    </w:div>
    <w:div w:id="440344209">
      <w:bodyDiv w:val="1"/>
      <w:marLeft w:val="0"/>
      <w:marRight w:val="0"/>
      <w:marTop w:val="0"/>
      <w:marBottom w:val="0"/>
      <w:divBdr>
        <w:top w:val="none" w:sz="0" w:space="0" w:color="auto"/>
        <w:left w:val="none" w:sz="0" w:space="0" w:color="auto"/>
        <w:bottom w:val="none" w:sz="0" w:space="0" w:color="auto"/>
        <w:right w:val="none" w:sz="0" w:space="0" w:color="auto"/>
      </w:divBdr>
    </w:div>
    <w:div w:id="504056898">
      <w:bodyDiv w:val="1"/>
      <w:marLeft w:val="0"/>
      <w:marRight w:val="0"/>
      <w:marTop w:val="0"/>
      <w:marBottom w:val="0"/>
      <w:divBdr>
        <w:top w:val="none" w:sz="0" w:space="0" w:color="auto"/>
        <w:left w:val="none" w:sz="0" w:space="0" w:color="auto"/>
        <w:bottom w:val="none" w:sz="0" w:space="0" w:color="auto"/>
        <w:right w:val="none" w:sz="0" w:space="0" w:color="auto"/>
      </w:divBdr>
    </w:div>
    <w:div w:id="523247047">
      <w:bodyDiv w:val="1"/>
      <w:marLeft w:val="0"/>
      <w:marRight w:val="0"/>
      <w:marTop w:val="0"/>
      <w:marBottom w:val="0"/>
      <w:divBdr>
        <w:top w:val="none" w:sz="0" w:space="0" w:color="auto"/>
        <w:left w:val="none" w:sz="0" w:space="0" w:color="auto"/>
        <w:bottom w:val="none" w:sz="0" w:space="0" w:color="auto"/>
        <w:right w:val="none" w:sz="0" w:space="0" w:color="auto"/>
      </w:divBdr>
    </w:div>
    <w:div w:id="573782784">
      <w:bodyDiv w:val="1"/>
      <w:marLeft w:val="0"/>
      <w:marRight w:val="0"/>
      <w:marTop w:val="0"/>
      <w:marBottom w:val="0"/>
      <w:divBdr>
        <w:top w:val="none" w:sz="0" w:space="0" w:color="auto"/>
        <w:left w:val="none" w:sz="0" w:space="0" w:color="auto"/>
        <w:bottom w:val="none" w:sz="0" w:space="0" w:color="auto"/>
        <w:right w:val="none" w:sz="0" w:space="0" w:color="auto"/>
      </w:divBdr>
    </w:div>
    <w:div w:id="589047675">
      <w:bodyDiv w:val="1"/>
      <w:marLeft w:val="0"/>
      <w:marRight w:val="0"/>
      <w:marTop w:val="0"/>
      <w:marBottom w:val="0"/>
      <w:divBdr>
        <w:top w:val="none" w:sz="0" w:space="0" w:color="auto"/>
        <w:left w:val="none" w:sz="0" w:space="0" w:color="auto"/>
        <w:bottom w:val="none" w:sz="0" w:space="0" w:color="auto"/>
        <w:right w:val="none" w:sz="0" w:space="0" w:color="auto"/>
      </w:divBdr>
    </w:div>
    <w:div w:id="607205180">
      <w:bodyDiv w:val="1"/>
      <w:marLeft w:val="0"/>
      <w:marRight w:val="0"/>
      <w:marTop w:val="0"/>
      <w:marBottom w:val="0"/>
      <w:divBdr>
        <w:top w:val="none" w:sz="0" w:space="0" w:color="auto"/>
        <w:left w:val="none" w:sz="0" w:space="0" w:color="auto"/>
        <w:bottom w:val="none" w:sz="0" w:space="0" w:color="auto"/>
        <w:right w:val="none" w:sz="0" w:space="0" w:color="auto"/>
      </w:divBdr>
    </w:div>
    <w:div w:id="613247967">
      <w:bodyDiv w:val="1"/>
      <w:marLeft w:val="0"/>
      <w:marRight w:val="0"/>
      <w:marTop w:val="0"/>
      <w:marBottom w:val="0"/>
      <w:divBdr>
        <w:top w:val="none" w:sz="0" w:space="0" w:color="auto"/>
        <w:left w:val="none" w:sz="0" w:space="0" w:color="auto"/>
        <w:bottom w:val="none" w:sz="0" w:space="0" w:color="auto"/>
        <w:right w:val="none" w:sz="0" w:space="0" w:color="auto"/>
      </w:divBdr>
    </w:div>
    <w:div w:id="641885393">
      <w:bodyDiv w:val="1"/>
      <w:marLeft w:val="0"/>
      <w:marRight w:val="0"/>
      <w:marTop w:val="0"/>
      <w:marBottom w:val="0"/>
      <w:divBdr>
        <w:top w:val="none" w:sz="0" w:space="0" w:color="auto"/>
        <w:left w:val="none" w:sz="0" w:space="0" w:color="auto"/>
        <w:bottom w:val="none" w:sz="0" w:space="0" w:color="auto"/>
        <w:right w:val="none" w:sz="0" w:space="0" w:color="auto"/>
      </w:divBdr>
    </w:div>
    <w:div w:id="648247221">
      <w:bodyDiv w:val="1"/>
      <w:marLeft w:val="0"/>
      <w:marRight w:val="0"/>
      <w:marTop w:val="0"/>
      <w:marBottom w:val="0"/>
      <w:divBdr>
        <w:top w:val="none" w:sz="0" w:space="0" w:color="auto"/>
        <w:left w:val="none" w:sz="0" w:space="0" w:color="auto"/>
        <w:bottom w:val="none" w:sz="0" w:space="0" w:color="auto"/>
        <w:right w:val="none" w:sz="0" w:space="0" w:color="auto"/>
      </w:divBdr>
    </w:div>
    <w:div w:id="668555281">
      <w:bodyDiv w:val="1"/>
      <w:marLeft w:val="0"/>
      <w:marRight w:val="0"/>
      <w:marTop w:val="0"/>
      <w:marBottom w:val="0"/>
      <w:divBdr>
        <w:top w:val="none" w:sz="0" w:space="0" w:color="auto"/>
        <w:left w:val="none" w:sz="0" w:space="0" w:color="auto"/>
        <w:bottom w:val="none" w:sz="0" w:space="0" w:color="auto"/>
        <w:right w:val="none" w:sz="0" w:space="0" w:color="auto"/>
      </w:divBdr>
    </w:div>
    <w:div w:id="702218619">
      <w:bodyDiv w:val="1"/>
      <w:marLeft w:val="0"/>
      <w:marRight w:val="0"/>
      <w:marTop w:val="0"/>
      <w:marBottom w:val="0"/>
      <w:divBdr>
        <w:top w:val="none" w:sz="0" w:space="0" w:color="auto"/>
        <w:left w:val="none" w:sz="0" w:space="0" w:color="auto"/>
        <w:bottom w:val="none" w:sz="0" w:space="0" w:color="auto"/>
        <w:right w:val="none" w:sz="0" w:space="0" w:color="auto"/>
      </w:divBdr>
    </w:div>
    <w:div w:id="703017337">
      <w:bodyDiv w:val="1"/>
      <w:marLeft w:val="0"/>
      <w:marRight w:val="0"/>
      <w:marTop w:val="0"/>
      <w:marBottom w:val="0"/>
      <w:divBdr>
        <w:top w:val="none" w:sz="0" w:space="0" w:color="auto"/>
        <w:left w:val="none" w:sz="0" w:space="0" w:color="auto"/>
        <w:bottom w:val="none" w:sz="0" w:space="0" w:color="auto"/>
        <w:right w:val="none" w:sz="0" w:space="0" w:color="auto"/>
      </w:divBdr>
    </w:div>
    <w:div w:id="756902302">
      <w:bodyDiv w:val="1"/>
      <w:marLeft w:val="0"/>
      <w:marRight w:val="0"/>
      <w:marTop w:val="0"/>
      <w:marBottom w:val="0"/>
      <w:divBdr>
        <w:top w:val="none" w:sz="0" w:space="0" w:color="auto"/>
        <w:left w:val="none" w:sz="0" w:space="0" w:color="auto"/>
        <w:bottom w:val="none" w:sz="0" w:space="0" w:color="auto"/>
        <w:right w:val="none" w:sz="0" w:space="0" w:color="auto"/>
      </w:divBdr>
    </w:div>
    <w:div w:id="765535369">
      <w:bodyDiv w:val="1"/>
      <w:marLeft w:val="0"/>
      <w:marRight w:val="0"/>
      <w:marTop w:val="0"/>
      <w:marBottom w:val="0"/>
      <w:divBdr>
        <w:top w:val="none" w:sz="0" w:space="0" w:color="auto"/>
        <w:left w:val="none" w:sz="0" w:space="0" w:color="auto"/>
        <w:bottom w:val="none" w:sz="0" w:space="0" w:color="auto"/>
        <w:right w:val="none" w:sz="0" w:space="0" w:color="auto"/>
      </w:divBdr>
    </w:div>
    <w:div w:id="776681555">
      <w:bodyDiv w:val="1"/>
      <w:marLeft w:val="0"/>
      <w:marRight w:val="0"/>
      <w:marTop w:val="0"/>
      <w:marBottom w:val="0"/>
      <w:divBdr>
        <w:top w:val="none" w:sz="0" w:space="0" w:color="auto"/>
        <w:left w:val="none" w:sz="0" w:space="0" w:color="auto"/>
        <w:bottom w:val="none" w:sz="0" w:space="0" w:color="auto"/>
        <w:right w:val="none" w:sz="0" w:space="0" w:color="auto"/>
      </w:divBdr>
    </w:div>
    <w:div w:id="780102710">
      <w:bodyDiv w:val="1"/>
      <w:marLeft w:val="0"/>
      <w:marRight w:val="0"/>
      <w:marTop w:val="0"/>
      <w:marBottom w:val="0"/>
      <w:divBdr>
        <w:top w:val="none" w:sz="0" w:space="0" w:color="auto"/>
        <w:left w:val="none" w:sz="0" w:space="0" w:color="auto"/>
        <w:bottom w:val="none" w:sz="0" w:space="0" w:color="auto"/>
        <w:right w:val="none" w:sz="0" w:space="0" w:color="auto"/>
      </w:divBdr>
    </w:div>
    <w:div w:id="795369667">
      <w:bodyDiv w:val="1"/>
      <w:marLeft w:val="0"/>
      <w:marRight w:val="0"/>
      <w:marTop w:val="0"/>
      <w:marBottom w:val="0"/>
      <w:divBdr>
        <w:top w:val="none" w:sz="0" w:space="0" w:color="auto"/>
        <w:left w:val="none" w:sz="0" w:space="0" w:color="auto"/>
        <w:bottom w:val="none" w:sz="0" w:space="0" w:color="auto"/>
        <w:right w:val="none" w:sz="0" w:space="0" w:color="auto"/>
      </w:divBdr>
    </w:div>
    <w:div w:id="798064212">
      <w:bodyDiv w:val="1"/>
      <w:marLeft w:val="0"/>
      <w:marRight w:val="0"/>
      <w:marTop w:val="0"/>
      <w:marBottom w:val="0"/>
      <w:divBdr>
        <w:top w:val="none" w:sz="0" w:space="0" w:color="auto"/>
        <w:left w:val="none" w:sz="0" w:space="0" w:color="auto"/>
        <w:bottom w:val="none" w:sz="0" w:space="0" w:color="auto"/>
        <w:right w:val="none" w:sz="0" w:space="0" w:color="auto"/>
      </w:divBdr>
    </w:div>
    <w:div w:id="833034358">
      <w:bodyDiv w:val="1"/>
      <w:marLeft w:val="0"/>
      <w:marRight w:val="0"/>
      <w:marTop w:val="0"/>
      <w:marBottom w:val="0"/>
      <w:divBdr>
        <w:top w:val="none" w:sz="0" w:space="0" w:color="auto"/>
        <w:left w:val="none" w:sz="0" w:space="0" w:color="auto"/>
        <w:bottom w:val="none" w:sz="0" w:space="0" w:color="auto"/>
        <w:right w:val="none" w:sz="0" w:space="0" w:color="auto"/>
      </w:divBdr>
    </w:div>
    <w:div w:id="854881533">
      <w:bodyDiv w:val="1"/>
      <w:marLeft w:val="0"/>
      <w:marRight w:val="0"/>
      <w:marTop w:val="0"/>
      <w:marBottom w:val="0"/>
      <w:divBdr>
        <w:top w:val="none" w:sz="0" w:space="0" w:color="auto"/>
        <w:left w:val="none" w:sz="0" w:space="0" w:color="auto"/>
        <w:bottom w:val="none" w:sz="0" w:space="0" w:color="auto"/>
        <w:right w:val="none" w:sz="0" w:space="0" w:color="auto"/>
      </w:divBdr>
    </w:div>
    <w:div w:id="884102259">
      <w:bodyDiv w:val="1"/>
      <w:marLeft w:val="0"/>
      <w:marRight w:val="0"/>
      <w:marTop w:val="0"/>
      <w:marBottom w:val="0"/>
      <w:divBdr>
        <w:top w:val="none" w:sz="0" w:space="0" w:color="auto"/>
        <w:left w:val="none" w:sz="0" w:space="0" w:color="auto"/>
        <w:bottom w:val="none" w:sz="0" w:space="0" w:color="auto"/>
        <w:right w:val="none" w:sz="0" w:space="0" w:color="auto"/>
      </w:divBdr>
    </w:div>
    <w:div w:id="884754122">
      <w:bodyDiv w:val="1"/>
      <w:marLeft w:val="0"/>
      <w:marRight w:val="0"/>
      <w:marTop w:val="0"/>
      <w:marBottom w:val="0"/>
      <w:divBdr>
        <w:top w:val="none" w:sz="0" w:space="0" w:color="auto"/>
        <w:left w:val="none" w:sz="0" w:space="0" w:color="auto"/>
        <w:bottom w:val="none" w:sz="0" w:space="0" w:color="auto"/>
        <w:right w:val="none" w:sz="0" w:space="0" w:color="auto"/>
      </w:divBdr>
    </w:div>
    <w:div w:id="923609660">
      <w:bodyDiv w:val="1"/>
      <w:marLeft w:val="0"/>
      <w:marRight w:val="0"/>
      <w:marTop w:val="0"/>
      <w:marBottom w:val="0"/>
      <w:divBdr>
        <w:top w:val="none" w:sz="0" w:space="0" w:color="auto"/>
        <w:left w:val="none" w:sz="0" w:space="0" w:color="auto"/>
        <w:bottom w:val="none" w:sz="0" w:space="0" w:color="auto"/>
        <w:right w:val="none" w:sz="0" w:space="0" w:color="auto"/>
      </w:divBdr>
    </w:div>
    <w:div w:id="954992553">
      <w:bodyDiv w:val="1"/>
      <w:marLeft w:val="0"/>
      <w:marRight w:val="0"/>
      <w:marTop w:val="0"/>
      <w:marBottom w:val="0"/>
      <w:divBdr>
        <w:top w:val="none" w:sz="0" w:space="0" w:color="auto"/>
        <w:left w:val="none" w:sz="0" w:space="0" w:color="auto"/>
        <w:bottom w:val="none" w:sz="0" w:space="0" w:color="auto"/>
        <w:right w:val="none" w:sz="0" w:space="0" w:color="auto"/>
      </w:divBdr>
    </w:div>
    <w:div w:id="959343395">
      <w:bodyDiv w:val="1"/>
      <w:marLeft w:val="0"/>
      <w:marRight w:val="0"/>
      <w:marTop w:val="0"/>
      <w:marBottom w:val="0"/>
      <w:divBdr>
        <w:top w:val="none" w:sz="0" w:space="0" w:color="auto"/>
        <w:left w:val="none" w:sz="0" w:space="0" w:color="auto"/>
        <w:bottom w:val="none" w:sz="0" w:space="0" w:color="auto"/>
        <w:right w:val="none" w:sz="0" w:space="0" w:color="auto"/>
      </w:divBdr>
    </w:div>
    <w:div w:id="968822064">
      <w:bodyDiv w:val="1"/>
      <w:marLeft w:val="0"/>
      <w:marRight w:val="0"/>
      <w:marTop w:val="0"/>
      <w:marBottom w:val="0"/>
      <w:divBdr>
        <w:top w:val="none" w:sz="0" w:space="0" w:color="auto"/>
        <w:left w:val="none" w:sz="0" w:space="0" w:color="auto"/>
        <w:bottom w:val="none" w:sz="0" w:space="0" w:color="auto"/>
        <w:right w:val="none" w:sz="0" w:space="0" w:color="auto"/>
      </w:divBdr>
    </w:div>
    <w:div w:id="971859782">
      <w:bodyDiv w:val="1"/>
      <w:marLeft w:val="0"/>
      <w:marRight w:val="0"/>
      <w:marTop w:val="0"/>
      <w:marBottom w:val="0"/>
      <w:divBdr>
        <w:top w:val="none" w:sz="0" w:space="0" w:color="auto"/>
        <w:left w:val="none" w:sz="0" w:space="0" w:color="auto"/>
        <w:bottom w:val="none" w:sz="0" w:space="0" w:color="auto"/>
        <w:right w:val="none" w:sz="0" w:space="0" w:color="auto"/>
      </w:divBdr>
    </w:div>
    <w:div w:id="1001737229">
      <w:bodyDiv w:val="1"/>
      <w:marLeft w:val="0"/>
      <w:marRight w:val="0"/>
      <w:marTop w:val="0"/>
      <w:marBottom w:val="0"/>
      <w:divBdr>
        <w:top w:val="none" w:sz="0" w:space="0" w:color="auto"/>
        <w:left w:val="none" w:sz="0" w:space="0" w:color="auto"/>
        <w:bottom w:val="none" w:sz="0" w:space="0" w:color="auto"/>
        <w:right w:val="none" w:sz="0" w:space="0" w:color="auto"/>
      </w:divBdr>
    </w:div>
    <w:div w:id="1014771636">
      <w:bodyDiv w:val="1"/>
      <w:marLeft w:val="0"/>
      <w:marRight w:val="0"/>
      <w:marTop w:val="0"/>
      <w:marBottom w:val="0"/>
      <w:divBdr>
        <w:top w:val="none" w:sz="0" w:space="0" w:color="auto"/>
        <w:left w:val="none" w:sz="0" w:space="0" w:color="auto"/>
        <w:bottom w:val="none" w:sz="0" w:space="0" w:color="auto"/>
        <w:right w:val="none" w:sz="0" w:space="0" w:color="auto"/>
      </w:divBdr>
    </w:div>
    <w:div w:id="1042025503">
      <w:bodyDiv w:val="1"/>
      <w:marLeft w:val="0"/>
      <w:marRight w:val="0"/>
      <w:marTop w:val="0"/>
      <w:marBottom w:val="0"/>
      <w:divBdr>
        <w:top w:val="none" w:sz="0" w:space="0" w:color="auto"/>
        <w:left w:val="none" w:sz="0" w:space="0" w:color="auto"/>
        <w:bottom w:val="none" w:sz="0" w:space="0" w:color="auto"/>
        <w:right w:val="none" w:sz="0" w:space="0" w:color="auto"/>
      </w:divBdr>
    </w:div>
    <w:div w:id="1060860295">
      <w:bodyDiv w:val="1"/>
      <w:marLeft w:val="0"/>
      <w:marRight w:val="0"/>
      <w:marTop w:val="0"/>
      <w:marBottom w:val="0"/>
      <w:divBdr>
        <w:top w:val="none" w:sz="0" w:space="0" w:color="auto"/>
        <w:left w:val="none" w:sz="0" w:space="0" w:color="auto"/>
        <w:bottom w:val="none" w:sz="0" w:space="0" w:color="auto"/>
        <w:right w:val="none" w:sz="0" w:space="0" w:color="auto"/>
      </w:divBdr>
    </w:div>
    <w:div w:id="1122571911">
      <w:bodyDiv w:val="1"/>
      <w:marLeft w:val="0"/>
      <w:marRight w:val="0"/>
      <w:marTop w:val="0"/>
      <w:marBottom w:val="0"/>
      <w:divBdr>
        <w:top w:val="none" w:sz="0" w:space="0" w:color="auto"/>
        <w:left w:val="none" w:sz="0" w:space="0" w:color="auto"/>
        <w:bottom w:val="none" w:sz="0" w:space="0" w:color="auto"/>
        <w:right w:val="none" w:sz="0" w:space="0" w:color="auto"/>
      </w:divBdr>
    </w:div>
    <w:div w:id="1159272962">
      <w:bodyDiv w:val="1"/>
      <w:marLeft w:val="0"/>
      <w:marRight w:val="0"/>
      <w:marTop w:val="0"/>
      <w:marBottom w:val="0"/>
      <w:divBdr>
        <w:top w:val="none" w:sz="0" w:space="0" w:color="auto"/>
        <w:left w:val="none" w:sz="0" w:space="0" w:color="auto"/>
        <w:bottom w:val="none" w:sz="0" w:space="0" w:color="auto"/>
        <w:right w:val="none" w:sz="0" w:space="0" w:color="auto"/>
      </w:divBdr>
    </w:div>
    <w:div w:id="1161852147">
      <w:bodyDiv w:val="1"/>
      <w:marLeft w:val="0"/>
      <w:marRight w:val="0"/>
      <w:marTop w:val="0"/>
      <w:marBottom w:val="0"/>
      <w:divBdr>
        <w:top w:val="none" w:sz="0" w:space="0" w:color="auto"/>
        <w:left w:val="none" w:sz="0" w:space="0" w:color="auto"/>
        <w:bottom w:val="none" w:sz="0" w:space="0" w:color="auto"/>
        <w:right w:val="none" w:sz="0" w:space="0" w:color="auto"/>
      </w:divBdr>
    </w:div>
    <w:div w:id="1162160142">
      <w:bodyDiv w:val="1"/>
      <w:marLeft w:val="0"/>
      <w:marRight w:val="0"/>
      <w:marTop w:val="0"/>
      <w:marBottom w:val="0"/>
      <w:divBdr>
        <w:top w:val="none" w:sz="0" w:space="0" w:color="auto"/>
        <w:left w:val="none" w:sz="0" w:space="0" w:color="auto"/>
        <w:bottom w:val="none" w:sz="0" w:space="0" w:color="auto"/>
        <w:right w:val="none" w:sz="0" w:space="0" w:color="auto"/>
      </w:divBdr>
    </w:div>
    <w:div w:id="1260678713">
      <w:bodyDiv w:val="1"/>
      <w:marLeft w:val="0"/>
      <w:marRight w:val="0"/>
      <w:marTop w:val="0"/>
      <w:marBottom w:val="0"/>
      <w:divBdr>
        <w:top w:val="none" w:sz="0" w:space="0" w:color="auto"/>
        <w:left w:val="none" w:sz="0" w:space="0" w:color="auto"/>
        <w:bottom w:val="none" w:sz="0" w:space="0" w:color="auto"/>
        <w:right w:val="none" w:sz="0" w:space="0" w:color="auto"/>
      </w:divBdr>
    </w:div>
    <w:div w:id="1268342658">
      <w:bodyDiv w:val="1"/>
      <w:marLeft w:val="0"/>
      <w:marRight w:val="0"/>
      <w:marTop w:val="0"/>
      <w:marBottom w:val="0"/>
      <w:divBdr>
        <w:top w:val="none" w:sz="0" w:space="0" w:color="auto"/>
        <w:left w:val="none" w:sz="0" w:space="0" w:color="auto"/>
        <w:bottom w:val="none" w:sz="0" w:space="0" w:color="auto"/>
        <w:right w:val="none" w:sz="0" w:space="0" w:color="auto"/>
      </w:divBdr>
    </w:div>
    <w:div w:id="1278103591">
      <w:bodyDiv w:val="1"/>
      <w:marLeft w:val="0"/>
      <w:marRight w:val="0"/>
      <w:marTop w:val="0"/>
      <w:marBottom w:val="0"/>
      <w:divBdr>
        <w:top w:val="none" w:sz="0" w:space="0" w:color="auto"/>
        <w:left w:val="none" w:sz="0" w:space="0" w:color="auto"/>
        <w:bottom w:val="none" w:sz="0" w:space="0" w:color="auto"/>
        <w:right w:val="none" w:sz="0" w:space="0" w:color="auto"/>
      </w:divBdr>
    </w:div>
    <w:div w:id="1295482530">
      <w:bodyDiv w:val="1"/>
      <w:marLeft w:val="0"/>
      <w:marRight w:val="0"/>
      <w:marTop w:val="0"/>
      <w:marBottom w:val="0"/>
      <w:divBdr>
        <w:top w:val="none" w:sz="0" w:space="0" w:color="auto"/>
        <w:left w:val="none" w:sz="0" w:space="0" w:color="auto"/>
        <w:bottom w:val="none" w:sz="0" w:space="0" w:color="auto"/>
        <w:right w:val="none" w:sz="0" w:space="0" w:color="auto"/>
      </w:divBdr>
    </w:div>
    <w:div w:id="1305041523">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
    <w:div w:id="1388064413">
      <w:bodyDiv w:val="1"/>
      <w:marLeft w:val="0"/>
      <w:marRight w:val="0"/>
      <w:marTop w:val="0"/>
      <w:marBottom w:val="0"/>
      <w:divBdr>
        <w:top w:val="none" w:sz="0" w:space="0" w:color="auto"/>
        <w:left w:val="none" w:sz="0" w:space="0" w:color="auto"/>
        <w:bottom w:val="none" w:sz="0" w:space="0" w:color="auto"/>
        <w:right w:val="none" w:sz="0" w:space="0" w:color="auto"/>
      </w:divBdr>
    </w:div>
    <w:div w:id="1423523209">
      <w:bodyDiv w:val="1"/>
      <w:marLeft w:val="0"/>
      <w:marRight w:val="0"/>
      <w:marTop w:val="0"/>
      <w:marBottom w:val="0"/>
      <w:divBdr>
        <w:top w:val="none" w:sz="0" w:space="0" w:color="auto"/>
        <w:left w:val="none" w:sz="0" w:space="0" w:color="auto"/>
        <w:bottom w:val="none" w:sz="0" w:space="0" w:color="auto"/>
        <w:right w:val="none" w:sz="0" w:space="0" w:color="auto"/>
      </w:divBdr>
    </w:div>
    <w:div w:id="1463113915">
      <w:bodyDiv w:val="1"/>
      <w:marLeft w:val="0"/>
      <w:marRight w:val="0"/>
      <w:marTop w:val="0"/>
      <w:marBottom w:val="0"/>
      <w:divBdr>
        <w:top w:val="none" w:sz="0" w:space="0" w:color="auto"/>
        <w:left w:val="none" w:sz="0" w:space="0" w:color="auto"/>
        <w:bottom w:val="none" w:sz="0" w:space="0" w:color="auto"/>
        <w:right w:val="none" w:sz="0" w:space="0" w:color="auto"/>
      </w:divBdr>
    </w:div>
    <w:div w:id="1502156528">
      <w:bodyDiv w:val="1"/>
      <w:marLeft w:val="0"/>
      <w:marRight w:val="0"/>
      <w:marTop w:val="0"/>
      <w:marBottom w:val="0"/>
      <w:divBdr>
        <w:top w:val="none" w:sz="0" w:space="0" w:color="auto"/>
        <w:left w:val="none" w:sz="0" w:space="0" w:color="auto"/>
        <w:bottom w:val="none" w:sz="0" w:space="0" w:color="auto"/>
        <w:right w:val="none" w:sz="0" w:space="0" w:color="auto"/>
      </w:divBdr>
    </w:div>
    <w:div w:id="1520972994">
      <w:bodyDiv w:val="1"/>
      <w:marLeft w:val="0"/>
      <w:marRight w:val="0"/>
      <w:marTop w:val="0"/>
      <w:marBottom w:val="0"/>
      <w:divBdr>
        <w:top w:val="none" w:sz="0" w:space="0" w:color="auto"/>
        <w:left w:val="none" w:sz="0" w:space="0" w:color="auto"/>
        <w:bottom w:val="none" w:sz="0" w:space="0" w:color="auto"/>
        <w:right w:val="none" w:sz="0" w:space="0" w:color="auto"/>
      </w:divBdr>
    </w:div>
    <w:div w:id="1538423170">
      <w:bodyDiv w:val="1"/>
      <w:marLeft w:val="0"/>
      <w:marRight w:val="0"/>
      <w:marTop w:val="0"/>
      <w:marBottom w:val="0"/>
      <w:divBdr>
        <w:top w:val="none" w:sz="0" w:space="0" w:color="auto"/>
        <w:left w:val="none" w:sz="0" w:space="0" w:color="auto"/>
        <w:bottom w:val="none" w:sz="0" w:space="0" w:color="auto"/>
        <w:right w:val="none" w:sz="0" w:space="0" w:color="auto"/>
      </w:divBdr>
    </w:div>
    <w:div w:id="1547838796">
      <w:bodyDiv w:val="1"/>
      <w:marLeft w:val="0"/>
      <w:marRight w:val="0"/>
      <w:marTop w:val="0"/>
      <w:marBottom w:val="0"/>
      <w:divBdr>
        <w:top w:val="none" w:sz="0" w:space="0" w:color="auto"/>
        <w:left w:val="none" w:sz="0" w:space="0" w:color="auto"/>
        <w:bottom w:val="none" w:sz="0" w:space="0" w:color="auto"/>
        <w:right w:val="none" w:sz="0" w:space="0" w:color="auto"/>
      </w:divBdr>
    </w:div>
    <w:div w:id="1567036745">
      <w:bodyDiv w:val="1"/>
      <w:marLeft w:val="0"/>
      <w:marRight w:val="0"/>
      <w:marTop w:val="0"/>
      <w:marBottom w:val="0"/>
      <w:divBdr>
        <w:top w:val="none" w:sz="0" w:space="0" w:color="auto"/>
        <w:left w:val="none" w:sz="0" w:space="0" w:color="auto"/>
        <w:bottom w:val="none" w:sz="0" w:space="0" w:color="auto"/>
        <w:right w:val="none" w:sz="0" w:space="0" w:color="auto"/>
      </w:divBdr>
    </w:div>
    <w:div w:id="1573269639">
      <w:bodyDiv w:val="1"/>
      <w:marLeft w:val="0"/>
      <w:marRight w:val="0"/>
      <w:marTop w:val="0"/>
      <w:marBottom w:val="0"/>
      <w:divBdr>
        <w:top w:val="none" w:sz="0" w:space="0" w:color="auto"/>
        <w:left w:val="none" w:sz="0" w:space="0" w:color="auto"/>
        <w:bottom w:val="none" w:sz="0" w:space="0" w:color="auto"/>
        <w:right w:val="none" w:sz="0" w:space="0" w:color="auto"/>
      </w:divBdr>
    </w:div>
    <w:div w:id="1575815579">
      <w:bodyDiv w:val="1"/>
      <w:marLeft w:val="0"/>
      <w:marRight w:val="0"/>
      <w:marTop w:val="0"/>
      <w:marBottom w:val="0"/>
      <w:divBdr>
        <w:top w:val="none" w:sz="0" w:space="0" w:color="auto"/>
        <w:left w:val="none" w:sz="0" w:space="0" w:color="auto"/>
        <w:bottom w:val="none" w:sz="0" w:space="0" w:color="auto"/>
        <w:right w:val="none" w:sz="0" w:space="0" w:color="auto"/>
      </w:divBdr>
    </w:div>
    <w:div w:id="1576544853">
      <w:bodyDiv w:val="1"/>
      <w:marLeft w:val="0"/>
      <w:marRight w:val="0"/>
      <w:marTop w:val="0"/>
      <w:marBottom w:val="0"/>
      <w:divBdr>
        <w:top w:val="none" w:sz="0" w:space="0" w:color="auto"/>
        <w:left w:val="none" w:sz="0" w:space="0" w:color="auto"/>
        <w:bottom w:val="none" w:sz="0" w:space="0" w:color="auto"/>
        <w:right w:val="none" w:sz="0" w:space="0" w:color="auto"/>
      </w:divBdr>
    </w:div>
    <w:div w:id="1590656374">
      <w:bodyDiv w:val="1"/>
      <w:marLeft w:val="0"/>
      <w:marRight w:val="0"/>
      <w:marTop w:val="0"/>
      <w:marBottom w:val="0"/>
      <w:divBdr>
        <w:top w:val="none" w:sz="0" w:space="0" w:color="auto"/>
        <w:left w:val="none" w:sz="0" w:space="0" w:color="auto"/>
        <w:bottom w:val="none" w:sz="0" w:space="0" w:color="auto"/>
        <w:right w:val="none" w:sz="0" w:space="0" w:color="auto"/>
      </w:divBdr>
    </w:div>
    <w:div w:id="1592158723">
      <w:bodyDiv w:val="1"/>
      <w:marLeft w:val="0"/>
      <w:marRight w:val="0"/>
      <w:marTop w:val="0"/>
      <w:marBottom w:val="0"/>
      <w:divBdr>
        <w:top w:val="none" w:sz="0" w:space="0" w:color="auto"/>
        <w:left w:val="none" w:sz="0" w:space="0" w:color="auto"/>
        <w:bottom w:val="none" w:sz="0" w:space="0" w:color="auto"/>
        <w:right w:val="none" w:sz="0" w:space="0" w:color="auto"/>
      </w:divBdr>
    </w:div>
    <w:div w:id="1595475285">
      <w:bodyDiv w:val="1"/>
      <w:marLeft w:val="0"/>
      <w:marRight w:val="0"/>
      <w:marTop w:val="0"/>
      <w:marBottom w:val="0"/>
      <w:divBdr>
        <w:top w:val="none" w:sz="0" w:space="0" w:color="auto"/>
        <w:left w:val="none" w:sz="0" w:space="0" w:color="auto"/>
        <w:bottom w:val="none" w:sz="0" w:space="0" w:color="auto"/>
        <w:right w:val="none" w:sz="0" w:space="0" w:color="auto"/>
      </w:divBdr>
    </w:div>
    <w:div w:id="1663000011">
      <w:bodyDiv w:val="1"/>
      <w:marLeft w:val="0"/>
      <w:marRight w:val="0"/>
      <w:marTop w:val="0"/>
      <w:marBottom w:val="0"/>
      <w:divBdr>
        <w:top w:val="none" w:sz="0" w:space="0" w:color="auto"/>
        <w:left w:val="none" w:sz="0" w:space="0" w:color="auto"/>
        <w:bottom w:val="none" w:sz="0" w:space="0" w:color="auto"/>
        <w:right w:val="none" w:sz="0" w:space="0" w:color="auto"/>
      </w:divBdr>
    </w:div>
    <w:div w:id="1670139236">
      <w:bodyDiv w:val="1"/>
      <w:marLeft w:val="0"/>
      <w:marRight w:val="0"/>
      <w:marTop w:val="0"/>
      <w:marBottom w:val="0"/>
      <w:divBdr>
        <w:top w:val="none" w:sz="0" w:space="0" w:color="auto"/>
        <w:left w:val="none" w:sz="0" w:space="0" w:color="auto"/>
        <w:bottom w:val="none" w:sz="0" w:space="0" w:color="auto"/>
        <w:right w:val="none" w:sz="0" w:space="0" w:color="auto"/>
      </w:divBdr>
    </w:div>
    <w:div w:id="1685861269">
      <w:bodyDiv w:val="1"/>
      <w:marLeft w:val="0"/>
      <w:marRight w:val="0"/>
      <w:marTop w:val="0"/>
      <w:marBottom w:val="0"/>
      <w:divBdr>
        <w:top w:val="none" w:sz="0" w:space="0" w:color="auto"/>
        <w:left w:val="none" w:sz="0" w:space="0" w:color="auto"/>
        <w:bottom w:val="none" w:sz="0" w:space="0" w:color="auto"/>
        <w:right w:val="none" w:sz="0" w:space="0" w:color="auto"/>
      </w:divBdr>
    </w:div>
    <w:div w:id="1695419467">
      <w:bodyDiv w:val="1"/>
      <w:marLeft w:val="0"/>
      <w:marRight w:val="0"/>
      <w:marTop w:val="0"/>
      <w:marBottom w:val="0"/>
      <w:divBdr>
        <w:top w:val="none" w:sz="0" w:space="0" w:color="auto"/>
        <w:left w:val="none" w:sz="0" w:space="0" w:color="auto"/>
        <w:bottom w:val="none" w:sz="0" w:space="0" w:color="auto"/>
        <w:right w:val="none" w:sz="0" w:space="0" w:color="auto"/>
      </w:divBdr>
    </w:div>
    <w:div w:id="1746493026">
      <w:bodyDiv w:val="1"/>
      <w:marLeft w:val="0"/>
      <w:marRight w:val="0"/>
      <w:marTop w:val="0"/>
      <w:marBottom w:val="0"/>
      <w:divBdr>
        <w:top w:val="none" w:sz="0" w:space="0" w:color="auto"/>
        <w:left w:val="none" w:sz="0" w:space="0" w:color="auto"/>
        <w:bottom w:val="none" w:sz="0" w:space="0" w:color="auto"/>
        <w:right w:val="none" w:sz="0" w:space="0" w:color="auto"/>
      </w:divBdr>
    </w:div>
    <w:div w:id="1752896700">
      <w:bodyDiv w:val="1"/>
      <w:marLeft w:val="0"/>
      <w:marRight w:val="0"/>
      <w:marTop w:val="0"/>
      <w:marBottom w:val="0"/>
      <w:divBdr>
        <w:top w:val="none" w:sz="0" w:space="0" w:color="auto"/>
        <w:left w:val="none" w:sz="0" w:space="0" w:color="auto"/>
        <w:bottom w:val="none" w:sz="0" w:space="0" w:color="auto"/>
        <w:right w:val="none" w:sz="0" w:space="0" w:color="auto"/>
      </w:divBdr>
    </w:div>
    <w:div w:id="1762682552">
      <w:bodyDiv w:val="1"/>
      <w:marLeft w:val="0"/>
      <w:marRight w:val="0"/>
      <w:marTop w:val="0"/>
      <w:marBottom w:val="0"/>
      <w:divBdr>
        <w:top w:val="none" w:sz="0" w:space="0" w:color="auto"/>
        <w:left w:val="none" w:sz="0" w:space="0" w:color="auto"/>
        <w:bottom w:val="none" w:sz="0" w:space="0" w:color="auto"/>
        <w:right w:val="none" w:sz="0" w:space="0" w:color="auto"/>
      </w:divBdr>
    </w:div>
    <w:div w:id="1782072445">
      <w:bodyDiv w:val="1"/>
      <w:marLeft w:val="0"/>
      <w:marRight w:val="0"/>
      <w:marTop w:val="0"/>
      <w:marBottom w:val="0"/>
      <w:divBdr>
        <w:top w:val="none" w:sz="0" w:space="0" w:color="auto"/>
        <w:left w:val="none" w:sz="0" w:space="0" w:color="auto"/>
        <w:bottom w:val="none" w:sz="0" w:space="0" w:color="auto"/>
        <w:right w:val="none" w:sz="0" w:space="0" w:color="auto"/>
      </w:divBdr>
    </w:div>
    <w:div w:id="1783767634">
      <w:bodyDiv w:val="1"/>
      <w:marLeft w:val="0"/>
      <w:marRight w:val="0"/>
      <w:marTop w:val="0"/>
      <w:marBottom w:val="0"/>
      <w:divBdr>
        <w:top w:val="none" w:sz="0" w:space="0" w:color="auto"/>
        <w:left w:val="none" w:sz="0" w:space="0" w:color="auto"/>
        <w:bottom w:val="none" w:sz="0" w:space="0" w:color="auto"/>
        <w:right w:val="none" w:sz="0" w:space="0" w:color="auto"/>
      </w:divBdr>
    </w:div>
    <w:div w:id="1787264936">
      <w:bodyDiv w:val="1"/>
      <w:marLeft w:val="0"/>
      <w:marRight w:val="0"/>
      <w:marTop w:val="0"/>
      <w:marBottom w:val="0"/>
      <w:divBdr>
        <w:top w:val="none" w:sz="0" w:space="0" w:color="auto"/>
        <w:left w:val="none" w:sz="0" w:space="0" w:color="auto"/>
        <w:bottom w:val="none" w:sz="0" w:space="0" w:color="auto"/>
        <w:right w:val="none" w:sz="0" w:space="0" w:color="auto"/>
      </w:divBdr>
    </w:div>
    <w:div w:id="1796293419">
      <w:bodyDiv w:val="1"/>
      <w:marLeft w:val="0"/>
      <w:marRight w:val="0"/>
      <w:marTop w:val="0"/>
      <w:marBottom w:val="0"/>
      <w:divBdr>
        <w:top w:val="none" w:sz="0" w:space="0" w:color="auto"/>
        <w:left w:val="none" w:sz="0" w:space="0" w:color="auto"/>
        <w:bottom w:val="none" w:sz="0" w:space="0" w:color="auto"/>
        <w:right w:val="none" w:sz="0" w:space="0" w:color="auto"/>
      </w:divBdr>
    </w:div>
    <w:div w:id="1842086770">
      <w:bodyDiv w:val="1"/>
      <w:marLeft w:val="0"/>
      <w:marRight w:val="0"/>
      <w:marTop w:val="0"/>
      <w:marBottom w:val="0"/>
      <w:divBdr>
        <w:top w:val="none" w:sz="0" w:space="0" w:color="auto"/>
        <w:left w:val="none" w:sz="0" w:space="0" w:color="auto"/>
        <w:bottom w:val="none" w:sz="0" w:space="0" w:color="auto"/>
        <w:right w:val="none" w:sz="0" w:space="0" w:color="auto"/>
      </w:divBdr>
    </w:div>
    <w:div w:id="1864320039">
      <w:bodyDiv w:val="1"/>
      <w:marLeft w:val="0"/>
      <w:marRight w:val="0"/>
      <w:marTop w:val="0"/>
      <w:marBottom w:val="0"/>
      <w:divBdr>
        <w:top w:val="none" w:sz="0" w:space="0" w:color="auto"/>
        <w:left w:val="none" w:sz="0" w:space="0" w:color="auto"/>
        <w:bottom w:val="none" w:sz="0" w:space="0" w:color="auto"/>
        <w:right w:val="none" w:sz="0" w:space="0" w:color="auto"/>
      </w:divBdr>
    </w:div>
    <w:div w:id="1864594218">
      <w:bodyDiv w:val="1"/>
      <w:marLeft w:val="0"/>
      <w:marRight w:val="0"/>
      <w:marTop w:val="0"/>
      <w:marBottom w:val="0"/>
      <w:divBdr>
        <w:top w:val="none" w:sz="0" w:space="0" w:color="auto"/>
        <w:left w:val="none" w:sz="0" w:space="0" w:color="auto"/>
        <w:bottom w:val="none" w:sz="0" w:space="0" w:color="auto"/>
        <w:right w:val="none" w:sz="0" w:space="0" w:color="auto"/>
      </w:divBdr>
    </w:div>
    <w:div w:id="1888297786">
      <w:bodyDiv w:val="1"/>
      <w:marLeft w:val="0"/>
      <w:marRight w:val="0"/>
      <w:marTop w:val="0"/>
      <w:marBottom w:val="0"/>
      <w:divBdr>
        <w:top w:val="none" w:sz="0" w:space="0" w:color="auto"/>
        <w:left w:val="none" w:sz="0" w:space="0" w:color="auto"/>
        <w:bottom w:val="none" w:sz="0" w:space="0" w:color="auto"/>
        <w:right w:val="none" w:sz="0" w:space="0" w:color="auto"/>
      </w:divBdr>
    </w:div>
    <w:div w:id="1928490062">
      <w:bodyDiv w:val="1"/>
      <w:marLeft w:val="0"/>
      <w:marRight w:val="0"/>
      <w:marTop w:val="0"/>
      <w:marBottom w:val="0"/>
      <w:divBdr>
        <w:top w:val="none" w:sz="0" w:space="0" w:color="auto"/>
        <w:left w:val="none" w:sz="0" w:space="0" w:color="auto"/>
        <w:bottom w:val="none" w:sz="0" w:space="0" w:color="auto"/>
        <w:right w:val="none" w:sz="0" w:space="0" w:color="auto"/>
      </w:divBdr>
      <w:divsChild>
        <w:div w:id="651131442">
          <w:marLeft w:val="547"/>
          <w:marRight w:val="0"/>
          <w:marTop w:val="200"/>
          <w:marBottom w:val="0"/>
          <w:divBdr>
            <w:top w:val="none" w:sz="0" w:space="0" w:color="auto"/>
            <w:left w:val="none" w:sz="0" w:space="0" w:color="auto"/>
            <w:bottom w:val="none" w:sz="0" w:space="0" w:color="auto"/>
            <w:right w:val="none" w:sz="0" w:space="0" w:color="auto"/>
          </w:divBdr>
        </w:div>
      </w:divsChild>
    </w:div>
    <w:div w:id="1960603799">
      <w:bodyDiv w:val="1"/>
      <w:marLeft w:val="0"/>
      <w:marRight w:val="0"/>
      <w:marTop w:val="0"/>
      <w:marBottom w:val="0"/>
      <w:divBdr>
        <w:top w:val="none" w:sz="0" w:space="0" w:color="auto"/>
        <w:left w:val="none" w:sz="0" w:space="0" w:color="auto"/>
        <w:bottom w:val="none" w:sz="0" w:space="0" w:color="auto"/>
        <w:right w:val="none" w:sz="0" w:space="0" w:color="auto"/>
      </w:divBdr>
    </w:div>
    <w:div w:id="1998415833">
      <w:bodyDiv w:val="1"/>
      <w:marLeft w:val="0"/>
      <w:marRight w:val="0"/>
      <w:marTop w:val="0"/>
      <w:marBottom w:val="0"/>
      <w:divBdr>
        <w:top w:val="none" w:sz="0" w:space="0" w:color="auto"/>
        <w:left w:val="none" w:sz="0" w:space="0" w:color="auto"/>
        <w:bottom w:val="none" w:sz="0" w:space="0" w:color="auto"/>
        <w:right w:val="none" w:sz="0" w:space="0" w:color="auto"/>
      </w:divBdr>
    </w:div>
    <w:div w:id="2008246278">
      <w:bodyDiv w:val="1"/>
      <w:marLeft w:val="0"/>
      <w:marRight w:val="0"/>
      <w:marTop w:val="0"/>
      <w:marBottom w:val="0"/>
      <w:divBdr>
        <w:top w:val="none" w:sz="0" w:space="0" w:color="auto"/>
        <w:left w:val="none" w:sz="0" w:space="0" w:color="auto"/>
        <w:bottom w:val="none" w:sz="0" w:space="0" w:color="auto"/>
        <w:right w:val="none" w:sz="0" w:space="0" w:color="auto"/>
      </w:divBdr>
    </w:div>
    <w:div w:id="2019846838">
      <w:bodyDiv w:val="1"/>
      <w:marLeft w:val="0"/>
      <w:marRight w:val="0"/>
      <w:marTop w:val="0"/>
      <w:marBottom w:val="0"/>
      <w:divBdr>
        <w:top w:val="none" w:sz="0" w:space="0" w:color="auto"/>
        <w:left w:val="none" w:sz="0" w:space="0" w:color="auto"/>
        <w:bottom w:val="none" w:sz="0" w:space="0" w:color="auto"/>
        <w:right w:val="none" w:sz="0" w:space="0" w:color="auto"/>
      </w:divBdr>
    </w:div>
    <w:div w:id="211413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erec.europa.eu/eng/document_register/subject_matter/berec/reports/8907-berec-report-regulatory-accounting-in-practice-2019" TargetMode="External"/><Relationship Id="rId18" Type="http://schemas.openxmlformats.org/officeDocument/2006/relationships/hyperlink" Target="https://www.kroll.com/en/insights/publications/cost-of-capital/us-equity-risk-premium-increased-march-25-2020" TargetMode="External"/><Relationship Id="rId26" Type="http://schemas.openxmlformats.org/officeDocument/2006/relationships/chart" Target="charts/chart3.xml"/><Relationship Id="rId39" Type="http://schemas.openxmlformats.org/officeDocument/2006/relationships/hyperlink" Target="https://erhvervsstyrelsen.dk/sites/default/files/2019-03/Wacc_bilag_5_-_review_of_dbas_proposed_revision_of_the_wacc_calculation_for_the_telecom_market_in_denmark.pdf" TargetMode="External"/><Relationship Id="rId21" Type="http://schemas.openxmlformats.org/officeDocument/2006/relationships/hyperlink" Target="file:///C:\Users\Ekaterine%20Imedadze\AppData\Local\Microsoft\Windows\INetCache\Content.Outlook\2KF5CVTC\&#8226;%09https:\ec.europa.eu\digital-single-market\en\news\eu-commission-issues-recommendation-concerning-wholesale-high-quality-access-market-hungary" TargetMode="External"/><Relationship Id="rId34" Type="http://schemas.openxmlformats.org/officeDocument/2006/relationships/hyperlink" Target="http://people.stern.nyu.edu/adamodar/New_Home_Page/datacurrent.html" TargetMode="External"/><Relationship Id="rId42" Type="http://schemas.openxmlformats.org/officeDocument/2006/relationships/hyperlink" Target="https://erhvervsstyrelsen.dk/sites/default/files/2019-03/Wacc_bilag_5_-_review_of_dbas_proposed_revision_of_the_wacc_calculation_for_the_telecom_market_in_denmark.pdf" TargetMode="External"/><Relationship Id="rId47" Type="http://schemas.openxmlformats.org/officeDocument/2006/relationships/hyperlink" Target="https://berec.europa.eu/files/document_register_store/2021/11/Transcript_BEREC_Stakeholder_Forum_28OCT2021.pdf" TargetMode="External"/><Relationship Id="rId50" Type="http://schemas.openxmlformats.org/officeDocument/2006/relationships/chart" Target="charts/chart7.xml"/><Relationship Id="rId55" Type="http://schemas.openxmlformats.org/officeDocument/2006/relationships/hyperlink" Target="https://berec.europa.eu/eng/document_register/subject_matter/berec/reports/9364-berec-report-on-wacc-parameter-calculations-according-to-the-european-commission8217s-wacc-noti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erec.europa.eu/eng/document_register/subject_matter/berec/reports/8907-berec-report-regulatory-accounting-in-practice-2019" TargetMode="External"/><Relationship Id="rId29" Type="http://schemas.openxmlformats.org/officeDocument/2006/relationships/hyperlink" Target="https://static.tbccapital.ge/uploads/files/TBCCapital-Silknet1H2021.pdf?v=1" TargetMode="External"/><Relationship Id="rId11" Type="http://schemas.openxmlformats.org/officeDocument/2006/relationships/hyperlink" Target="https://www.fitchratings.com/entity/georgia-85877873" TargetMode="External"/><Relationship Id="rId24" Type="http://schemas.openxmlformats.org/officeDocument/2006/relationships/chart" Target="charts/chart1.xml"/><Relationship Id="rId32" Type="http://schemas.openxmlformats.org/officeDocument/2006/relationships/chart" Target="charts/chart4.xml"/><Relationship Id="rId37" Type="http://schemas.openxmlformats.org/officeDocument/2006/relationships/hyperlink" Target="https://brattlefiles.blob.core.windows.net/files/7177_review_of_approaches_to_estimate_a_reasonable_rate_of_return_for_investments_in_telecoms_networks_in_regulatory_proceedings_and_options_for_eu_harmonization.pdf" TargetMode="External"/><Relationship Id="rId40" Type="http://schemas.openxmlformats.org/officeDocument/2006/relationships/hyperlink" Target="https://www.hakom.hr/userdocsimages/javnaRasprava/Odluka-Izra%C4%8Dun%20WACC-a%202016.pdf" TargetMode="External"/><Relationship Id="rId45" Type="http://schemas.openxmlformats.org/officeDocument/2006/relationships/hyperlink" Target="https://www.hakom.hr/userdocsimages/javnaRasprava/Odluka-Izra%C4%8Dun%20WACC-a%202016.pdf" TargetMode="External"/><Relationship Id="rId53" Type="http://schemas.openxmlformats.org/officeDocument/2006/relationships/hyperlink" Target="https://www.etsi.org/technologies/5G"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cfainstitute.org/-/media/documents/book/rf-publication/2021/igcc-summary-edition-2021.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erec.europa.eu/eng/document_register/subject_matter/berec/reports/9718-berec-report-on-regulatory-accounting-in-practice-2020" TargetMode="External"/><Relationship Id="rId22" Type="http://schemas.openxmlformats.org/officeDocument/2006/relationships/hyperlink" Target="https://berec.europa.eu/eng/document_register/subject_matter/berec/reports/8907-berec-report-regulatory-accounting-in-practice-2019" TargetMode="External"/><Relationship Id="rId27" Type="http://schemas.openxmlformats.org/officeDocument/2006/relationships/hyperlink" Target="https://berec.europa.eu/eng/document_register/subject_matter/berec/reports/9718-berec-report-on-regulatory-accounting-in-practice-2020" TargetMode="External"/><Relationship Id="rId30" Type="http://schemas.openxmlformats.org/officeDocument/2006/relationships/hyperlink" Target="https://galtandtaggart.com/en/reports/research-reports/silknet-2020-year-mobile-data" TargetMode="External"/><Relationship Id="rId35" Type="http://schemas.openxmlformats.org/officeDocument/2006/relationships/hyperlink" Target="https://home.kpmg/de/en/home/insights/2021/10/cost-of-capital-study-2021.html" TargetMode="External"/><Relationship Id="rId43" Type="http://schemas.openxmlformats.org/officeDocument/2006/relationships/hyperlink" Target="https://www.ofcom.org.uk/__data/assets/pdf_file/0025/216088/wftmr-statement-volume-4-pricing-remedies.pdf" TargetMode="External"/><Relationship Id="rId48" Type="http://schemas.openxmlformats.org/officeDocument/2006/relationships/chart" Target="charts/chart6.xml"/><Relationship Id="rId56" Type="http://schemas.openxmlformats.org/officeDocument/2006/relationships/hyperlink" Target="http://www.comcom.ge" TargetMode="External"/><Relationship Id="rId8" Type="http://schemas.openxmlformats.org/officeDocument/2006/relationships/header" Target="header1.xml"/><Relationship Id="rId51" Type="http://schemas.openxmlformats.org/officeDocument/2006/relationships/hyperlink" Target="https://digital-agenda-data.eu/charts/analyse-one-indicator-and-compare-countries" TargetMode="External"/><Relationship Id="rId3" Type="http://schemas.openxmlformats.org/officeDocument/2006/relationships/styles" Target="styles.xml"/><Relationship Id="rId12" Type="http://schemas.openxmlformats.org/officeDocument/2006/relationships/hyperlink" Target="https://mof.ge/en/5344" TargetMode="External"/><Relationship Id="rId17" Type="http://schemas.openxmlformats.org/officeDocument/2006/relationships/hyperlink" Target="https://www.acm.nl/sites/default/files/documents/2020-03/onderzoek-naar-de-vermogenskostenvoet-van-kpn-en-vodafoneziggo_1.pdf" TargetMode="External"/><Relationship Id="rId25" Type="http://schemas.openxmlformats.org/officeDocument/2006/relationships/chart" Target="charts/chart2.xml"/><Relationship Id="rId33" Type="http://schemas.openxmlformats.org/officeDocument/2006/relationships/chart" Target="charts/chart5.xml"/><Relationship Id="rId38" Type="http://schemas.openxmlformats.org/officeDocument/2006/relationships/hyperlink" Target="https://www.acm.nl/sites/default/files/documents/2020-03/onderzoek-naar-de-vermogenskostenvoet-van-kpn-en-vodafoneziggo_1.pdf" TargetMode="External"/><Relationship Id="rId46" Type="http://schemas.openxmlformats.org/officeDocument/2006/relationships/hyperlink" Target="https://www.acm.nl/sites/default/files/documents/2020-03/onderzoek-naar-de-vermogenskostenvoet-van-kpn-en-vodafoneziggo_1.pdf" TargetMode="External"/><Relationship Id="rId20" Type="http://schemas.openxmlformats.org/officeDocument/2006/relationships/hyperlink" Target="https://wayback.archive-it.org/12090/20210426010633/https:/digital-strategy.ec.europa.eu/en/news/european-commission-opens-second-phase-investigation-slovenian-wholesale-high-quality-broadband" TargetMode="External"/><Relationship Id="rId41" Type="http://schemas.openxmlformats.org/officeDocument/2006/relationships/hyperlink" Target="https://www.agcom.it/documents/10179/15564025/Allegato+8-8-2019+1565258235491/db1a4e26-b066-4f26-9a84-642f854432ae?version=1.0" TargetMode="External"/><Relationship Id="rId54" Type="http://schemas.openxmlformats.org/officeDocument/2006/relationships/hyperlink" Target="https://www.3gpp.org/DynaReport/38-series.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rattlefiles.blob.core.windows.net/files/7177_review_of_approaches_to_estimate_a_reasonable_rate_of_return_for_investments_in_telecoms_networks_in_regulatory_proceedings_and_options_for_eu_harmonization.pdf" TargetMode="External"/><Relationship Id="rId23" Type="http://schemas.openxmlformats.org/officeDocument/2006/relationships/hyperlink" Target="https://berec.europa.eu/eng/document_register/subject_matter/berec/reports/9364-berec-report-on-wacc-parameter-calculations-according-to-the-european-commission8217s-wacc-notice" TargetMode="External"/><Relationship Id="rId28" Type="http://schemas.openxmlformats.org/officeDocument/2006/relationships/hyperlink" Target="https://ec.europa.eu/information_society/newsroom/image/document/2018-27/05-07-2018_wacc_background_document_60A8BB89-B677-CE6F-C44D838BD437C73D_53397.pdf" TargetMode="External"/><Relationship Id="rId36" Type="http://schemas.openxmlformats.org/officeDocument/2006/relationships/hyperlink" Target="https://berec.europa.eu/eng/document_register/subject_matter/berec/reports/8907-berec-report-regulatory-accounting-in-practice-2019" TargetMode="External"/><Relationship Id="rId49" Type="http://schemas.openxmlformats.org/officeDocument/2006/relationships/hyperlink" Target="https://www.oecd.org/digital/broadband/broadband-statistics/" TargetMode="External"/><Relationship Id="rId57" Type="http://schemas.openxmlformats.org/officeDocument/2006/relationships/fontTable" Target="fontTable.xml"/><Relationship Id="rId10" Type="http://schemas.openxmlformats.org/officeDocument/2006/relationships/hyperlink" Target="https://brattlefiles.blob.core.windows.net/files/6240_calculating_the_equity_risk_premium_and_the_risk-free_rate_harris_villadsen_lo_passo_nov_26_2012.pdf" TargetMode="External"/><Relationship Id="rId31" Type="http://schemas.openxmlformats.org/officeDocument/2006/relationships/hyperlink" Target="http://people.stern.nyu.edu/adamodar/New_Home_Page/datacurrent.html" TargetMode="External"/><Relationship Id="rId44" Type="http://schemas.openxmlformats.org/officeDocument/2006/relationships/hyperlink" Target="https://www.agcom.it/documents/10179/15564025/Allegato+8-8-2019+1565258235491/db1a4e26-b066-4f26-9a84-642f854432ae?version=1.0" TargetMode="External"/><Relationship Id="rId52" Type="http://schemas.openxmlformats.org/officeDocument/2006/relationships/hyperlink" Target="https://www.3gpp.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orgi%20Basharuli\Desktop\WACC\beta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orgi%20Basharuli\Desktop\WACC\beta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iorgi%20Basharuli\Desktop\WACC\betas.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riam%20Lukashvili\Desktop\NGA%20Premium\digital_agenda_scoreboard_key_indicators_05_11_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ariam%20Lukashvili\Desktop\NGA%20Premium\digital_agenda_scoreboard_key_indicators_05_11_20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ariam%20Lukashvili\Desktop\NGA%20Premium\digital_agenda_scoreboard_key_indicators_05_11_202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ka-GE"/>
              <a:t>ფიქსირებული ინტერნეტი</a:t>
            </a:r>
            <a:endParaRPr lang="en-GB"/>
          </a:p>
        </c:rich>
      </c:tx>
      <c:layout>
        <c:manualLayout>
          <c:xMode val="edge"/>
          <c:yMode val="edge"/>
          <c:x val="0.12439121756487025"/>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ka-GE"/>
        </a:p>
      </c:txPr>
    </c:title>
    <c:autoTitleDeleted val="0"/>
    <c:plotArea>
      <c:layout>
        <c:manualLayout>
          <c:layoutTarget val="inner"/>
          <c:xMode val="edge"/>
          <c:yMode val="edge"/>
          <c:x val="9.1021421723482168E-2"/>
          <c:y val="7.0826718088810317E-2"/>
          <c:w val="0.9080261524195703"/>
          <c:h val="0.54775810166586325"/>
        </c:manualLayout>
      </c:layout>
      <c:barChart>
        <c:barDir val="col"/>
        <c:grouping val="clustered"/>
        <c:varyColors val="0"/>
        <c:ser>
          <c:idx val="0"/>
          <c:order val="0"/>
          <c:tx>
            <c:strRef>
              <c:f>Sheet2!$AG$3</c:f>
              <c:strCache>
                <c:ptCount val="1"/>
                <c:pt idx="0">
                  <c:v>2018</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Sheet2!$AF$4:$AF$11</c:f>
              <c:strCache>
                <c:ptCount val="8"/>
                <c:pt idx="0">
                  <c:v>Croatia</c:v>
                </c:pt>
                <c:pt idx="1">
                  <c:v>Cyprus</c:v>
                </c:pt>
                <c:pt idx="2">
                  <c:v>Germany</c:v>
                </c:pt>
                <c:pt idx="3">
                  <c:v>Hungary</c:v>
                </c:pt>
                <c:pt idx="4">
                  <c:v>Ireland</c:v>
                </c:pt>
                <c:pt idx="5">
                  <c:v>Netherlands</c:v>
                </c:pt>
                <c:pt idx="6">
                  <c:v>Portugal</c:v>
                </c:pt>
                <c:pt idx="7">
                  <c:v>Spain</c:v>
                </c:pt>
              </c:strCache>
            </c:strRef>
          </c:cat>
          <c:val>
            <c:numRef>
              <c:f>Sheet2!$AG$4:$AG$11</c:f>
              <c:numCache>
                <c:formatCode>General</c:formatCode>
                <c:ptCount val="8"/>
                <c:pt idx="0">
                  <c:v>0.87</c:v>
                </c:pt>
                <c:pt idx="1">
                  <c:v>0.66</c:v>
                </c:pt>
                <c:pt idx="2">
                  <c:v>1.01</c:v>
                </c:pt>
                <c:pt idx="3">
                  <c:v>0.78</c:v>
                </c:pt>
                <c:pt idx="4">
                  <c:v>0.92</c:v>
                </c:pt>
                <c:pt idx="5">
                  <c:v>0.69</c:v>
                </c:pt>
                <c:pt idx="6">
                  <c:v>0.85599999999999998</c:v>
                </c:pt>
                <c:pt idx="7">
                  <c:v>0.61</c:v>
                </c:pt>
              </c:numCache>
            </c:numRef>
          </c:val>
          <c:extLst>
            <c:ext xmlns:c16="http://schemas.microsoft.com/office/drawing/2014/chart" uri="{C3380CC4-5D6E-409C-BE32-E72D297353CC}">
              <c16:uniqueId val="{00000000-FD7B-4EC8-A7DB-E7BB5A46C93B}"/>
            </c:ext>
          </c:extLst>
        </c:ser>
        <c:ser>
          <c:idx val="1"/>
          <c:order val="1"/>
          <c:tx>
            <c:strRef>
              <c:f>Sheet2!$AH$3</c:f>
              <c:strCache>
                <c:ptCount val="1"/>
                <c:pt idx="0">
                  <c:v>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Sheet2!$AF$4:$AF$11</c:f>
              <c:strCache>
                <c:ptCount val="8"/>
                <c:pt idx="0">
                  <c:v>Croatia</c:v>
                </c:pt>
                <c:pt idx="1">
                  <c:v>Cyprus</c:v>
                </c:pt>
                <c:pt idx="2">
                  <c:v>Germany</c:v>
                </c:pt>
                <c:pt idx="3">
                  <c:v>Hungary</c:v>
                </c:pt>
                <c:pt idx="4">
                  <c:v>Ireland</c:v>
                </c:pt>
                <c:pt idx="5">
                  <c:v>Netherlands</c:v>
                </c:pt>
                <c:pt idx="6">
                  <c:v>Portugal</c:v>
                </c:pt>
                <c:pt idx="7">
                  <c:v>Spain</c:v>
                </c:pt>
              </c:strCache>
            </c:strRef>
          </c:cat>
          <c:val>
            <c:numRef>
              <c:f>Sheet2!$AH$4:$AH$11</c:f>
              <c:numCache>
                <c:formatCode>General</c:formatCode>
                <c:ptCount val="8"/>
                <c:pt idx="0">
                  <c:v>0.77</c:v>
                </c:pt>
                <c:pt idx="1">
                  <c:v>0.44900000000000001</c:v>
                </c:pt>
                <c:pt idx="2">
                  <c:v>0.88</c:v>
                </c:pt>
                <c:pt idx="3">
                  <c:v>0.71</c:v>
                </c:pt>
                <c:pt idx="4">
                  <c:v>0.75</c:v>
                </c:pt>
                <c:pt idx="5">
                  <c:v>0.68</c:v>
                </c:pt>
                <c:pt idx="6">
                  <c:v>0.76200000000000001</c:v>
                </c:pt>
                <c:pt idx="7">
                  <c:v>0.57999999999999996</c:v>
                </c:pt>
              </c:numCache>
            </c:numRef>
          </c:val>
          <c:extLst>
            <c:ext xmlns:c16="http://schemas.microsoft.com/office/drawing/2014/chart" uri="{C3380CC4-5D6E-409C-BE32-E72D297353CC}">
              <c16:uniqueId val="{00000001-FD7B-4EC8-A7DB-E7BB5A46C93B}"/>
            </c:ext>
          </c:extLst>
        </c:ser>
        <c:dLbls>
          <c:showLegendKey val="0"/>
          <c:showVal val="0"/>
          <c:showCatName val="0"/>
          <c:showSerName val="0"/>
          <c:showPercent val="0"/>
          <c:showBubbleSize val="0"/>
        </c:dLbls>
        <c:gapWidth val="100"/>
        <c:overlap val="-24"/>
        <c:axId val="455327656"/>
        <c:axId val="455327984"/>
      </c:barChart>
      <c:catAx>
        <c:axId val="455327656"/>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a-GE"/>
          </a:p>
        </c:txPr>
        <c:crossAx val="455327984"/>
        <c:crosses val="autoZero"/>
        <c:auto val="1"/>
        <c:lblAlgn val="ctr"/>
        <c:lblOffset val="100"/>
        <c:noMultiLvlLbl val="0"/>
      </c:catAx>
      <c:valAx>
        <c:axId val="4553279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a-GE"/>
          </a:p>
        </c:txPr>
        <c:crossAx val="455327656"/>
        <c:crosses val="autoZero"/>
        <c:crossBetween val="between"/>
      </c:valAx>
      <c:spPr>
        <a:noFill/>
        <a:ln>
          <a:noFill/>
        </a:ln>
        <a:effectLst/>
      </c:spPr>
    </c:plotArea>
    <c:legend>
      <c:legendPos val="b"/>
      <c:layout>
        <c:manualLayout>
          <c:xMode val="edge"/>
          <c:yMode val="edge"/>
          <c:x val="0.36526223144262654"/>
          <c:y val="0.90174603720386481"/>
          <c:w val="0.26947553711474687"/>
          <c:h val="9.183737747067331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a-G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ka-GE"/>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NGA</a:t>
            </a:r>
            <a:r>
              <a:rPr lang="ka-GE"/>
              <a:t> ტექნოლოგია</a:t>
            </a:r>
            <a:endParaRPr lang="en-US"/>
          </a:p>
        </c:rich>
      </c:tx>
      <c:layout>
        <c:manualLayout>
          <c:xMode val="edge"/>
          <c:yMode val="edge"/>
          <c:x val="0.21647798742138369"/>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ka-GE"/>
        </a:p>
      </c:txPr>
    </c:title>
    <c:autoTitleDeleted val="0"/>
    <c:plotArea>
      <c:layout>
        <c:manualLayout>
          <c:layoutTarget val="inner"/>
          <c:xMode val="edge"/>
          <c:yMode val="edge"/>
          <c:x val="0.10443436361499589"/>
          <c:y val="7.1129251700680268E-2"/>
          <c:w val="0.85178454185764096"/>
          <c:h val="0.67813123359580052"/>
        </c:manualLayout>
      </c:layout>
      <c:barChart>
        <c:barDir val="col"/>
        <c:grouping val="clustered"/>
        <c:varyColors val="0"/>
        <c:ser>
          <c:idx val="0"/>
          <c:order val="0"/>
          <c:tx>
            <c:strRef>
              <c:f>Sheet2!$AK$3</c:f>
              <c:strCache>
                <c:ptCount val="1"/>
                <c:pt idx="0">
                  <c:v>2018</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Sheet2!$AJ$4:$AJ$8</c:f>
              <c:strCache>
                <c:ptCount val="5"/>
                <c:pt idx="0">
                  <c:v>Croatia</c:v>
                </c:pt>
                <c:pt idx="1">
                  <c:v>Cyprus</c:v>
                </c:pt>
                <c:pt idx="2">
                  <c:v>Germany</c:v>
                </c:pt>
                <c:pt idx="3">
                  <c:v>Hungary</c:v>
                </c:pt>
                <c:pt idx="4">
                  <c:v>Portugal</c:v>
                </c:pt>
              </c:strCache>
            </c:strRef>
          </c:cat>
          <c:val>
            <c:numRef>
              <c:f>Sheet2!$AK$4:$AK$8</c:f>
              <c:numCache>
                <c:formatCode>General</c:formatCode>
                <c:ptCount val="5"/>
                <c:pt idx="0">
                  <c:v>0.87</c:v>
                </c:pt>
                <c:pt idx="1">
                  <c:v>0.63</c:v>
                </c:pt>
                <c:pt idx="2">
                  <c:v>1.01</c:v>
                </c:pt>
                <c:pt idx="3">
                  <c:v>0.78</c:v>
                </c:pt>
                <c:pt idx="4">
                  <c:v>0.85599999999999998</c:v>
                </c:pt>
              </c:numCache>
            </c:numRef>
          </c:val>
          <c:extLst>
            <c:ext xmlns:c16="http://schemas.microsoft.com/office/drawing/2014/chart" uri="{C3380CC4-5D6E-409C-BE32-E72D297353CC}">
              <c16:uniqueId val="{00000000-073E-410B-895B-7C3C3C51030B}"/>
            </c:ext>
          </c:extLst>
        </c:ser>
        <c:ser>
          <c:idx val="1"/>
          <c:order val="1"/>
          <c:tx>
            <c:strRef>
              <c:f>Sheet2!$AL$3</c:f>
              <c:strCache>
                <c:ptCount val="1"/>
                <c:pt idx="0">
                  <c:v>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Sheet2!$AJ$4:$AJ$8</c:f>
              <c:strCache>
                <c:ptCount val="5"/>
                <c:pt idx="0">
                  <c:v>Croatia</c:v>
                </c:pt>
                <c:pt idx="1">
                  <c:v>Cyprus</c:v>
                </c:pt>
                <c:pt idx="2">
                  <c:v>Germany</c:v>
                </c:pt>
                <c:pt idx="3">
                  <c:v>Hungary</c:v>
                </c:pt>
                <c:pt idx="4">
                  <c:v>Portugal</c:v>
                </c:pt>
              </c:strCache>
            </c:strRef>
          </c:cat>
          <c:val>
            <c:numRef>
              <c:f>Sheet2!$AL$4:$AL$8</c:f>
              <c:numCache>
                <c:formatCode>General</c:formatCode>
                <c:ptCount val="5"/>
                <c:pt idx="0">
                  <c:v>0.77</c:v>
                </c:pt>
                <c:pt idx="1">
                  <c:v>0.44900000000000001</c:v>
                </c:pt>
                <c:pt idx="2">
                  <c:v>0.88</c:v>
                </c:pt>
                <c:pt idx="3">
                  <c:v>0.71</c:v>
                </c:pt>
                <c:pt idx="4">
                  <c:v>0.76200000000000001</c:v>
                </c:pt>
              </c:numCache>
            </c:numRef>
          </c:val>
          <c:extLst>
            <c:ext xmlns:c16="http://schemas.microsoft.com/office/drawing/2014/chart" uri="{C3380CC4-5D6E-409C-BE32-E72D297353CC}">
              <c16:uniqueId val="{00000001-073E-410B-895B-7C3C3C51030B}"/>
            </c:ext>
          </c:extLst>
        </c:ser>
        <c:dLbls>
          <c:showLegendKey val="0"/>
          <c:showVal val="0"/>
          <c:showCatName val="0"/>
          <c:showSerName val="0"/>
          <c:showPercent val="0"/>
          <c:showBubbleSize val="0"/>
        </c:dLbls>
        <c:gapWidth val="100"/>
        <c:overlap val="-24"/>
        <c:axId val="485351856"/>
        <c:axId val="485351200"/>
      </c:barChart>
      <c:catAx>
        <c:axId val="4853518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a-GE"/>
          </a:p>
        </c:txPr>
        <c:crossAx val="485351200"/>
        <c:crosses val="autoZero"/>
        <c:auto val="1"/>
        <c:lblAlgn val="ctr"/>
        <c:lblOffset val="100"/>
        <c:noMultiLvlLbl val="0"/>
      </c:catAx>
      <c:valAx>
        <c:axId val="4853512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a-GE"/>
          </a:p>
        </c:txPr>
        <c:crossAx val="485351856"/>
        <c:crosses val="autoZero"/>
        <c:crossBetween val="between"/>
      </c:valAx>
      <c:spPr>
        <a:noFill/>
        <a:ln>
          <a:noFill/>
        </a:ln>
        <a:effectLst/>
      </c:spPr>
    </c:plotArea>
    <c:legend>
      <c:legendPos val="b"/>
      <c:layout>
        <c:manualLayout>
          <c:xMode val="edge"/>
          <c:yMode val="edge"/>
          <c:x val="0.36267584476468745"/>
          <c:y val="0.90174603720386481"/>
          <c:w val="0.26867113252634467"/>
          <c:h val="9.183737747067331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a-G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ka-GE"/>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ka-GE"/>
              <a:t>მობილური</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ka-GE"/>
        </a:p>
      </c:txPr>
    </c:title>
    <c:autoTitleDeleted val="0"/>
    <c:plotArea>
      <c:layout/>
      <c:barChart>
        <c:barDir val="col"/>
        <c:grouping val="clustered"/>
        <c:varyColors val="0"/>
        <c:ser>
          <c:idx val="0"/>
          <c:order val="0"/>
          <c:tx>
            <c:strRef>
              <c:f>Sheet2!$AO$3</c:f>
              <c:strCache>
                <c:ptCount val="1"/>
                <c:pt idx="0">
                  <c:v>2018</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Sheet2!$AN$4:$AN$9</c:f>
              <c:strCache>
                <c:ptCount val="6"/>
                <c:pt idx="0">
                  <c:v>Croatia</c:v>
                </c:pt>
                <c:pt idx="1">
                  <c:v>Cyprus</c:v>
                </c:pt>
                <c:pt idx="2">
                  <c:v>Germany</c:v>
                </c:pt>
                <c:pt idx="3">
                  <c:v>Hungary</c:v>
                </c:pt>
                <c:pt idx="4">
                  <c:v>Ireland</c:v>
                </c:pt>
                <c:pt idx="5">
                  <c:v>Spain</c:v>
                </c:pt>
              </c:strCache>
            </c:strRef>
          </c:cat>
          <c:val>
            <c:numRef>
              <c:f>Sheet2!$AO$4:$AO$9</c:f>
              <c:numCache>
                <c:formatCode>General</c:formatCode>
                <c:ptCount val="6"/>
                <c:pt idx="0">
                  <c:v>0.89</c:v>
                </c:pt>
                <c:pt idx="1">
                  <c:v>0.63</c:v>
                </c:pt>
                <c:pt idx="2">
                  <c:v>1.01</c:v>
                </c:pt>
                <c:pt idx="3">
                  <c:v>0.83</c:v>
                </c:pt>
                <c:pt idx="4">
                  <c:v>0.93</c:v>
                </c:pt>
                <c:pt idx="5">
                  <c:v>0.61</c:v>
                </c:pt>
              </c:numCache>
            </c:numRef>
          </c:val>
          <c:extLst>
            <c:ext xmlns:c16="http://schemas.microsoft.com/office/drawing/2014/chart" uri="{C3380CC4-5D6E-409C-BE32-E72D297353CC}">
              <c16:uniqueId val="{00000000-3A8C-490E-BA7D-E3324D58753E}"/>
            </c:ext>
          </c:extLst>
        </c:ser>
        <c:ser>
          <c:idx val="1"/>
          <c:order val="1"/>
          <c:tx>
            <c:strRef>
              <c:f>Sheet2!$AP$3</c:f>
              <c:strCache>
                <c:ptCount val="1"/>
                <c:pt idx="0">
                  <c:v>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Sheet2!$AN$4:$AN$9</c:f>
              <c:strCache>
                <c:ptCount val="6"/>
                <c:pt idx="0">
                  <c:v>Croatia</c:v>
                </c:pt>
                <c:pt idx="1">
                  <c:v>Cyprus</c:v>
                </c:pt>
                <c:pt idx="2">
                  <c:v>Germany</c:v>
                </c:pt>
                <c:pt idx="3">
                  <c:v>Hungary</c:v>
                </c:pt>
                <c:pt idx="4">
                  <c:v>Ireland</c:v>
                </c:pt>
                <c:pt idx="5">
                  <c:v>Spain</c:v>
                </c:pt>
              </c:strCache>
            </c:strRef>
          </c:cat>
          <c:val>
            <c:numRef>
              <c:f>Sheet2!$AP$4:$AP$9</c:f>
              <c:numCache>
                <c:formatCode>General</c:formatCode>
                <c:ptCount val="6"/>
                <c:pt idx="0">
                  <c:v>0.74</c:v>
                </c:pt>
                <c:pt idx="1">
                  <c:v>0.44900000000000001</c:v>
                </c:pt>
                <c:pt idx="2">
                  <c:v>0.99</c:v>
                </c:pt>
                <c:pt idx="3">
                  <c:v>0.56000000000000005</c:v>
                </c:pt>
                <c:pt idx="4">
                  <c:v>0.82</c:v>
                </c:pt>
                <c:pt idx="5">
                  <c:v>0.57999999999999996</c:v>
                </c:pt>
              </c:numCache>
            </c:numRef>
          </c:val>
          <c:extLst>
            <c:ext xmlns:c16="http://schemas.microsoft.com/office/drawing/2014/chart" uri="{C3380CC4-5D6E-409C-BE32-E72D297353CC}">
              <c16:uniqueId val="{00000001-3A8C-490E-BA7D-E3324D58753E}"/>
            </c:ext>
          </c:extLst>
        </c:ser>
        <c:dLbls>
          <c:showLegendKey val="0"/>
          <c:showVal val="0"/>
          <c:showCatName val="0"/>
          <c:showSerName val="0"/>
          <c:showPercent val="0"/>
          <c:showBubbleSize val="0"/>
        </c:dLbls>
        <c:gapWidth val="100"/>
        <c:overlap val="-24"/>
        <c:axId val="485349888"/>
        <c:axId val="485350216"/>
      </c:barChart>
      <c:catAx>
        <c:axId val="4853498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a-GE"/>
          </a:p>
        </c:txPr>
        <c:crossAx val="485350216"/>
        <c:crosses val="autoZero"/>
        <c:auto val="1"/>
        <c:lblAlgn val="ctr"/>
        <c:lblOffset val="100"/>
        <c:noMultiLvlLbl val="0"/>
      </c:catAx>
      <c:valAx>
        <c:axId val="4853502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a-GE"/>
          </a:p>
        </c:txPr>
        <c:crossAx val="485349888"/>
        <c:crosses val="autoZero"/>
        <c:crossBetween val="between"/>
      </c:valAx>
      <c:spPr>
        <a:noFill/>
        <a:ln>
          <a:noFill/>
        </a:ln>
        <a:effectLst/>
      </c:spPr>
    </c:plotArea>
    <c:legend>
      <c:legendPos val="b"/>
      <c:layout>
        <c:manualLayout>
          <c:xMode val="edge"/>
          <c:yMode val="edge"/>
          <c:x val="0.36838222655796343"/>
          <c:y val="0.90343280051366959"/>
          <c:w val="0.26323554688407313"/>
          <c:h val="9.65671994863303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ka-G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ka-GE"/>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ka-GE"/>
              <a:t>სესხის ხარჯი</a:t>
            </a:r>
            <a:endParaRPr lang="en-GB"/>
          </a:p>
        </c:rich>
      </c:tx>
      <c:layout>
        <c:manualLayout>
          <c:xMode val="edge"/>
          <c:yMode val="edge"/>
          <c:x val="0.33877414259387784"/>
          <c:y val="0"/>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ka-GE"/>
        </a:p>
      </c:txPr>
    </c:title>
    <c:autoTitleDeleted val="0"/>
    <c:plotArea>
      <c:layout/>
      <c:barChart>
        <c:barDir val="col"/>
        <c:grouping val="clustered"/>
        <c:varyColors val="0"/>
        <c:ser>
          <c:idx val="0"/>
          <c:order val="0"/>
          <c:tx>
            <c:strRef>
              <c:f>'WACC by Inustries'!$A$119</c:f>
              <c:strCache>
                <c:ptCount val="1"/>
                <c:pt idx="0">
                  <c:v>ტელეკომუნიკაციები</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ka-G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'WACC by Inustries'!$B$118:$C$118</c:f>
              <c:strCache>
                <c:ptCount val="2"/>
                <c:pt idx="0">
                  <c:v>ევროპა</c:v>
                </c:pt>
                <c:pt idx="1">
                  <c:v>განვითარებადი ქვეყნები</c:v>
                </c:pt>
              </c:strCache>
            </c:strRef>
          </c:cat>
          <c:val>
            <c:numRef>
              <c:f>'WACC by Inustries'!$B$119:$C$119</c:f>
              <c:numCache>
                <c:formatCode>0.00%</c:formatCode>
                <c:ptCount val="2"/>
                <c:pt idx="0">
                  <c:v>3.3500000000000002E-2</c:v>
                </c:pt>
                <c:pt idx="1">
                  <c:v>4.2599999999999999E-2</c:v>
                </c:pt>
              </c:numCache>
            </c:numRef>
          </c:val>
          <c:extLst>
            <c:ext xmlns:c16="http://schemas.microsoft.com/office/drawing/2014/chart" uri="{C3380CC4-5D6E-409C-BE32-E72D297353CC}">
              <c16:uniqueId val="{00000000-0E7C-4F93-B491-D39AEE9299B4}"/>
            </c:ext>
          </c:extLst>
        </c:ser>
        <c:ser>
          <c:idx val="1"/>
          <c:order val="1"/>
          <c:tx>
            <c:strRef>
              <c:f>'WACC by Inustries'!$A$120</c:f>
              <c:strCache>
                <c:ptCount val="1"/>
                <c:pt idx="0">
                  <c:v>მთლიანად ეკონომიკა</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ka-G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'WACC by Inustries'!$B$118:$C$118</c:f>
              <c:strCache>
                <c:ptCount val="2"/>
                <c:pt idx="0">
                  <c:v>ევროპა</c:v>
                </c:pt>
                <c:pt idx="1">
                  <c:v>განვითარებადი ქვეყნები</c:v>
                </c:pt>
              </c:strCache>
            </c:strRef>
          </c:cat>
          <c:val>
            <c:numRef>
              <c:f>'WACC by Inustries'!$B$120:$C$120</c:f>
              <c:numCache>
                <c:formatCode>0.00%</c:formatCode>
                <c:ptCount val="2"/>
                <c:pt idx="0">
                  <c:v>3.3500000000000002E-2</c:v>
                </c:pt>
                <c:pt idx="1">
                  <c:v>4.2599999999999999E-2</c:v>
                </c:pt>
              </c:numCache>
            </c:numRef>
          </c:val>
          <c:extLst>
            <c:ext xmlns:c16="http://schemas.microsoft.com/office/drawing/2014/chart" uri="{C3380CC4-5D6E-409C-BE32-E72D297353CC}">
              <c16:uniqueId val="{00000001-0E7C-4F93-B491-D39AEE9299B4}"/>
            </c:ext>
          </c:extLst>
        </c:ser>
        <c:dLbls>
          <c:dLblPos val="outEnd"/>
          <c:showLegendKey val="0"/>
          <c:showVal val="1"/>
          <c:showCatName val="0"/>
          <c:showSerName val="0"/>
          <c:showPercent val="0"/>
          <c:showBubbleSize val="0"/>
        </c:dLbls>
        <c:gapWidth val="100"/>
        <c:overlap val="-24"/>
        <c:axId val="562991215"/>
        <c:axId val="562989551"/>
      </c:barChart>
      <c:catAx>
        <c:axId val="56299121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ka-GE"/>
          </a:p>
        </c:txPr>
        <c:crossAx val="562989551"/>
        <c:crosses val="autoZero"/>
        <c:auto val="1"/>
        <c:lblAlgn val="ctr"/>
        <c:lblOffset val="100"/>
        <c:noMultiLvlLbl val="0"/>
      </c:catAx>
      <c:valAx>
        <c:axId val="562989551"/>
        <c:scaling>
          <c:orientation val="minMax"/>
        </c:scaling>
        <c:delete val="1"/>
        <c:axPos val="l"/>
        <c:numFmt formatCode="0.00%" sourceLinked="1"/>
        <c:majorTickMark val="none"/>
        <c:minorTickMark val="none"/>
        <c:tickLblPos val="nextTo"/>
        <c:crossAx val="5629912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ka-G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ka-G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ka-GE"/>
              <a:t>სესხის ხარჯი</a:t>
            </a:r>
            <a:endParaRPr lang="en-GB"/>
          </a:p>
        </c:rich>
      </c:tx>
      <c:layout>
        <c:manualLayout>
          <c:xMode val="edge"/>
          <c:yMode val="edge"/>
          <c:x val="0.33729030803664878"/>
          <c:y val="0"/>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ka-GE"/>
        </a:p>
      </c:txPr>
    </c:title>
    <c:autoTitleDeleted val="0"/>
    <c:plotArea>
      <c:layout>
        <c:manualLayout>
          <c:layoutTarget val="inner"/>
          <c:xMode val="edge"/>
          <c:yMode val="edge"/>
          <c:x val="4.4989775051124746E-2"/>
          <c:y val="0.16916299559471362"/>
          <c:w val="0.91002044989775055"/>
          <c:h val="0.44786419683151119"/>
        </c:manualLayout>
      </c:layout>
      <c:barChart>
        <c:barDir val="col"/>
        <c:grouping val="clustered"/>
        <c:varyColors val="0"/>
        <c:ser>
          <c:idx val="0"/>
          <c:order val="0"/>
          <c:tx>
            <c:strRef>
              <c:f>'WACC by Inustries'!$B$123</c:f>
              <c:strCache>
                <c:ptCount val="1"/>
                <c:pt idx="0">
                  <c:v>გერმანია, შვეიცარია, ავსტრია</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ka-G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'WACC by Inustries'!$A$124:$A$125</c:f>
              <c:strCache>
                <c:ptCount val="2"/>
                <c:pt idx="0">
                  <c:v>მედია და ტელეკომუნიკაციები</c:v>
                </c:pt>
                <c:pt idx="1">
                  <c:v>მთლიანი ეკონომიკა</c:v>
                </c:pt>
              </c:strCache>
            </c:strRef>
          </c:cat>
          <c:val>
            <c:numRef>
              <c:f>'WACC by Inustries'!$B$124:$B$125</c:f>
              <c:numCache>
                <c:formatCode>0.00%</c:formatCode>
                <c:ptCount val="2"/>
                <c:pt idx="0">
                  <c:v>2.1000000000000001E-2</c:v>
                </c:pt>
                <c:pt idx="1">
                  <c:v>2.1000000000000001E-2</c:v>
                </c:pt>
              </c:numCache>
            </c:numRef>
          </c:val>
          <c:extLst>
            <c:ext xmlns:c16="http://schemas.microsoft.com/office/drawing/2014/chart" uri="{C3380CC4-5D6E-409C-BE32-E72D297353CC}">
              <c16:uniqueId val="{00000000-07F7-4D90-9F97-43CE1C2CD7B6}"/>
            </c:ext>
          </c:extLst>
        </c:ser>
        <c:dLbls>
          <c:dLblPos val="outEnd"/>
          <c:showLegendKey val="0"/>
          <c:showVal val="1"/>
          <c:showCatName val="0"/>
          <c:showSerName val="0"/>
          <c:showPercent val="0"/>
          <c:showBubbleSize val="0"/>
        </c:dLbls>
        <c:gapWidth val="100"/>
        <c:overlap val="-24"/>
        <c:axId val="562991215"/>
        <c:axId val="562989551"/>
      </c:barChart>
      <c:catAx>
        <c:axId val="56299121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ka-GE"/>
          </a:p>
        </c:txPr>
        <c:crossAx val="562989551"/>
        <c:crosses val="autoZero"/>
        <c:auto val="1"/>
        <c:lblAlgn val="ctr"/>
        <c:lblOffset val="100"/>
        <c:noMultiLvlLbl val="0"/>
      </c:catAx>
      <c:valAx>
        <c:axId val="562989551"/>
        <c:scaling>
          <c:orientation val="minMax"/>
        </c:scaling>
        <c:delete val="1"/>
        <c:axPos val="l"/>
        <c:numFmt formatCode="0.00%" sourceLinked="1"/>
        <c:majorTickMark val="none"/>
        <c:minorTickMark val="none"/>
        <c:tickLblPos val="nextTo"/>
        <c:crossAx val="5629912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ka-G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ka-G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ka-GE" sz="1200"/>
              <a:t>ოპტიკურ-ბოჭკოვანი ტექნოლოგიის წილი ფიქსირებულ ფართოზოლოვან ინტერნეტის მომსახურებაში</a:t>
            </a:r>
            <a:endParaRPr lang="en-GB" sz="1200"/>
          </a:p>
        </c:rich>
      </c:tx>
      <c:layout>
        <c:manualLayout>
          <c:xMode val="edge"/>
          <c:yMode val="edge"/>
          <c:x val="0.1815794306703398"/>
          <c:y val="0"/>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ka-GE"/>
        </a:p>
      </c:txPr>
    </c:title>
    <c:autoTitleDeleted val="0"/>
    <c:plotArea>
      <c:layout>
        <c:manualLayout>
          <c:layoutTarget val="inner"/>
          <c:xMode val="edge"/>
          <c:yMode val="edge"/>
          <c:x val="2.2222222222222223E-2"/>
          <c:y val="7.0495522185386017E-2"/>
          <c:w val="0.97777777777777775"/>
          <c:h val="0.53901934448978028"/>
        </c:manualLayout>
      </c:layout>
      <c:barChart>
        <c:barDir val="col"/>
        <c:grouping val="clustered"/>
        <c:varyColors val="0"/>
        <c:ser>
          <c:idx val="0"/>
          <c:order val="0"/>
          <c:tx>
            <c:strRef>
              <c:f>Sheet1!$I$3</c:f>
              <c:strCache>
                <c:ptCount val="1"/>
                <c:pt idx="0">
                  <c:v>2020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0"/>
            <c:invertIfNegative val="0"/>
            <c:bubble3D val="0"/>
            <c:spPr>
              <a:solidFill>
                <a:srgbClr val="00B0F0"/>
              </a:solidFill>
              <a:ln>
                <a:solidFill>
                  <a:srgbClr val="00B0F0"/>
                </a:solidFill>
              </a:ln>
              <a:effectLst>
                <a:outerShdw blurRad="40000" dist="23000" dir="5400000" rotWithShape="0">
                  <a:srgbClr val="000000">
                    <a:alpha val="35000"/>
                  </a:srgbClr>
                </a:outerShdw>
              </a:effectLst>
            </c:spPr>
            <c:extLst>
              <c:ext xmlns:c16="http://schemas.microsoft.com/office/drawing/2014/chart" uri="{C3380CC4-5D6E-409C-BE32-E72D297353CC}">
                <c16:uniqueId val="{00000001-155B-4530-B6C0-C188BD77E2EF}"/>
              </c:ext>
            </c:extLst>
          </c:dPt>
          <c:dPt>
            <c:idx val="9"/>
            <c:invertIfNegative val="0"/>
            <c:bubble3D val="0"/>
            <c:extLst>
              <c:ext xmlns:c16="http://schemas.microsoft.com/office/drawing/2014/chart" uri="{C3380CC4-5D6E-409C-BE32-E72D297353CC}">
                <c16:uniqueId val="{00000003-155B-4530-B6C0-C188BD77E2EF}"/>
              </c:ext>
            </c:extLst>
          </c:dPt>
          <c:dPt>
            <c:idx val="15"/>
            <c:invertIfNegative val="0"/>
            <c:bubble3D val="0"/>
            <c:extLst>
              <c:ext xmlns:c16="http://schemas.microsoft.com/office/drawing/2014/chart" uri="{C3380CC4-5D6E-409C-BE32-E72D297353CC}">
                <c16:uniqueId val="{00000005-155B-4530-B6C0-C188BD77E2EF}"/>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5B-4530-B6C0-C188BD77E2EF}"/>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2"/>
                    </a:solidFill>
                    <a:latin typeface="+mn-lt"/>
                    <a:ea typeface="+mn-ea"/>
                    <a:cs typeface="+mn-cs"/>
                  </a:defRPr>
                </a:pPr>
                <a:endParaRPr lang="ka-GE"/>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(Sheet1!$H$4,Sheet1!$H$6:$H$10,Sheet1!$H$12:$H$17,Sheet1!$H$19:$H$21,Sheet1!$H$23,Sheet1!$H$25:$H$33,Sheet1!$H$36,Sheet1!$H$38:$H$42)</c:f>
              <c:strCache>
                <c:ptCount val="28"/>
                <c:pt idx="0">
                  <c:v>საქართველო</c:v>
                </c:pt>
                <c:pt idx="1">
                  <c:v>ლიტვა</c:v>
                </c:pt>
                <c:pt idx="2">
                  <c:v>რუმინეთი</c:v>
                </c:pt>
                <c:pt idx="3">
                  <c:v>ესპანეთი</c:v>
                </c:pt>
                <c:pt idx="4">
                  <c:v>ლატვია</c:v>
                </c:pt>
                <c:pt idx="5">
                  <c:v>შვედეთი</c:v>
                </c:pt>
                <c:pt idx="6">
                  <c:v>ნორვეგია</c:v>
                </c:pt>
                <c:pt idx="7">
                  <c:v>ფინეთი</c:v>
                </c:pt>
                <c:pt idx="8">
                  <c:v>პორტუგალია</c:v>
                </c:pt>
                <c:pt idx="9">
                  <c:v>ლუქსემბურგი</c:v>
                </c:pt>
                <c:pt idx="10">
                  <c:v>ესტონეთი</c:v>
                </c:pt>
                <c:pt idx="11">
                  <c:v>სლოვენია</c:v>
                </c:pt>
                <c:pt idx="12">
                  <c:v>დანია</c:v>
                </c:pt>
                <c:pt idx="13">
                  <c:v>სლოვაკეთი</c:v>
                </c:pt>
                <c:pt idx="14">
                  <c:v>საფრანგეთი</c:v>
                </c:pt>
                <c:pt idx="15">
                  <c:v>უნგრეთი</c:v>
                </c:pt>
                <c:pt idx="16">
                  <c:v>პოლონეთი</c:v>
                </c:pt>
                <c:pt idx="17">
                  <c:v>თურქეთი</c:v>
                </c:pt>
                <c:pt idx="18">
                  <c:v>შვეიცარია</c:v>
                </c:pt>
                <c:pt idx="19">
                  <c:v>ნიდერლანდები</c:v>
                </c:pt>
                <c:pt idx="20">
                  <c:v>ჩეხეთი</c:v>
                </c:pt>
                <c:pt idx="21">
                  <c:v>ისლანდია</c:v>
                </c:pt>
                <c:pt idx="22">
                  <c:v>იტალია</c:v>
                </c:pt>
                <c:pt idx="23">
                  <c:v>გერმანია</c:v>
                </c:pt>
                <c:pt idx="24">
                  <c:v>დიდი ბრიტანეთი</c:v>
                </c:pt>
                <c:pt idx="25">
                  <c:v>ავსტრია</c:v>
                </c:pt>
                <c:pt idx="26">
                  <c:v>ბელგია</c:v>
                </c:pt>
                <c:pt idx="27">
                  <c:v>საბერძნეთი</c:v>
                </c:pt>
              </c:strCache>
              <c:extLst/>
            </c:strRef>
          </c:cat>
          <c:val>
            <c:numRef>
              <c:f>(Sheet1!$I$4,Sheet1!$I$6:$I$10,Sheet1!$I$12:$I$17,Sheet1!$I$19:$I$21,Sheet1!$I$23,Sheet1!$I$25:$I$33,Sheet1!$I$36,Sheet1!$I$38:$I$42)</c:f>
              <c:numCache>
                <c:formatCode>0%</c:formatCode>
                <c:ptCount val="28"/>
                <c:pt idx="0">
                  <c:v>0.83767535070140275</c:v>
                </c:pt>
                <c:pt idx="1">
                  <c:v>0.76569999999999994</c:v>
                </c:pt>
                <c:pt idx="2">
                  <c:v>0.75040000000000007</c:v>
                </c:pt>
                <c:pt idx="3">
                  <c:v>0.73170000000000002</c:v>
                </c:pt>
                <c:pt idx="4">
                  <c:v>0.70920000000000005</c:v>
                </c:pt>
                <c:pt idx="5">
                  <c:v>0.68599999999999994</c:v>
                </c:pt>
                <c:pt idx="6">
                  <c:v>0.6</c:v>
                </c:pt>
                <c:pt idx="7">
                  <c:v>0.57310000000000005</c:v>
                </c:pt>
                <c:pt idx="8">
                  <c:v>0.55069999999999997</c:v>
                </c:pt>
                <c:pt idx="9">
                  <c:v>0.50209999999999999</c:v>
                </c:pt>
                <c:pt idx="10">
                  <c:v>0.4526</c:v>
                </c:pt>
                <c:pt idx="11">
                  <c:v>0.44439999999999996</c:v>
                </c:pt>
                <c:pt idx="12">
                  <c:v>0.3957</c:v>
                </c:pt>
                <c:pt idx="13">
                  <c:v>0.35220000000000001</c:v>
                </c:pt>
                <c:pt idx="14">
                  <c:v>0.33659999999999995</c:v>
                </c:pt>
                <c:pt idx="15">
                  <c:v>0.30469999999999997</c:v>
                </c:pt>
                <c:pt idx="16">
                  <c:v>0.28970000000000001</c:v>
                </c:pt>
                <c:pt idx="17">
                  <c:v>0.2394</c:v>
                </c:pt>
                <c:pt idx="18">
                  <c:v>0.22800000000000001</c:v>
                </c:pt>
                <c:pt idx="19">
                  <c:v>0.21340000000000001</c:v>
                </c:pt>
                <c:pt idx="20">
                  <c:v>0.18809999999999999</c:v>
                </c:pt>
                <c:pt idx="21">
                  <c:v>0.16390000000000002</c:v>
                </c:pt>
                <c:pt idx="22">
                  <c:v>0.10050000000000001</c:v>
                </c:pt>
                <c:pt idx="23">
                  <c:v>5.3600000000000002E-2</c:v>
                </c:pt>
                <c:pt idx="24">
                  <c:v>4.7E-2</c:v>
                </c:pt>
                <c:pt idx="25">
                  <c:v>4.4299999999999999E-2</c:v>
                </c:pt>
                <c:pt idx="26">
                  <c:v>1.6399999999999998E-2</c:v>
                </c:pt>
                <c:pt idx="27">
                  <c:v>2E-3</c:v>
                </c:pt>
              </c:numCache>
              <c:extLst/>
            </c:numRef>
          </c:val>
          <c:extLst>
            <c:ext xmlns:c16="http://schemas.microsoft.com/office/drawing/2014/chart" uri="{C3380CC4-5D6E-409C-BE32-E72D297353CC}">
              <c16:uniqueId val="{00000006-155B-4530-B6C0-C188BD77E2EF}"/>
            </c:ext>
          </c:extLst>
        </c:ser>
        <c:dLbls>
          <c:showLegendKey val="0"/>
          <c:showVal val="0"/>
          <c:showCatName val="0"/>
          <c:showSerName val="0"/>
          <c:showPercent val="0"/>
          <c:showBubbleSize val="0"/>
        </c:dLbls>
        <c:gapWidth val="30"/>
        <c:axId val="562988719"/>
        <c:axId val="562991215"/>
      </c:barChart>
      <c:lineChart>
        <c:grouping val="standard"/>
        <c:varyColors val="0"/>
        <c:ser>
          <c:idx val="1"/>
          <c:order val="1"/>
          <c:tx>
            <c:strRef>
              <c:f>Sheet1!$J$3</c:f>
              <c:strCache>
                <c:ptCount val="1"/>
                <c:pt idx="0">
                  <c:v>2019</c:v>
                </c:pt>
              </c:strCache>
            </c:strRef>
          </c:tx>
          <c:spPr>
            <a:ln w="25400" cap="rnd">
              <a:noFill/>
              <a:round/>
            </a:ln>
            <a:effectLst>
              <a:outerShdw blurRad="40000" dist="23000" dir="5400000" rotWithShape="0">
                <a:srgbClr val="000000">
                  <a:alpha val="35000"/>
                </a:srgbClr>
              </a:outerShdw>
            </a:effectLst>
          </c:spPr>
          <c:marker>
            <c:symbol val="circle"/>
            <c:size val="6"/>
            <c:spPr>
              <a:solidFill>
                <a:srgbClr val="002060"/>
              </a:solidFill>
              <a:ln w="12700">
                <a:solidFill>
                  <a:srgbClr val="002060"/>
                </a:solidFill>
                <a:round/>
              </a:ln>
              <a:effectLst>
                <a:outerShdw blurRad="40000" dist="23000" dir="5400000" rotWithShape="0">
                  <a:srgbClr val="000000">
                    <a:alpha val="35000"/>
                  </a:srgbClr>
                </a:outerShdw>
              </a:effectLst>
            </c:spPr>
          </c:marker>
          <c:cat>
            <c:strRef>
              <c:f>(Sheet1!$B$4,Sheet1!$B$6:$B$10,Sheet1!$B$12:$B$17,Sheet1!$B$19:$B$21,Sheet1!$B$23,Sheet1!$B$25:$B$33,Sheet1!$B$36,Sheet1!$B$38:$B$42)</c:f>
              <c:strCache>
                <c:ptCount val="22"/>
                <c:pt idx="0">
                  <c:v>მალტა</c:v>
                </c:pt>
                <c:pt idx="1">
                  <c:v>დანია</c:v>
                </c:pt>
                <c:pt idx="2">
                  <c:v>ესპანეთი</c:v>
                </c:pt>
                <c:pt idx="3">
                  <c:v>ნიდერლანდები</c:v>
                </c:pt>
                <c:pt idx="4">
                  <c:v>ლატვია</c:v>
                </c:pt>
                <c:pt idx="5">
                  <c:v>პორტუგალია</c:v>
                </c:pt>
                <c:pt idx="6">
                  <c:v>ისლანდია</c:v>
                </c:pt>
                <c:pt idx="7">
                  <c:v>შვედეთი</c:v>
                </c:pt>
                <c:pt idx="8">
                  <c:v>რუმინეთი</c:v>
                </c:pt>
                <c:pt idx="9">
                  <c:v>საქართველო *</c:v>
                </c:pt>
                <c:pt idx="10">
                  <c:v>ნორვეგია</c:v>
                </c:pt>
                <c:pt idx="11">
                  <c:v>ესტონეთი</c:v>
                </c:pt>
                <c:pt idx="12">
                  <c:v>ლიტვა</c:v>
                </c:pt>
                <c:pt idx="13">
                  <c:v>ფინეთი</c:v>
                </c:pt>
                <c:pt idx="14">
                  <c:v>სლოვენია</c:v>
                </c:pt>
                <c:pt idx="15">
                  <c:v>ევროკავშრი</c:v>
                </c:pt>
                <c:pt idx="16">
                  <c:v>საფრანგეთი</c:v>
                </c:pt>
                <c:pt idx="17">
                  <c:v>სლოვაკია</c:v>
                </c:pt>
                <c:pt idx="18">
                  <c:v>უნგრეთი</c:v>
                </c:pt>
                <c:pt idx="19">
                  <c:v>ავსტრია</c:v>
                </c:pt>
                <c:pt idx="20">
                  <c:v>იტალია</c:v>
                </c:pt>
                <c:pt idx="21">
                  <c:v>კვიპროსი</c:v>
                </c:pt>
              </c:strCache>
              <c:extLst/>
            </c:strRef>
          </c:cat>
          <c:val>
            <c:numRef>
              <c:f>(Sheet1!$J$4,Sheet1!$J$6:$J$10,Sheet1!$J$12:$J$17,Sheet1!$J$19:$J$21,Sheet1!$J$23,Sheet1!$J$25:$J$33,Sheet1!$J$36,Sheet1!$J$38:$J$42)</c:f>
              <c:numCache>
                <c:formatCode>0%</c:formatCode>
                <c:ptCount val="28"/>
                <c:pt idx="0">
                  <c:v>0.81934112646121149</c:v>
                </c:pt>
                <c:pt idx="1">
                  <c:v>0.75280000000000002</c:v>
                </c:pt>
                <c:pt idx="2">
                  <c:v>0.71189999999999998</c:v>
                </c:pt>
                <c:pt idx="3">
                  <c:v>0.66689999999999994</c:v>
                </c:pt>
                <c:pt idx="4">
                  <c:v>0.69359999999999999</c:v>
                </c:pt>
                <c:pt idx="5">
                  <c:v>0.62139999999999995</c:v>
                </c:pt>
                <c:pt idx="6">
                  <c:v>0.54059999999999997</c:v>
                </c:pt>
                <c:pt idx="7">
                  <c:v>0.54369999999999996</c:v>
                </c:pt>
                <c:pt idx="8">
                  <c:v>0.50609999999999999</c:v>
                </c:pt>
                <c:pt idx="9">
                  <c:v>0.42200000000000004</c:v>
                </c:pt>
                <c:pt idx="10">
                  <c:v>0.42680000000000001</c:v>
                </c:pt>
                <c:pt idx="11">
                  <c:v>0.40360000000000001</c:v>
                </c:pt>
                <c:pt idx="12">
                  <c:v>0.35049999999999998</c:v>
                </c:pt>
                <c:pt idx="13">
                  <c:v>0.32119999999999999</c:v>
                </c:pt>
                <c:pt idx="14">
                  <c:v>0.23730000000000001</c:v>
                </c:pt>
                <c:pt idx="15">
                  <c:v>0.26619999999999999</c:v>
                </c:pt>
                <c:pt idx="16">
                  <c:v>0.24329999999999999</c:v>
                </c:pt>
                <c:pt idx="17">
                  <c:v>0.22579999999999997</c:v>
                </c:pt>
                <c:pt idx="18">
                  <c:v>0.20710000000000001</c:v>
                </c:pt>
                <c:pt idx="19">
                  <c:v>0.18579999999999999</c:v>
                </c:pt>
                <c:pt idx="20">
                  <c:v>0.1782</c:v>
                </c:pt>
                <c:pt idx="21">
                  <c:v>0.111</c:v>
                </c:pt>
                <c:pt idx="22">
                  <c:v>6.9699999999999998E-2</c:v>
                </c:pt>
                <c:pt idx="23">
                  <c:v>4.4000000000000004E-2</c:v>
                </c:pt>
                <c:pt idx="24">
                  <c:v>2.92E-2</c:v>
                </c:pt>
                <c:pt idx="25">
                  <c:v>2.9900000000000003E-2</c:v>
                </c:pt>
                <c:pt idx="26">
                  <c:v>1.04E-2</c:v>
                </c:pt>
                <c:pt idx="27">
                  <c:v>1.9E-3</c:v>
                </c:pt>
              </c:numCache>
              <c:extLst/>
            </c:numRef>
          </c:val>
          <c:smooth val="0"/>
          <c:extLst>
            <c:ext xmlns:c16="http://schemas.microsoft.com/office/drawing/2014/chart" uri="{C3380CC4-5D6E-409C-BE32-E72D297353CC}">
              <c16:uniqueId val="{00000007-155B-4530-B6C0-C188BD77E2EF}"/>
            </c:ext>
          </c:extLst>
        </c:ser>
        <c:ser>
          <c:idx val="2"/>
          <c:order val="2"/>
          <c:tx>
            <c:strRef>
              <c:f>Sheet1!$K$3</c:f>
              <c:strCache>
                <c:ptCount val="1"/>
                <c:pt idx="0">
                  <c:v>2018</c:v>
                </c:pt>
              </c:strCache>
            </c:strRef>
          </c:tx>
          <c:spPr>
            <a:ln w="25400" cap="rnd">
              <a:noFill/>
              <a:round/>
            </a:ln>
            <a:effectLst>
              <a:outerShdw blurRad="40000" dist="23000" dir="5400000" rotWithShape="0">
                <a:srgbClr val="000000">
                  <a:alpha val="35000"/>
                </a:srgbClr>
              </a:outerShdw>
            </a:effectLst>
          </c:spPr>
          <c:marker>
            <c:symbol val="circle"/>
            <c:size val="6"/>
            <c:spPr>
              <a:solidFill>
                <a:srgbClr val="00B050"/>
              </a:solidFill>
              <a:ln w="12700">
                <a:solidFill>
                  <a:srgbClr val="00B050"/>
                </a:solidFill>
                <a:round/>
              </a:ln>
              <a:effectLst>
                <a:outerShdw blurRad="40000" dist="23000" dir="5400000" rotWithShape="0">
                  <a:srgbClr val="000000">
                    <a:alpha val="35000"/>
                  </a:srgbClr>
                </a:outerShdw>
              </a:effectLst>
            </c:spPr>
          </c:marker>
          <c:cat>
            <c:strRef>
              <c:f>(Sheet1!$B$4,Sheet1!$B$6:$B$10,Sheet1!$B$12:$B$17,Sheet1!$B$19:$B$21,Sheet1!$B$23,Sheet1!$B$25:$B$33,Sheet1!$B$36,Sheet1!$B$38:$B$42)</c:f>
              <c:strCache>
                <c:ptCount val="22"/>
                <c:pt idx="0">
                  <c:v>მალტა</c:v>
                </c:pt>
                <c:pt idx="1">
                  <c:v>დანია</c:v>
                </c:pt>
                <c:pt idx="2">
                  <c:v>ესპანეთი</c:v>
                </c:pt>
                <c:pt idx="3">
                  <c:v>ნიდერლანდები</c:v>
                </c:pt>
                <c:pt idx="4">
                  <c:v>ლატვია</c:v>
                </c:pt>
                <c:pt idx="5">
                  <c:v>პორტუგალია</c:v>
                </c:pt>
                <c:pt idx="6">
                  <c:v>ისლანდია</c:v>
                </c:pt>
                <c:pt idx="7">
                  <c:v>შვედეთი</c:v>
                </c:pt>
                <c:pt idx="8">
                  <c:v>რუმინეთი</c:v>
                </c:pt>
                <c:pt idx="9">
                  <c:v>საქართველო *</c:v>
                </c:pt>
                <c:pt idx="10">
                  <c:v>ნორვეგია</c:v>
                </c:pt>
                <c:pt idx="11">
                  <c:v>ესტონეთი</c:v>
                </c:pt>
                <c:pt idx="12">
                  <c:v>ლიტვა</c:v>
                </c:pt>
                <c:pt idx="13">
                  <c:v>ფინეთი</c:v>
                </c:pt>
                <c:pt idx="14">
                  <c:v>სლოვენია</c:v>
                </c:pt>
                <c:pt idx="15">
                  <c:v>ევროკავშრი</c:v>
                </c:pt>
                <c:pt idx="16">
                  <c:v>საფრანგეთი</c:v>
                </c:pt>
                <c:pt idx="17">
                  <c:v>სლოვაკია</c:v>
                </c:pt>
                <c:pt idx="18">
                  <c:v>უნგრეთი</c:v>
                </c:pt>
                <c:pt idx="19">
                  <c:v>ავსტრია</c:v>
                </c:pt>
                <c:pt idx="20">
                  <c:v>იტალია</c:v>
                </c:pt>
                <c:pt idx="21">
                  <c:v>კვიპროსი</c:v>
                </c:pt>
              </c:strCache>
              <c:extLst/>
            </c:strRef>
          </c:cat>
          <c:val>
            <c:numRef>
              <c:f>(Sheet1!$K$4,Sheet1!$K$6:$K$10,Sheet1!$K$12:$K$17,Sheet1!$K$19:$K$21,Sheet1!$K$23,Sheet1!$K$25:$K$33,Sheet1!$K$36,Sheet1!$K$38:$K$42)</c:f>
              <c:numCache>
                <c:formatCode>0%</c:formatCode>
                <c:ptCount val="28"/>
                <c:pt idx="0">
                  <c:v>0.75491329479768787</c:v>
                </c:pt>
                <c:pt idx="1">
                  <c:v>0.73549999999999993</c:v>
                </c:pt>
                <c:pt idx="2">
                  <c:v>0.6694</c:v>
                </c:pt>
                <c:pt idx="3">
                  <c:v>0.57489999999999997</c:v>
                </c:pt>
                <c:pt idx="4">
                  <c:v>0.67610000000000003</c:v>
                </c:pt>
                <c:pt idx="5">
                  <c:v>0.52359999999999995</c:v>
                </c:pt>
                <c:pt idx="6">
                  <c:v>0.48399999999999999</c:v>
                </c:pt>
                <c:pt idx="7">
                  <c:v>0.51119999999999999</c:v>
                </c:pt>
                <c:pt idx="8">
                  <c:v>0.45200000000000001</c:v>
                </c:pt>
                <c:pt idx="9">
                  <c:v>0.3488</c:v>
                </c:pt>
                <c:pt idx="10">
                  <c:v>0.38390000000000002</c:v>
                </c:pt>
                <c:pt idx="11">
                  <c:v>0.36579999999999996</c:v>
                </c:pt>
                <c:pt idx="12">
                  <c:v>0.31280000000000002</c:v>
                </c:pt>
                <c:pt idx="13">
                  <c:v>0.30469999999999997</c:v>
                </c:pt>
                <c:pt idx="14">
                  <c:v>0.16500000000000001</c:v>
                </c:pt>
                <c:pt idx="15">
                  <c:v>0.2361</c:v>
                </c:pt>
                <c:pt idx="16">
                  <c:v>0.20489999999999997</c:v>
                </c:pt>
                <c:pt idx="17">
                  <c:v>0.2089</c:v>
                </c:pt>
                <c:pt idx="18">
                  <c:v>0.18289999999999998</c:v>
                </c:pt>
                <c:pt idx="19">
                  <c:v>0.17300000000000001</c:v>
                </c:pt>
                <c:pt idx="20">
                  <c:v>0.19359999999999999</c:v>
                </c:pt>
                <c:pt idx="21">
                  <c:v>6.3399999999999998E-2</c:v>
                </c:pt>
                <c:pt idx="22">
                  <c:v>5.04E-2</c:v>
                </c:pt>
                <c:pt idx="23">
                  <c:v>3.1800000000000002E-2</c:v>
                </c:pt>
                <c:pt idx="24">
                  <c:v>1.9199999999999998E-2</c:v>
                </c:pt>
                <c:pt idx="25">
                  <c:v>2.4900000000000002E-2</c:v>
                </c:pt>
                <c:pt idx="26">
                  <c:v>7.1999999999999998E-3</c:v>
                </c:pt>
                <c:pt idx="27">
                  <c:v>1.6000000000000001E-3</c:v>
                </c:pt>
              </c:numCache>
              <c:extLst/>
            </c:numRef>
          </c:val>
          <c:smooth val="0"/>
          <c:extLst>
            <c:ext xmlns:c16="http://schemas.microsoft.com/office/drawing/2014/chart" uri="{C3380CC4-5D6E-409C-BE32-E72D297353CC}">
              <c16:uniqueId val="{00000008-155B-4530-B6C0-C188BD77E2EF}"/>
            </c:ext>
          </c:extLst>
        </c:ser>
        <c:dLbls>
          <c:showLegendKey val="0"/>
          <c:showVal val="0"/>
          <c:showCatName val="0"/>
          <c:showSerName val="0"/>
          <c:showPercent val="0"/>
          <c:showBubbleSize val="0"/>
        </c:dLbls>
        <c:marker val="1"/>
        <c:smooth val="0"/>
        <c:axId val="562988719"/>
        <c:axId val="562991215"/>
      </c:lineChart>
      <c:catAx>
        <c:axId val="56298871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ka-GE"/>
          </a:p>
        </c:txPr>
        <c:crossAx val="562991215"/>
        <c:crosses val="autoZero"/>
        <c:auto val="1"/>
        <c:lblAlgn val="ctr"/>
        <c:lblOffset val="100"/>
        <c:noMultiLvlLbl val="0"/>
      </c:catAx>
      <c:valAx>
        <c:axId val="562991215"/>
        <c:scaling>
          <c:orientation val="minMax"/>
          <c:max val="1"/>
        </c:scaling>
        <c:delete val="1"/>
        <c:axPos val="l"/>
        <c:numFmt formatCode="0%" sourceLinked="1"/>
        <c:majorTickMark val="none"/>
        <c:minorTickMark val="none"/>
        <c:tickLblPos val="nextTo"/>
        <c:crossAx val="5629887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mn-lt"/>
              <a:ea typeface="+mn-ea"/>
              <a:cs typeface="+mn-cs"/>
            </a:defRPr>
          </a:pPr>
          <a:endParaRPr lang="ka-G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pPr>
      <a:endParaRPr lang="ka-G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chemeClr val="tx2"/>
                </a:solidFill>
                <a:latin typeface="+mn-lt"/>
                <a:ea typeface="+mn-ea"/>
                <a:cs typeface="+mn-cs"/>
              </a:defRPr>
            </a:pPr>
            <a:r>
              <a:rPr lang="ka-GE" sz="1200"/>
              <a:t>ოპტიკურ-ბოჭკოვანი ტექნოლოგიით დაფარვის არეალში მყოფი შინამეურენობების წილი მთლიან შინამეურნეობებში</a:t>
            </a:r>
            <a:endParaRPr lang="en-GB" sz="1200"/>
          </a:p>
        </c:rich>
      </c:tx>
      <c:layout>
        <c:manualLayout>
          <c:xMode val="edge"/>
          <c:yMode val="edge"/>
          <c:x val="0.12905416368408495"/>
          <c:y val="0"/>
        </c:manualLayout>
      </c:layout>
      <c:overlay val="0"/>
      <c:spPr>
        <a:noFill/>
        <a:ln>
          <a:noFill/>
        </a:ln>
        <a:effectLst/>
      </c:spPr>
      <c:txPr>
        <a:bodyPr rot="0" spcFirstLastPara="1" vertOverflow="ellipsis" vert="horz" wrap="square" anchor="ctr" anchorCtr="1"/>
        <a:lstStyle/>
        <a:p>
          <a:pPr>
            <a:defRPr sz="1440" b="1" i="0" u="none" strike="noStrike" kern="1200" baseline="0">
              <a:solidFill>
                <a:schemeClr val="tx2"/>
              </a:solidFill>
              <a:latin typeface="+mn-lt"/>
              <a:ea typeface="+mn-ea"/>
              <a:cs typeface="+mn-cs"/>
            </a:defRPr>
          </a:pPr>
          <a:endParaRPr lang="ka-GE"/>
        </a:p>
      </c:txPr>
    </c:title>
    <c:autoTitleDeleted val="0"/>
    <c:plotArea>
      <c:layout>
        <c:manualLayout>
          <c:layoutTarget val="inner"/>
          <c:xMode val="edge"/>
          <c:yMode val="edge"/>
          <c:x val="3.9970890002386059E-2"/>
          <c:y val="0.1534283390632509"/>
          <c:w val="0.93982708979559371"/>
          <c:h val="0.37655613470851357"/>
        </c:manualLayout>
      </c:layout>
      <c:barChart>
        <c:barDir val="col"/>
        <c:grouping val="clustered"/>
        <c:varyColors val="0"/>
        <c:ser>
          <c:idx val="0"/>
          <c:order val="0"/>
          <c:tx>
            <c:strRef>
              <c:f>Sheet1!$C$3</c:f>
              <c:strCache>
                <c:ptCount val="1"/>
                <c:pt idx="0">
                  <c:v>2020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11"/>
            <c:invertIfNegative val="0"/>
            <c:bubble3D val="0"/>
            <c:spPr>
              <a:solidFill>
                <a:srgbClr val="00B0F0"/>
              </a:solidFill>
              <a:ln>
                <a:solidFill>
                  <a:srgbClr val="00B0F0"/>
                </a:solidFill>
              </a:ln>
              <a:effectLst>
                <a:outerShdw blurRad="40000" dist="23000" dir="5400000" rotWithShape="0">
                  <a:srgbClr val="000000">
                    <a:alpha val="35000"/>
                  </a:srgbClr>
                </a:outerShdw>
              </a:effectLst>
            </c:spPr>
            <c:extLst>
              <c:ext xmlns:c16="http://schemas.microsoft.com/office/drawing/2014/chart" uri="{C3380CC4-5D6E-409C-BE32-E72D297353CC}">
                <c16:uniqueId val="{00000001-3ED7-499A-96EE-DC1AFC616D4F}"/>
              </c:ext>
            </c:extLst>
          </c:dPt>
          <c:dPt>
            <c:idx val="19"/>
            <c:invertIfNegative val="0"/>
            <c:bubble3D val="0"/>
            <c:spPr>
              <a:solidFill>
                <a:srgbClr val="00B0F0"/>
              </a:solidFill>
              <a:ln>
                <a:solidFill>
                  <a:srgbClr val="00B0F0"/>
                </a:solidFill>
              </a:ln>
              <a:effectLst>
                <a:outerShdw blurRad="40000" dist="23000" dir="5400000" rotWithShape="0">
                  <a:srgbClr val="000000">
                    <a:alpha val="35000"/>
                  </a:srgbClr>
                </a:outerShdw>
              </a:effectLst>
            </c:spPr>
            <c:extLst>
              <c:ext xmlns:c16="http://schemas.microsoft.com/office/drawing/2014/chart" uri="{C3380CC4-5D6E-409C-BE32-E72D297353CC}">
                <c16:uniqueId val="{00000003-3ED7-499A-96EE-DC1AFC616D4F}"/>
              </c:ext>
            </c:extLst>
          </c:dPt>
          <c:dLbls>
            <c:dLbl>
              <c:idx val="1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D7-499A-96EE-DC1AFC616D4F}"/>
                </c:ext>
              </c:extLst>
            </c:dLbl>
            <c:dLbl>
              <c:idx val="19"/>
              <c:layout>
                <c:manualLayout>
                  <c:x val="4.371585451845523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D7-499A-96EE-DC1AFC616D4F}"/>
                </c:ext>
              </c:extLst>
            </c:dLbl>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mn-lt"/>
                    <a:ea typeface="+mn-ea"/>
                    <a:cs typeface="+mn-cs"/>
                  </a:defRPr>
                </a:pPr>
                <a:endParaRPr lang="ka-GE"/>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Sheet1!$B$4:$B$35</c:f>
              <c:strCache>
                <c:ptCount val="32"/>
                <c:pt idx="0">
                  <c:v>მალტა</c:v>
                </c:pt>
                <c:pt idx="1">
                  <c:v>ლუქსემბურგი</c:v>
                </c:pt>
                <c:pt idx="2">
                  <c:v>დანია</c:v>
                </c:pt>
                <c:pt idx="3">
                  <c:v>ესპანეთი</c:v>
                </c:pt>
                <c:pt idx="4">
                  <c:v>ნიდერლანდები</c:v>
                </c:pt>
                <c:pt idx="5">
                  <c:v>ლატვია</c:v>
                </c:pt>
                <c:pt idx="6">
                  <c:v>პორტუგალია</c:v>
                </c:pt>
                <c:pt idx="7">
                  <c:v>ირლანდია</c:v>
                </c:pt>
                <c:pt idx="8">
                  <c:v>ისლანდია</c:v>
                </c:pt>
                <c:pt idx="9">
                  <c:v>შვედეთი</c:v>
                </c:pt>
                <c:pt idx="10">
                  <c:v>რუმინეთი</c:v>
                </c:pt>
                <c:pt idx="11">
                  <c:v>საქართველო *</c:v>
                </c:pt>
                <c:pt idx="12">
                  <c:v>ნორვეგია</c:v>
                </c:pt>
                <c:pt idx="13">
                  <c:v>ესტონეთი</c:v>
                </c:pt>
                <c:pt idx="14">
                  <c:v>ბელგია</c:v>
                </c:pt>
                <c:pt idx="15">
                  <c:v>ლიტვა</c:v>
                </c:pt>
                <c:pt idx="16">
                  <c:v>ფინეთი</c:v>
                </c:pt>
                <c:pt idx="17">
                  <c:v>სლოვენია</c:v>
                </c:pt>
                <c:pt idx="18">
                  <c:v>პოლონეთი</c:v>
                </c:pt>
                <c:pt idx="19">
                  <c:v>ევროკავშრი</c:v>
                </c:pt>
                <c:pt idx="20">
                  <c:v>გერმანია</c:v>
                </c:pt>
                <c:pt idx="21">
                  <c:v>საფრანგეთი</c:v>
                </c:pt>
                <c:pt idx="22">
                  <c:v>სლოვაკია</c:v>
                </c:pt>
                <c:pt idx="23">
                  <c:v>უნგრეთი</c:v>
                </c:pt>
                <c:pt idx="24">
                  <c:v>ხორვატია</c:v>
                </c:pt>
                <c:pt idx="25">
                  <c:v>ბულგარეთი</c:v>
                </c:pt>
                <c:pt idx="26">
                  <c:v>ავსტრია</c:v>
                </c:pt>
                <c:pt idx="27">
                  <c:v>იტალია</c:v>
                </c:pt>
                <c:pt idx="28">
                  <c:v>ჩეხეთი</c:v>
                </c:pt>
                <c:pt idx="29">
                  <c:v>კვიპროსი</c:v>
                </c:pt>
                <c:pt idx="30">
                  <c:v>დიდი ბრიტანეთი</c:v>
                </c:pt>
                <c:pt idx="31">
                  <c:v>საბერძნეთი</c:v>
                </c:pt>
              </c:strCache>
            </c:strRef>
          </c:cat>
          <c:val>
            <c:numRef>
              <c:f>Sheet1!$C$4:$C$35</c:f>
              <c:numCache>
                <c:formatCode>0%</c:formatCode>
                <c:ptCount val="32"/>
                <c:pt idx="0">
                  <c:v>1</c:v>
                </c:pt>
                <c:pt idx="1">
                  <c:v>0.95099999999999996</c:v>
                </c:pt>
                <c:pt idx="2">
                  <c:v>0.93840000000000001</c:v>
                </c:pt>
                <c:pt idx="3">
                  <c:v>0.91697699999999993</c:v>
                </c:pt>
                <c:pt idx="4">
                  <c:v>0.89760700000000004</c:v>
                </c:pt>
                <c:pt idx="5">
                  <c:v>0.880799</c:v>
                </c:pt>
                <c:pt idx="6">
                  <c:v>0.866259</c:v>
                </c:pt>
                <c:pt idx="7">
                  <c:v>0.83262199999999997</c:v>
                </c:pt>
                <c:pt idx="8">
                  <c:v>0.82377600000000006</c:v>
                </c:pt>
                <c:pt idx="9">
                  <c:v>0.80502499999999999</c:v>
                </c:pt>
                <c:pt idx="10">
                  <c:v>0.75943099999999997</c:v>
                </c:pt>
                <c:pt idx="11">
                  <c:v>0.75</c:v>
                </c:pt>
                <c:pt idx="12">
                  <c:v>0.73711399999999994</c:v>
                </c:pt>
                <c:pt idx="13">
                  <c:v>0.70884900000000006</c:v>
                </c:pt>
                <c:pt idx="14">
                  <c:v>0.67516199999999993</c:v>
                </c:pt>
                <c:pt idx="15">
                  <c:v>0.67051000000000005</c:v>
                </c:pt>
                <c:pt idx="16">
                  <c:v>0.66729700000000003</c:v>
                </c:pt>
                <c:pt idx="17">
                  <c:v>0.65575699999999992</c:v>
                </c:pt>
                <c:pt idx="18">
                  <c:v>0.64561900000000005</c:v>
                </c:pt>
                <c:pt idx="19">
                  <c:v>0.59292999999999996</c:v>
                </c:pt>
                <c:pt idx="20">
                  <c:v>0.55866400000000016</c:v>
                </c:pt>
                <c:pt idx="21">
                  <c:v>0.52585800000000016</c:v>
                </c:pt>
                <c:pt idx="22">
                  <c:v>0.50214199999999998</c:v>
                </c:pt>
                <c:pt idx="23">
                  <c:v>0.48575000000000002</c:v>
                </c:pt>
                <c:pt idx="24">
                  <c:v>0.46511599999999986</c:v>
                </c:pt>
                <c:pt idx="25">
                  <c:v>0.42933500000000002</c:v>
                </c:pt>
                <c:pt idx="26">
                  <c:v>0.39256399999999997</c:v>
                </c:pt>
                <c:pt idx="27">
                  <c:v>0.33731099999999997</c:v>
                </c:pt>
                <c:pt idx="28">
                  <c:v>0.333088</c:v>
                </c:pt>
                <c:pt idx="29">
                  <c:v>0.26185199999999997</c:v>
                </c:pt>
                <c:pt idx="30">
                  <c:v>0.24756900000000001</c:v>
                </c:pt>
                <c:pt idx="31">
                  <c:v>0.10170299999999999</c:v>
                </c:pt>
              </c:numCache>
            </c:numRef>
          </c:val>
          <c:extLst>
            <c:ext xmlns:c16="http://schemas.microsoft.com/office/drawing/2014/chart" uri="{C3380CC4-5D6E-409C-BE32-E72D297353CC}">
              <c16:uniqueId val="{00000004-3ED7-499A-96EE-DC1AFC616D4F}"/>
            </c:ext>
          </c:extLst>
        </c:ser>
        <c:dLbls>
          <c:showLegendKey val="0"/>
          <c:showVal val="0"/>
          <c:showCatName val="0"/>
          <c:showSerName val="0"/>
          <c:showPercent val="0"/>
          <c:showBubbleSize val="0"/>
        </c:dLbls>
        <c:gapWidth val="30"/>
        <c:axId val="562988719"/>
        <c:axId val="562991215"/>
      </c:barChart>
      <c:lineChart>
        <c:grouping val="standard"/>
        <c:varyColors val="0"/>
        <c:ser>
          <c:idx val="1"/>
          <c:order val="1"/>
          <c:tx>
            <c:strRef>
              <c:f>Sheet1!$D$3</c:f>
              <c:strCache>
                <c:ptCount val="1"/>
                <c:pt idx="0">
                  <c:v>2019</c:v>
                </c:pt>
              </c:strCache>
            </c:strRef>
          </c:tx>
          <c:spPr>
            <a:ln w="25400" cap="rnd">
              <a:noFill/>
              <a:round/>
            </a:ln>
            <a:effectLst>
              <a:outerShdw blurRad="40000" dist="23000" dir="5400000" rotWithShape="0">
                <a:srgbClr val="000000">
                  <a:alpha val="35000"/>
                </a:srgbClr>
              </a:outerShdw>
            </a:effectLst>
          </c:spPr>
          <c:marker>
            <c:symbol val="circle"/>
            <c:size val="6"/>
            <c:spPr>
              <a:solidFill>
                <a:srgbClr val="002060"/>
              </a:solidFill>
              <a:ln w="12700">
                <a:solidFill>
                  <a:srgbClr val="002060"/>
                </a:solidFill>
                <a:round/>
              </a:ln>
              <a:effectLst>
                <a:outerShdw blurRad="40000" dist="23000" dir="5400000" rotWithShape="0">
                  <a:srgbClr val="000000">
                    <a:alpha val="35000"/>
                  </a:srgbClr>
                </a:outerShdw>
              </a:effectLst>
            </c:spPr>
          </c:marker>
          <c:cat>
            <c:strRef>
              <c:f>Sheet1!$B$4:$B$35</c:f>
              <c:strCache>
                <c:ptCount val="32"/>
                <c:pt idx="0">
                  <c:v>მალტა</c:v>
                </c:pt>
                <c:pt idx="1">
                  <c:v>ლუქსემბურგი</c:v>
                </c:pt>
                <c:pt idx="2">
                  <c:v>დანია</c:v>
                </c:pt>
                <c:pt idx="3">
                  <c:v>ესპანეთი</c:v>
                </c:pt>
                <c:pt idx="4">
                  <c:v>ნიდერლანდები</c:v>
                </c:pt>
                <c:pt idx="5">
                  <c:v>ლატვია</c:v>
                </c:pt>
                <c:pt idx="6">
                  <c:v>პორტუგალია</c:v>
                </c:pt>
                <c:pt idx="7">
                  <c:v>ირლანდია</c:v>
                </c:pt>
                <c:pt idx="8">
                  <c:v>ისლანდია</c:v>
                </c:pt>
                <c:pt idx="9">
                  <c:v>შვედეთი</c:v>
                </c:pt>
                <c:pt idx="10">
                  <c:v>რუმინეთი</c:v>
                </c:pt>
                <c:pt idx="11">
                  <c:v>საქართველო *</c:v>
                </c:pt>
                <c:pt idx="12">
                  <c:v>ნორვეგია</c:v>
                </c:pt>
                <c:pt idx="13">
                  <c:v>ესტონეთი</c:v>
                </c:pt>
                <c:pt idx="14">
                  <c:v>ბელგია</c:v>
                </c:pt>
                <c:pt idx="15">
                  <c:v>ლიტვა</c:v>
                </c:pt>
                <c:pt idx="16">
                  <c:v>ფინეთი</c:v>
                </c:pt>
                <c:pt idx="17">
                  <c:v>სლოვენია</c:v>
                </c:pt>
                <c:pt idx="18">
                  <c:v>პოლონეთი</c:v>
                </c:pt>
                <c:pt idx="19">
                  <c:v>ევროკავშრი</c:v>
                </c:pt>
                <c:pt idx="20">
                  <c:v>გერმანია</c:v>
                </c:pt>
                <c:pt idx="21">
                  <c:v>საფრანგეთი</c:v>
                </c:pt>
                <c:pt idx="22">
                  <c:v>სლოვაკია</c:v>
                </c:pt>
                <c:pt idx="23">
                  <c:v>უნგრეთი</c:v>
                </c:pt>
                <c:pt idx="24">
                  <c:v>ხორვატია</c:v>
                </c:pt>
                <c:pt idx="25">
                  <c:v>ბულგარეთი</c:v>
                </c:pt>
                <c:pt idx="26">
                  <c:v>ავსტრია</c:v>
                </c:pt>
                <c:pt idx="27">
                  <c:v>იტალია</c:v>
                </c:pt>
                <c:pt idx="28">
                  <c:v>ჩეხეთი</c:v>
                </c:pt>
                <c:pt idx="29">
                  <c:v>კვიპროსი</c:v>
                </c:pt>
                <c:pt idx="30">
                  <c:v>დიდი ბრიტანეთი</c:v>
                </c:pt>
                <c:pt idx="31">
                  <c:v>საბერძნეთი</c:v>
                </c:pt>
              </c:strCache>
            </c:strRef>
          </c:cat>
          <c:val>
            <c:numRef>
              <c:f>Sheet1!$D$4:$D$35</c:f>
              <c:numCache>
                <c:formatCode>0%</c:formatCode>
                <c:ptCount val="32"/>
                <c:pt idx="0">
                  <c:v>1</c:v>
                </c:pt>
                <c:pt idx="1">
                  <c:v>0.91949999999999998</c:v>
                </c:pt>
                <c:pt idx="2">
                  <c:v>0.92963499999999999</c:v>
                </c:pt>
                <c:pt idx="3">
                  <c:v>0.890401</c:v>
                </c:pt>
                <c:pt idx="4">
                  <c:v>0.88605800000000001</c:v>
                </c:pt>
                <c:pt idx="5">
                  <c:v>0.88060900000000009</c:v>
                </c:pt>
                <c:pt idx="6">
                  <c:v>0.82999200000000006</c:v>
                </c:pt>
                <c:pt idx="7">
                  <c:v>0.353682</c:v>
                </c:pt>
                <c:pt idx="8">
                  <c:v>0.81990200000000002</c:v>
                </c:pt>
                <c:pt idx="9">
                  <c:v>0.77122400000000002</c:v>
                </c:pt>
                <c:pt idx="10">
                  <c:v>0.68146100000000009</c:v>
                </c:pt>
                <c:pt idx="11">
                  <c:v>0.67</c:v>
                </c:pt>
                <c:pt idx="12">
                  <c:v>0.71421000000000001</c:v>
                </c:pt>
                <c:pt idx="13">
                  <c:v>0.57447800000000004</c:v>
                </c:pt>
                <c:pt idx="14">
                  <c:v>0.664825</c:v>
                </c:pt>
                <c:pt idx="15">
                  <c:v>0.61016099999999984</c:v>
                </c:pt>
                <c:pt idx="16">
                  <c:v>0.61769700000000005</c:v>
                </c:pt>
                <c:pt idx="17">
                  <c:v>0.63793100000000003</c:v>
                </c:pt>
                <c:pt idx="18">
                  <c:v>0.60310200000000003</c:v>
                </c:pt>
                <c:pt idx="19">
                  <c:v>0.49713000000000002</c:v>
                </c:pt>
                <c:pt idx="20">
                  <c:v>0.32705000000000001</c:v>
                </c:pt>
                <c:pt idx="21">
                  <c:v>0.437637</c:v>
                </c:pt>
                <c:pt idx="22">
                  <c:v>0.45485999999999999</c:v>
                </c:pt>
                <c:pt idx="23">
                  <c:v>0.42574899999999999</c:v>
                </c:pt>
                <c:pt idx="24">
                  <c:v>0.432172</c:v>
                </c:pt>
                <c:pt idx="25">
                  <c:v>0.41983600000000004</c:v>
                </c:pt>
                <c:pt idx="26">
                  <c:v>0.137984</c:v>
                </c:pt>
                <c:pt idx="27">
                  <c:v>0.29967099999999997</c:v>
                </c:pt>
                <c:pt idx="28">
                  <c:v>0.29268499999999997</c:v>
                </c:pt>
                <c:pt idx="29">
                  <c:v>0.101449</c:v>
                </c:pt>
                <c:pt idx="30">
                  <c:v>0.100144</c:v>
                </c:pt>
                <c:pt idx="31">
                  <c:v>7.0533299999999993E-2</c:v>
                </c:pt>
              </c:numCache>
            </c:numRef>
          </c:val>
          <c:smooth val="0"/>
          <c:extLst>
            <c:ext xmlns:c16="http://schemas.microsoft.com/office/drawing/2014/chart" uri="{C3380CC4-5D6E-409C-BE32-E72D297353CC}">
              <c16:uniqueId val="{00000005-3ED7-499A-96EE-DC1AFC616D4F}"/>
            </c:ext>
          </c:extLst>
        </c:ser>
        <c:ser>
          <c:idx val="2"/>
          <c:order val="2"/>
          <c:tx>
            <c:strRef>
              <c:f>Sheet1!$E$3</c:f>
              <c:strCache>
                <c:ptCount val="1"/>
                <c:pt idx="0">
                  <c:v>2018</c:v>
                </c:pt>
              </c:strCache>
            </c:strRef>
          </c:tx>
          <c:spPr>
            <a:ln w="25400" cap="rnd">
              <a:noFill/>
              <a:round/>
            </a:ln>
            <a:effectLst>
              <a:outerShdw blurRad="40000" dist="23000" dir="5400000" rotWithShape="0">
                <a:srgbClr val="000000">
                  <a:alpha val="35000"/>
                </a:srgbClr>
              </a:outerShdw>
            </a:effectLst>
          </c:spPr>
          <c:marker>
            <c:symbol val="circle"/>
            <c:size val="6"/>
            <c:spPr>
              <a:solidFill>
                <a:srgbClr val="00B050"/>
              </a:solidFill>
              <a:ln w="12700">
                <a:solidFill>
                  <a:srgbClr val="00B050"/>
                </a:solidFill>
                <a:round/>
              </a:ln>
              <a:effectLst>
                <a:outerShdw blurRad="40000" dist="23000" dir="5400000" rotWithShape="0">
                  <a:srgbClr val="000000">
                    <a:alpha val="35000"/>
                  </a:srgbClr>
                </a:outerShdw>
              </a:effectLst>
            </c:spPr>
          </c:marker>
          <c:cat>
            <c:strRef>
              <c:f>Sheet1!$B$4:$B$35</c:f>
              <c:strCache>
                <c:ptCount val="32"/>
                <c:pt idx="0">
                  <c:v>მალტა</c:v>
                </c:pt>
                <c:pt idx="1">
                  <c:v>ლუქსემბურგი</c:v>
                </c:pt>
                <c:pt idx="2">
                  <c:v>დანია</c:v>
                </c:pt>
                <c:pt idx="3">
                  <c:v>ესპანეთი</c:v>
                </c:pt>
                <c:pt idx="4">
                  <c:v>ნიდერლანდები</c:v>
                </c:pt>
                <c:pt idx="5">
                  <c:v>ლატვია</c:v>
                </c:pt>
                <c:pt idx="6">
                  <c:v>პორტუგალია</c:v>
                </c:pt>
                <c:pt idx="7">
                  <c:v>ირლანდია</c:v>
                </c:pt>
                <c:pt idx="8">
                  <c:v>ისლანდია</c:v>
                </c:pt>
                <c:pt idx="9">
                  <c:v>შვედეთი</c:v>
                </c:pt>
                <c:pt idx="10">
                  <c:v>რუმინეთი</c:v>
                </c:pt>
                <c:pt idx="11">
                  <c:v>საქართველო *</c:v>
                </c:pt>
                <c:pt idx="12">
                  <c:v>ნორვეგია</c:v>
                </c:pt>
                <c:pt idx="13">
                  <c:v>ესტონეთი</c:v>
                </c:pt>
                <c:pt idx="14">
                  <c:v>ბელგია</c:v>
                </c:pt>
                <c:pt idx="15">
                  <c:v>ლიტვა</c:v>
                </c:pt>
                <c:pt idx="16">
                  <c:v>ფინეთი</c:v>
                </c:pt>
                <c:pt idx="17">
                  <c:v>სლოვენია</c:v>
                </c:pt>
                <c:pt idx="18">
                  <c:v>პოლონეთი</c:v>
                </c:pt>
                <c:pt idx="19">
                  <c:v>ევროკავშრი</c:v>
                </c:pt>
                <c:pt idx="20">
                  <c:v>გერმანია</c:v>
                </c:pt>
                <c:pt idx="21">
                  <c:v>საფრანგეთი</c:v>
                </c:pt>
                <c:pt idx="22">
                  <c:v>სლოვაკია</c:v>
                </c:pt>
                <c:pt idx="23">
                  <c:v>უნგრეთი</c:v>
                </c:pt>
                <c:pt idx="24">
                  <c:v>ხორვატია</c:v>
                </c:pt>
                <c:pt idx="25">
                  <c:v>ბულგარეთი</c:v>
                </c:pt>
                <c:pt idx="26">
                  <c:v>ავსტრია</c:v>
                </c:pt>
                <c:pt idx="27">
                  <c:v>იტალია</c:v>
                </c:pt>
                <c:pt idx="28">
                  <c:v>ჩეხეთი</c:v>
                </c:pt>
                <c:pt idx="29">
                  <c:v>კვიპროსი</c:v>
                </c:pt>
                <c:pt idx="30">
                  <c:v>დიდი ბრიტანეთი</c:v>
                </c:pt>
                <c:pt idx="31">
                  <c:v>საბერძნეთი</c:v>
                </c:pt>
              </c:strCache>
            </c:strRef>
          </c:cat>
          <c:val>
            <c:numRef>
              <c:f>Sheet1!$E$4:$E$35</c:f>
              <c:numCache>
                <c:formatCode>0%</c:formatCode>
                <c:ptCount val="32"/>
                <c:pt idx="0">
                  <c:v>0.316</c:v>
                </c:pt>
                <c:pt idx="1">
                  <c:v>0.63400000000000001</c:v>
                </c:pt>
                <c:pt idx="2">
                  <c:v>0.64361999999999997</c:v>
                </c:pt>
                <c:pt idx="3">
                  <c:v>0.77388999999999997</c:v>
                </c:pt>
                <c:pt idx="4">
                  <c:v>0.32200000000000001</c:v>
                </c:pt>
                <c:pt idx="5">
                  <c:v>0.87803100000000001</c:v>
                </c:pt>
                <c:pt idx="6">
                  <c:v>0.70164099999999996</c:v>
                </c:pt>
                <c:pt idx="7">
                  <c:v>0.129331</c:v>
                </c:pt>
                <c:pt idx="8">
                  <c:v>0.76222199999999996</c:v>
                </c:pt>
                <c:pt idx="9">
                  <c:v>0.72248500000000004</c:v>
                </c:pt>
                <c:pt idx="10">
                  <c:v>0.62749500000000002</c:v>
                </c:pt>
                <c:pt idx="11">
                  <c:v>0.58828828828828827</c:v>
                </c:pt>
                <c:pt idx="12">
                  <c:v>0.58675299999999997</c:v>
                </c:pt>
                <c:pt idx="13">
                  <c:v>0.54188099999999995</c:v>
                </c:pt>
                <c:pt idx="14">
                  <c:v>1.3977699999999999E-2</c:v>
                </c:pt>
                <c:pt idx="15">
                  <c:v>0.60579899999999987</c:v>
                </c:pt>
                <c:pt idx="16">
                  <c:v>0.31426300000000001</c:v>
                </c:pt>
                <c:pt idx="17">
                  <c:v>0.61081799999999986</c:v>
                </c:pt>
                <c:pt idx="18">
                  <c:v>0.29119099999999998</c:v>
                </c:pt>
                <c:pt idx="19">
                  <c:v>0.330461</c:v>
                </c:pt>
                <c:pt idx="20">
                  <c:v>8.5000000000000006E-2</c:v>
                </c:pt>
                <c:pt idx="21">
                  <c:v>0.377834</c:v>
                </c:pt>
                <c:pt idx="22">
                  <c:v>0.42912599999999995</c:v>
                </c:pt>
                <c:pt idx="23">
                  <c:v>0.35913400000000001</c:v>
                </c:pt>
                <c:pt idx="24">
                  <c:v>0.23386600000000002</c:v>
                </c:pt>
                <c:pt idx="25">
                  <c:v>0.37998100000000001</c:v>
                </c:pt>
                <c:pt idx="26">
                  <c:v>0.13033400000000001</c:v>
                </c:pt>
                <c:pt idx="27">
                  <c:v>0.238536</c:v>
                </c:pt>
                <c:pt idx="28">
                  <c:v>0.282916</c:v>
                </c:pt>
                <c:pt idx="29">
                  <c:v>5.0000000000000001E-3</c:v>
                </c:pt>
                <c:pt idx="30">
                  <c:v>3.8129099999999999E-2</c:v>
                </c:pt>
                <c:pt idx="31">
                  <c:v>3.8594800000000002E-3</c:v>
                </c:pt>
              </c:numCache>
            </c:numRef>
          </c:val>
          <c:smooth val="0"/>
          <c:extLst>
            <c:ext xmlns:c16="http://schemas.microsoft.com/office/drawing/2014/chart" uri="{C3380CC4-5D6E-409C-BE32-E72D297353CC}">
              <c16:uniqueId val="{00000006-3ED7-499A-96EE-DC1AFC616D4F}"/>
            </c:ext>
          </c:extLst>
        </c:ser>
        <c:dLbls>
          <c:showLegendKey val="0"/>
          <c:showVal val="0"/>
          <c:showCatName val="0"/>
          <c:showSerName val="0"/>
          <c:showPercent val="0"/>
          <c:showBubbleSize val="0"/>
        </c:dLbls>
        <c:marker val="1"/>
        <c:smooth val="0"/>
        <c:axId val="562988719"/>
        <c:axId val="562991215"/>
      </c:lineChart>
      <c:catAx>
        <c:axId val="56298871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ka-GE"/>
          </a:p>
        </c:txPr>
        <c:crossAx val="562991215"/>
        <c:crosses val="autoZero"/>
        <c:auto val="1"/>
        <c:lblAlgn val="ctr"/>
        <c:lblOffset val="100"/>
        <c:noMultiLvlLbl val="0"/>
      </c:catAx>
      <c:valAx>
        <c:axId val="562991215"/>
        <c:scaling>
          <c:orientation val="minMax"/>
          <c:max val="1"/>
        </c:scaling>
        <c:delete val="1"/>
        <c:axPos val="l"/>
        <c:numFmt formatCode="0%" sourceLinked="1"/>
        <c:majorTickMark val="none"/>
        <c:minorTickMark val="none"/>
        <c:tickLblPos val="nextTo"/>
        <c:crossAx val="562988719"/>
        <c:crosses val="autoZero"/>
        <c:crossBetween val="between"/>
      </c:valAx>
      <c:spPr>
        <a:noFill/>
        <a:ln>
          <a:noFill/>
        </a:ln>
        <a:effectLst/>
      </c:spPr>
    </c:plotArea>
    <c:legend>
      <c:legendPos val="b"/>
      <c:layout>
        <c:manualLayout>
          <c:xMode val="edge"/>
          <c:yMode val="edge"/>
          <c:x val="0.36478167501789549"/>
          <c:y val="0.90373923330006289"/>
          <c:w val="0.27043664996420902"/>
          <c:h val="9.6260766699937161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mn-lt"/>
              <a:ea typeface="+mn-ea"/>
              <a:cs typeface="+mn-cs"/>
            </a:defRPr>
          </a:pPr>
          <a:endParaRPr lang="ka-G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pPr>
      <a:endParaRPr lang="ka-G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0.06288</cdr:x>
      <cdr:y>0.62041</cdr:y>
    </cdr:from>
    <cdr:to>
      <cdr:x>1</cdr:x>
      <cdr:y>0.92245</cdr:y>
    </cdr:to>
    <cdr:sp macro="" textlink="">
      <cdr:nvSpPr>
        <cdr:cNvPr id="2" name="Text Box 1"/>
        <cdr:cNvSpPr txBox="1"/>
      </cdr:nvSpPr>
      <cdr:spPr>
        <a:xfrm xmlns:a="http://schemas.openxmlformats.org/drawingml/2006/main" rot="16200000">
          <a:off x="1338273" y="309574"/>
          <a:ext cx="704848" cy="2981307"/>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ka-GE" sz="800" b="1">
              <a:solidFill>
                <a:schemeClr val="tx2"/>
              </a:solidFill>
            </a:rPr>
            <a:t>ხორვატია</a:t>
          </a:r>
        </a:p>
        <a:p xmlns:a="http://schemas.openxmlformats.org/drawingml/2006/main">
          <a:endParaRPr lang="ka-GE" sz="800" b="1">
            <a:solidFill>
              <a:schemeClr val="tx2"/>
            </a:solidFill>
          </a:endParaRPr>
        </a:p>
        <a:p xmlns:a="http://schemas.openxmlformats.org/drawingml/2006/main">
          <a:endParaRPr lang="ka-GE" sz="800" b="1">
            <a:solidFill>
              <a:schemeClr val="tx2"/>
            </a:solidFill>
          </a:endParaRPr>
        </a:p>
        <a:p xmlns:a="http://schemas.openxmlformats.org/drawingml/2006/main">
          <a:r>
            <a:rPr lang="ka-GE" sz="800" b="1">
              <a:solidFill>
                <a:schemeClr val="tx2"/>
              </a:solidFill>
            </a:rPr>
            <a:t>კვიპროსი</a:t>
          </a:r>
        </a:p>
        <a:p xmlns:a="http://schemas.openxmlformats.org/drawingml/2006/main">
          <a:endParaRPr lang="ka-GE" sz="800" b="1">
            <a:solidFill>
              <a:schemeClr val="tx2"/>
            </a:solidFill>
          </a:endParaRPr>
        </a:p>
        <a:p xmlns:a="http://schemas.openxmlformats.org/drawingml/2006/main">
          <a:endParaRPr lang="ka-GE" sz="800" b="1">
            <a:solidFill>
              <a:schemeClr val="tx2"/>
            </a:solidFill>
          </a:endParaRPr>
        </a:p>
        <a:p xmlns:a="http://schemas.openxmlformats.org/drawingml/2006/main">
          <a:r>
            <a:rPr lang="ka-GE" sz="800" b="1">
              <a:solidFill>
                <a:schemeClr val="tx2"/>
              </a:solidFill>
            </a:rPr>
            <a:t>გერმანია</a:t>
          </a:r>
        </a:p>
        <a:p xmlns:a="http://schemas.openxmlformats.org/drawingml/2006/main">
          <a:endParaRPr lang="ka-GE" sz="800" b="1">
            <a:solidFill>
              <a:schemeClr val="tx2"/>
            </a:solidFill>
          </a:endParaRPr>
        </a:p>
        <a:p xmlns:a="http://schemas.openxmlformats.org/drawingml/2006/main">
          <a:endParaRPr lang="ka-GE" sz="800" b="1">
            <a:solidFill>
              <a:schemeClr val="tx2"/>
            </a:solidFill>
          </a:endParaRPr>
        </a:p>
        <a:p xmlns:a="http://schemas.openxmlformats.org/drawingml/2006/main">
          <a:r>
            <a:rPr lang="ka-GE" sz="800" b="1">
              <a:solidFill>
                <a:schemeClr val="tx2"/>
              </a:solidFill>
            </a:rPr>
            <a:t>უნგრეთი</a:t>
          </a:r>
        </a:p>
        <a:p xmlns:a="http://schemas.openxmlformats.org/drawingml/2006/main">
          <a:endParaRPr lang="ka-GE" sz="800" b="1">
            <a:solidFill>
              <a:schemeClr val="tx2"/>
            </a:solidFill>
          </a:endParaRPr>
        </a:p>
        <a:p xmlns:a="http://schemas.openxmlformats.org/drawingml/2006/main">
          <a:endParaRPr lang="ka-GE" sz="800" b="1">
            <a:solidFill>
              <a:schemeClr val="tx2"/>
            </a:solidFill>
          </a:endParaRPr>
        </a:p>
        <a:p xmlns:a="http://schemas.openxmlformats.org/drawingml/2006/main">
          <a:r>
            <a:rPr lang="ka-GE" sz="800" b="1">
              <a:solidFill>
                <a:schemeClr val="tx2"/>
              </a:solidFill>
            </a:rPr>
            <a:t>ირლანდია</a:t>
          </a:r>
        </a:p>
        <a:p xmlns:a="http://schemas.openxmlformats.org/drawingml/2006/main">
          <a:endParaRPr lang="ka-GE" sz="800" b="1">
            <a:solidFill>
              <a:schemeClr val="tx2"/>
            </a:solidFill>
          </a:endParaRPr>
        </a:p>
        <a:p xmlns:a="http://schemas.openxmlformats.org/drawingml/2006/main">
          <a:endParaRPr lang="ka-GE" sz="800" b="1">
            <a:solidFill>
              <a:schemeClr val="tx2"/>
            </a:solidFill>
          </a:endParaRPr>
        </a:p>
        <a:p xmlns:a="http://schemas.openxmlformats.org/drawingml/2006/main">
          <a:r>
            <a:rPr lang="ka-GE" sz="800" b="1">
              <a:solidFill>
                <a:schemeClr val="tx2"/>
              </a:solidFill>
            </a:rPr>
            <a:t>ჰოლანდია</a:t>
          </a:r>
        </a:p>
        <a:p xmlns:a="http://schemas.openxmlformats.org/drawingml/2006/main">
          <a:endParaRPr lang="ka-GE" sz="800" b="1">
            <a:solidFill>
              <a:schemeClr val="tx2"/>
            </a:solidFill>
          </a:endParaRPr>
        </a:p>
        <a:p xmlns:a="http://schemas.openxmlformats.org/drawingml/2006/main">
          <a:r>
            <a:rPr lang="ka-GE" sz="800" b="1">
              <a:solidFill>
                <a:schemeClr val="tx2"/>
              </a:solidFill>
            </a:rPr>
            <a:t>პორტუგალია</a:t>
          </a:r>
        </a:p>
        <a:p xmlns:a="http://schemas.openxmlformats.org/drawingml/2006/main">
          <a:endParaRPr lang="ka-GE" sz="800" b="1">
            <a:solidFill>
              <a:schemeClr val="tx2"/>
            </a:solidFill>
          </a:endParaRPr>
        </a:p>
        <a:p xmlns:a="http://schemas.openxmlformats.org/drawingml/2006/main">
          <a:r>
            <a:rPr lang="ka-GE" sz="800" b="1">
              <a:solidFill>
                <a:schemeClr val="tx2"/>
              </a:solidFill>
            </a:rPr>
            <a:t>ესპანეთი</a:t>
          </a:r>
        </a:p>
      </cdr:txBody>
    </cdr:sp>
  </cdr:relSizeAnchor>
</c:userShapes>
</file>

<file path=word/drawings/drawing2.xml><?xml version="1.0" encoding="utf-8"?>
<c:userShapes xmlns:c="http://schemas.openxmlformats.org/drawingml/2006/chart">
  <cdr:relSizeAnchor xmlns:cdr="http://schemas.openxmlformats.org/drawingml/2006/chartDrawing">
    <cdr:from>
      <cdr:x>0.06269</cdr:x>
      <cdr:y>0.77551</cdr:y>
    </cdr:from>
    <cdr:to>
      <cdr:x>1</cdr:x>
      <cdr:y>0.89796</cdr:y>
    </cdr:to>
    <cdr:sp macro="" textlink="">
      <cdr:nvSpPr>
        <cdr:cNvPr id="2" name="Text Box 1"/>
        <cdr:cNvSpPr txBox="1"/>
      </cdr:nvSpPr>
      <cdr:spPr>
        <a:xfrm xmlns:a="http://schemas.openxmlformats.org/drawingml/2006/main">
          <a:off x="200025" y="1809750"/>
          <a:ext cx="2990850" cy="285749"/>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ka-GE" sz="800" b="1">
              <a:solidFill>
                <a:schemeClr val="tx2"/>
              </a:solidFill>
            </a:rPr>
            <a:t>ხორვატია    კვიპროსი     გერმანია      უნგრეთი  პორტუგალია</a:t>
          </a:r>
        </a:p>
      </cdr:txBody>
    </cdr:sp>
  </cdr:relSizeAnchor>
</c:userShapes>
</file>

<file path=word/drawings/drawing3.xml><?xml version="1.0" encoding="utf-8"?>
<c:userShapes xmlns:c="http://schemas.openxmlformats.org/drawingml/2006/chart">
  <cdr:relSizeAnchor xmlns:cdr="http://schemas.openxmlformats.org/drawingml/2006/chartDrawing">
    <cdr:from>
      <cdr:x>0.04425</cdr:x>
      <cdr:y>0.76967</cdr:y>
    </cdr:from>
    <cdr:to>
      <cdr:x>1</cdr:x>
      <cdr:y>0.89843</cdr:y>
    </cdr:to>
    <cdr:sp macro="" textlink="">
      <cdr:nvSpPr>
        <cdr:cNvPr id="2" name="Text Box 1"/>
        <cdr:cNvSpPr txBox="1"/>
      </cdr:nvSpPr>
      <cdr:spPr>
        <a:xfrm xmlns:a="http://schemas.openxmlformats.org/drawingml/2006/main">
          <a:off x="142875" y="1708150"/>
          <a:ext cx="3086100" cy="285749"/>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ka-GE" sz="800" b="1">
              <a:solidFill>
                <a:schemeClr val="tx2"/>
              </a:solidFill>
            </a:rPr>
            <a:t>ხორვატია  კვიპროსი  გერმანია  უნგრეთი  ირლანდია ესპანეთი</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D4EE20-6991-48D5-8AE8-5DEA94477BF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The20</b:Tag>
    <b:SourceType>Report</b:SourceType>
    <b:Guid>{D699CD2F-4DA9-4139-9636-FD1EE11615DF}</b:Guid>
    <b:Author>
      <b:Author>
        <b:Corporate>The Brattle Group</b:Corporate>
      </b:Author>
    </b:Author>
    <b:Title>The WACC for KPN and VodafoneZiggo</b:Title>
    <b:Year>2020</b:Year>
    <b:RefOrder>5</b:RefOrder>
  </b:Source>
  <b:Source>
    <b:Tag>DrW16</b:Tag>
    <b:SourceType>Report</b:SourceType>
    <b:Guid>{6E479179-5841-4DCF-BDD3-4B677560CBB4}</b:Guid>
    <b:Author>
      <b:Author>
        <b:NameList>
          <b:Person>
            <b:Last>Dr. Werner</b:Last>
            <b:First>Neu</b:First>
          </b:Person>
          <b:Person>
            <b:Last>Dr. Schmitt</b:Last>
            <b:First>Stephan</b:First>
          </b:Person>
          <b:Person>
            <b:Last>Ing. Kroon</b:Last>
            <b:First>Peter</b:First>
          </b:Person>
        </b:NameList>
      </b:Author>
    </b:Author>
    <b:Title>Review of DBA's proposed revision of the WACC calculation for the telecom market in Denmark</b:Title>
    <b:Year>2016</b:Year>
    <b:Publisher>WIK</b:Publisher>
    <b:RefOrder>8</b:RefOrder>
  </b:Source>
  <b:Source>
    <b:Tag>Ilc19</b:Tag>
    <b:SourceType>Misc</b:SourceType>
    <b:Guid>{F7FB8A66-2E20-411E-A263-29849C893978}</b:Guid>
    <b:Title>Il calcolo del Risk Premium per gli investimenti in reti NGA, FTTH e FTTC</b:Title>
    <b:Year>2019</b:Year>
    <b:Publisher>Agcom</b:Publisher>
    <b:CaseNumber>Annesso 6 del Documento V - delibera n. 348/19/CONS</b:CaseNumber>
    <b:CountryRegion>Italy</b:CountryRegion>
    <b:RefOrder>10</b:RefOrder>
  </b:Source>
  <b:Source>
    <b:Tag>BER19</b:Tag>
    <b:SourceType>Report</b:SourceType>
    <b:Guid>{41051DEB-825D-48BF-B8C1-914087E49B08}</b:Guid>
    <b:Title>Regulatory Accounting in Practice 2019</b:Title>
    <b:Year>2019</b:Year>
    <b:Author>
      <b:Author>
        <b:Corporate>BEREC</b:Corporate>
      </b:Author>
    </b:Author>
    <b:RefOrder>2</b:RefOrder>
  </b:Source>
  <b:Source>
    <b:Tag>The12</b:Tag>
    <b:SourceType>DocumentFromInternetSite</b:SourceType>
    <b:Guid>{FCCFF54B-3AFF-45F0-81C0-C59151B8AD4F}</b:Guid>
    <b:Author>
      <b:Author>
        <b:Corporate>The Brattle Group</b:Corporate>
      </b:Author>
    </b:Author>
    <b:Title>Calculating the Equity Risk Premium and the</b:Title>
    <b:Year>2012</b:Year>
    <b:Publisher>https://brattlefiles.blob.core.windows.net/files/6240_calculating_the_equity_risk_premium_and_the_risk-free_rate_harris_villadsen_lo_passo_nov_26_2012.pdf</b:Publisher>
    <b:URL>https://brattlefiles.blob.core.windows.net/files/6240_calculating_the_equity_risk_premium_and_the_risk-free_rate_harris_villadsen_lo_passo_nov_26_2012.pdf</b:URL>
    <b:RefOrder>1</b:RefOrder>
  </b:Source>
  <b:Source>
    <b:Tag>BER20</b:Tag>
    <b:SourceType>DocumentFromInternetSite</b:SourceType>
    <b:Guid>{B09BD905-114B-4E75-9238-F7B19CA943D7}</b:Guid>
    <b:Author>
      <b:Author>
        <b:Corporate>BEREC</b:Corporate>
      </b:Author>
    </b:Author>
    <b:Title>BEREC Report</b:Title>
    <b:Year>2020</b:Year>
    <b:URL>https://berec.europa.eu/eng/document_register/subject_matter/berec/reports/9364-berec-report-on-wacc-parameter-calculations-according-to-the-european-commission8217s-wacc-notice</b:URL>
    <b:RefOrder>3</b:RefOrder>
  </b:Source>
  <b:Source>
    <b:Tag>Hac19</b:Tag>
    <b:SourceType>Misc</b:SourceType>
    <b:Guid>{DD749888-5E76-434E-8B47-4AE5E9BE4646}</b:Guid>
    <b:Author>
      <b:Author>
        <b:NameList>
          <b:Person>
            <b:Last>HAKOM</b:Last>
          </b:Person>
        </b:NameList>
      </b:Author>
    </b:Author>
    <b:Title>Na temelju članka 12. stavka 1. točke 3. i članka 62. Zakona o elektroničkim komunikacijama (NN br. 73/08, 90/11, 133/12, 80/13, 71/14 i 72/17), radi provođenja regulatorne obveze nadzora cijena i vođenja troškovnog računovodstva za usluge u javnoj nepokr</b:Title>
    <b:Year>`2019</b:Year>
    <b:City>Zagreb</b:City>
    <b:CountryRegion>Croatia</b:CountryRegion>
    <b:RefOrder>9</b:RefOrder>
  </b:Source>
  <b:Source>
    <b:Tag>The16</b:Tag>
    <b:SourceType>DocumentFromInternetSite</b:SourceType>
    <b:Guid>{A6F0A3AF-4DE4-4313-8CF8-C3EB02C89959}</b:Guid>
    <b:Title>Review of approaches to estimate a reasonable rate of return for investments in telecoms networks in regulatory proceedings and options for EU harmonization</b:Title>
    <b:Year>2016</b:Year>
    <b:City>EU</b:City>
    <b:Author>
      <b:Author>
        <b:Corporate>The Brattle Group</b:Corporate>
      </b:Author>
    </b:Author>
    <b:URL>https://brattlefiles.blob.core.windows.net/files/7177_review_of_approaches_to_estimate_a_reasonable_rate_of_return_for_investments_in_telecoms_networks_in_regulatory_proceedings_and_options_for_eu_harmonization.pdf</b:URL>
    <b:RefOrder>4</b:RefOrder>
  </b:Source>
  <b:Source>
    <b:Tag>Ofc21</b:Tag>
    <b:SourceType>DocumentFromInternetSite</b:SourceType>
    <b:Guid>{2F9D592C-90B8-43FC-AB7E-718BE6C2F616}</b:Guid>
    <b:Author>
      <b:Author>
        <b:Corporate>Ofcom</b:Corporate>
      </b:Author>
    </b:Author>
    <b:Title>Promoting competition and investment in fibre networks: Wholesale Fixed Telecoms Market Review 2021-26</b:Title>
    <b:Year>2021</b:Year>
    <b:URL>https://www.ofcom.org.uk/__data/assets/pdf_file/0025/216088/wftmr-statement-volume-4-pricing-remedies.pdf</b:URL>
    <b:RefOrder>7</b:RefOrder>
  </b:Source>
  <b:Source>
    <b:Tag>Duf19</b:Tag>
    <b:SourceType>DocumentFromInternetSite</b:SourceType>
    <b:Guid>{0E02B158-49E6-40AA-AD38-70211EF2EAC6}</b:Guid>
    <b:Author>
      <b:Author>
        <b:Corporate>Duff &amp; Phelps LLC</b:Corporate>
      </b:Author>
    </b:Author>
    <b:Title>SSRN</b:Title>
    <b:Year>2019</b:Year>
    <b:Month>April</b:Month>
    <b:URL>https://deliverypdf.ssrn.com/delivery.php?ID=267119122101065066115094011083028077034092086004057035102124022103105105076069097087038017120036122008044070099008104014003109009046056035086102121127028085121004035054023094122102025089120114010005101074119002</b:URL>
    <b:RefOrder>11</b:RefOrder>
  </b:Source>
  <b:Source>
    <b:Tag>Duf21</b:Tag>
    <b:SourceType>DocumentFromInternetSite</b:SourceType>
    <b:Guid>{A91AB63B-69AF-4354-84A6-8C38A6FCB7EC}</b:Guid>
    <b:Author>
      <b:Author>
        <b:Corporate>Duff&amp;Phelps</b:Corporate>
      </b:Author>
    </b:Author>
    <b:Title>CFAm Institute</b:Title>
    <b:Year>2021</b:Year>
    <b:URL>https://www.cfainstitute.org/-/media/documents/book/rf-publication/2021/igcc-summary-edition-2021.pdf</b:URL>
    <b:RefOrder>6</b:RefOrder>
  </b:Source>
</b:Sources>
</file>

<file path=customXml/itemProps1.xml><?xml version="1.0" encoding="utf-8"?>
<ds:datastoreItem xmlns:ds="http://schemas.openxmlformats.org/officeDocument/2006/customXml" ds:itemID="{7F61CF8C-7638-464F-8BB8-AEB135B6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7504</Words>
  <Characters>42776</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Aleksandre Chichinadze</dc:creator>
  <cp:keywords/>
  <dc:description/>
  <cp:lastModifiedBy>Mariam Lukashvili</cp:lastModifiedBy>
  <cp:revision>2</cp:revision>
  <dcterms:created xsi:type="dcterms:W3CDTF">2022-06-13T10:20:00Z</dcterms:created>
  <dcterms:modified xsi:type="dcterms:W3CDTF">2022-06-13T10:20:00Z</dcterms:modified>
</cp:coreProperties>
</file>