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6DFF9" w14:textId="14635A98" w:rsidR="00E26BEA" w:rsidRPr="00E87B50" w:rsidRDefault="00B37253" w:rsidP="00B37253">
      <w:pPr>
        <w:jc w:val="center"/>
        <w:rPr>
          <w:rFonts w:ascii="Sylfaen" w:hAnsi="Sylfaen"/>
          <w:b/>
          <w:bCs/>
          <w:sz w:val="20"/>
          <w:szCs w:val="20"/>
          <w:lang w:val="ka-GE"/>
        </w:rPr>
      </w:pPr>
      <w:r w:rsidRPr="00E87B50">
        <w:rPr>
          <w:rFonts w:ascii="Sylfaen" w:hAnsi="Sylfaen"/>
          <w:b/>
          <w:bCs/>
          <w:sz w:val="20"/>
          <w:szCs w:val="20"/>
          <w:lang w:val="ka-GE"/>
        </w:rPr>
        <w:t>განმარტებითი ბარათი</w:t>
      </w:r>
    </w:p>
    <w:p w14:paraId="6AD2C836" w14:textId="77777777" w:rsidR="00F906FF" w:rsidRPr="007C03F5" w:rsidRDefault="00F906FF" w:rsidP="00F906FF">
      <w:pPr>
        <w:autoSpaceDE w:val="0"/>
        <w:autoSpaceDN w:val="0"/>
        <w:adjustRightInd w:val="0"/>
        <w:jc w:val="center"/>
        <w:rPr>
          <w:rFonts w:ascii="Sylfaen" w:eastAsia="Sylfaen_PDF_Subset" w:hAnsi="Sylfaen" w:cs="Sylfaen"/>
          <w:b/>
          <w:bCs/>
          <w:color w:val="222222"/>
          <w:sz w:val="20"/>
          <w:szCs w:val="20"/>
          <w:lang w:val="ka-GE"/>
        </w:rPr>
      </w:pPr>
      <w:r w:rsidRPr="007C03F5">
        <w:rPr>
          <w:rFonts w:ascii="Sylfaen" w:eastAsia="Sylfaen_PDF_Subset" w:hAnsi="Sylfaen" w:cs="Sylfaen"/>
          <w:b/>
          <w:bCs/>
          <w:color w:val="222222"/>
          <w:sz w:val="20"/>
          <w:szCs w:val="20"/>
          <w:lang w:val="ka-GE"/>
        </w:rPr>
        <w:t>„რადიოსიხშირული სპექტრის განაწილების ეროვნული  გეგმის დამტკიცების შესახებ” საქართველოს კომუნიკაციების ეროვნული კომისიის 2006 წლის 30 ივნისის №6 დადგენილებაში ცვლილებების შეტანის შესახებ</w:t>
      </w:r>
    </w:p>
    <w:p w14:paraId="3E9A2351" w14:textId="46AD9D5D" w:rsidR="00B37253" w:rsidRPr="00F906FF" w:rsidRDefault="00F906FF" w:rsidP="00F906FF">
      <w:pPr>
        <w:spacing w:before="120" w:after="120"/>
        <w:jc w:val="center"/>
        <w:rPr>
          <w:rFonts w:ascii="Sylfaen" w:hAnsi="Sylfaen"/>
          <w:b/>
          <w:sz w:val="20"/>
          <w:szCs w:val="20"/>
          <w:lang w:val="ka-GE"/>
        </w:rPr>
      </w:pPr>
      <w:r w:rsidRPr="007C03F5">
        <w:rPr>
          <w:rFonts w:ascii="Sylfaen" w:hAnsi="Sylfaen"/>
          <w:b/>
          <w:sz w:val="20"/>
          <w:szCs w:val="20"/>
          <w:lang w:val="ka-GE"/>
        </w:rPr>
        <w:t>საქართველოს კომუნიკაციების ეროვნული კომისიის დადგენილების პროექტზე</w:t>
      </w:r>
    </w:p>
    <w:p w14:paraId="2FEE8A61" w14:textId="05CCBD34" w:rsidR="004271C8" w:rsidRPr="00F906FF" w:rsidRDefault="004271C8" w:rsidP="004271C8">
      <w:pPr>
        <w:pStyle w:val="paragraph"/>
        <w:spacing w:before="0" w:beforeAutospacing="0" w:after="0" w:afterAutospacing="0"/>
        <w:textAlignment w:val="baseline"/>
        <w:rPr>
          <w:rFonts w:ascii="Segoe UI" w:hAnsi="Segoe UI" w:cs="Segoe UI"/>
          <w:sz w:val="20"/>
          <w:szCs w:val="20"/>
          <w:lang w:val="ka-GE"/>
        </w:rPr>
      </w:pPr>
      <w:r w:rsidRPr="00E87B50">
        <w:rPr>
          <w:rStyle w:val="normaltextrun"/>
          <w:rFonts w:ascii="Sylfaen" w:hAnsi="Sylfaen" w:cs="Segoe UI"/>
          <w:b/>
          <w:bCs/>
          <w:sz w:val="20"/>
          <w:szCs w:val="20"/>
          <w:lang w:val="ka-GE"/>
        </w:rPr>
        <w:t>ა) დადგენილების მიღების მიზეზი</w:t>
      </w:r>
      <w:r w:rsidRPr="00F906FF">
        <w:rPr>
          <w:rStyle w:val="eop"/>
          <w:rFonts w:ascii="Sylfaen" w:hAnsi="Sylfaen" w:cs="Segoe UI"/>
          <w:sz w:val="20"/>
          <w:szCs w:val="20"/>
          <w:lang w:val="ka-GE"/>
        </w:rPr>
        <w:t> </w:t>
      </w:r>
    </w:p>
    <w:p w14:paraId="6D3F702B" w14:textId="77777777" w:rsidR="004271C8" w:rsidRPr="00F906FF" w:rsidRDefault="004271C8" w:rsidP="004271C8">
      <w:pPr>
        <w:pStyle w:val="paragraph"/>
        <w:spacing w:before="0" w:beforeAutospacing="0" w:after="0" w:afterAutospacing="0"/>
        <w:ind w:firstLine="720"/>
        <w:jc w:val="center"/>
        <w:textAlignment w:val="baseline"/>
        <w:rPr>
          <w:rFonts w:ascii="Segoe UI" w:hAnsi="Segoe UI" w:cs="Segoe UI"/>
          <w:sz w:val="18"/>
          <w:szCs w:val="18"/>
          <w:lang w:val="ka-GE"/>
        </w:rPr>
      </w:pPr>
      <w:r w:rsidRPr="00F906FF">
        <w:rPr>
          <w:rStyle w:val="eop"/>
          <w:rFonts w:ascii="Sylfaen" w:hAnsi="Sylfaen" w:cs="Segoe UI"/>
          <w:sz w:val="22"/>
          <w:szCs w:val="22"/>
          <w:lang w:val="ka-GE"/>
        </w:rPr>
        <w:t> </w:t>
      </w:r>
    </w:p>
    <w:p w14:paraId="754735DD" w14:textId="56332CC5" w:rsidR="00F906FF" w:rsidRDefault="00F906FF" w:rsidP="00F906FF">
      <w:pPr>
        <w:pStyle w:val="NoSpacing"/>
        <w:jc w:val="both"/>
        <w:rPr>
          <w:rFonts w:ascii="Sylfaen" w:hAnsi="Sylfaen" w:cs="Calibri"/>
          <w:sz w:val="20"/>
          <w:szCs w:val="20"/>
          <w:lang w:val="ka-GE"/>
        </w:rPr>
      </w:pPr>
      <w:bookmarkStart w:id="0" w:name="_Hlk164951512"/>
      <w:r w:rsidRPr="006D1A0D">
        <w:rPr>
          <w:rFonts w:ascii="Sylfaen" w:hAnsi="Sylfaen" w:cs="Calibri"/>
          <w:sz w:val="20"/>
          <w:szCs w:val="20"/>
          <w:lang w:val="ka-GE"/>
        </w:rPr>
        <w:t>რადიოსიხშირული სპექტრის განაწილების ეროვნული გეგმა (შემდგომში-გეგმა) პირველად გამოქვეყნებული იქნა 2006 წელს. ახალი რადიოსისტემების და ტექნოლოგიების დანერგვა, რადიოსიხშირული სპექტრის გამოყენებაზე საერთაშორისო დონეზე მიღწეული შეთანხმებები და  ეროვნულ  დონეზე  რადიოსიხშირული  სპექტრის  გამოყენების  სპეციფიკური მოთხოვნები მოითხოვს   გეგმის   პერიოდულ   მოდიფიცირებას,   მასში   ცვლილებების   შეტანის მიზნით.</w:t>
      </w:r>
    </w:p>
    <w:p w14:paraId="47EA6602" w14:textId="77777777" w:rsidR="00F906FF" w:rsidRPr="00F906FF" w:rsidRDefault="00F906FF" w:rsidP="00F906FF">
      <w:pPr>
        <w:pStyle w:val="NoSpacing"/>
        <w:jc w:val="both"/>
        <w:rPr>
          <w:rFonts w:ascii="Sylfaen" w:hAnsi="Sylfaen" w:cs="Calibri"/>
          <w:sz w:val="20"/>
          <w:szCs w:val="20"/>
          <w:lang w:val="ka-GE"/>
        </w:rPr>
      </w:pPr>
    </w:p>
    <w:p w14:paraId="065824FC" w14:textId="0B705561" w:rsidR="00F906FF" w:rsidRDefault="00F906FF" w:rsidP="00F906FF">
      <w:pPr>
        <w:pStyle w:val="NoSpacing"/>
        <w:jc w:val="both"/>
        <w:rPr>
          <w:rFonts w:ascii="Sylfaen" w:hAnsi="Sylfaen" w:cs="Calibri"/>
          <w:sz w:val="20"/>
          <w:szCs w:val="20"/>
          <w:lang w:val="ka-GE"/>
        </w:rPr>
      </w:pPr>
      <w:r w:rsidRPr="006D1A0D">
        <w:rPr>
          <w:rFonts w:ascii="Sylfaen" w:hAnsi="Sylfaen" w:cs="Calibri"/>
          <w:sz w:val="20"/>
          <w:szCs w:val="20"/>
          <w:lang w:val="ka-GE"/>
        </w:rPr>
        <w:t>აქედან გამომდინარე, მომზადებული იქნა გეგმაში შესატანი ცვლილებების პროექტი, რომელიც ითვალისწინებს ტელეკომუნიკაციების საერთაშორისო კავშირის (ITU), ევროკომისიის (EC) და ევროპის საფოსტო და სატელეკომუნიკაციო ადმინისტრაციების კონფერენციის (CEPT) გადაწყვეტილებებს და რეკომენდაციებს.</w:t>
      </w:r>
    </w:p>
    <w:p w14:paraId="6B35A54B" w14:textId="77777777" w:rsidR="00F906FF" w:rsidRPr="006D1A0D" w:rsidRDefault="00F906FF" w:rsidP="00F906FF">
      <w:pPr>
        <w:pStyle w:val="NoSpacing"/>
        <w:jc w:val="both"/>
        <w:rPr>
          <w:rFonts w:ascii="Sylfaen" w:hAnsi="Sylfaen" w:cs="Calibri"/>
          <w:sz w:val="20"/>
          <w:szCs w:val="20"/>
          <w:lang w:val="ka-GE"/>
        </w:rPr>
      </w:pPr>
    </w:p>
    <w:p w14:paraId="57B62B5C" w14:textId="130C3301" w:rsidR="00F906FF" w:rsidRPr="003D5203" w:rsidRDefault="00B43053" w:rsidP="00F906FF">
      <w:pPr>
        <w:jc w:val="both"/>
        <w:rPr>
          <w:rFonts w:ascii="Sylfaen" w:hAnsi="Sylfaen"/>
          <w:lang w:val="ka-GE"/>
        </w:rPr>
      </w:pPr>
      <w:r w:rsidRPr="00B43053">
        <w:rPr>
          <w:rFonts w:ascii="Sylfaen" w:hAnsi="Sylfaen"/>
          <w:b/>
          <w:bCs/>
          <w:lang w:val="ka-GE"/>
        </w:rPr>
        <w:t>ბ) დადგენილების პროექტის არსი და დამახასიათებელი ძირითადი ნიშნები</w:t>
      </w:r>
      <w:r w:rsidRPr="00F906FF">
        <w:rPr>
          <w:rFonts w:ascii="Sylfaen" w:hAnsi="Sylfaen"/>
          <w:lang w:val="ka-GE"/>
        </w:rPr>
        <w:t> </w:t>
      </w:r>
    </w:p>
    <w:p w14:paraId="7B4F1C1E" w14:textId="3BC98385" w:rsidR="003D5203" w:rsidRDefault="0036591E" w:rsidP="00F906FF">
      <w:pPr>
        <w:jc w:val="both"/>
        <w:rPr>
          <w:rFonts w:ascii="Sylfaen" w:hAnsi="Sylfaen" w:cs="Calibri"/>
          <w:sz w:val="20"/>
          <w:szCs w:val="20"/>
          <w:lang w:val="ka-GE"/>
        </w:rPr>
      </w:pPr>
      <w:r>
        <w:rPr>
          <w:rFonts w:ascii="Sylfaen" w:hAnsi="Sylfaen" w:cs="Calibri"/>
          <w:sz w:val="20"/>
          <w:szCs w:val="20"/>
          <w:lang w:val="ka-GE"/>
        </w:rPr>
        <w:t xml:space="preserve">დადგენილების პროექტის მიზანია </w:t>
      </w:r>
      <w:r w:rsidR="003D5203" w:rsidRPr="007C03F5">
        <w:rPr>
          <w:rFonts w:ascii="Sylfaen" w:hAnsi="Sylfaen" w:cs="Calibri"/>
          <w:sz w:val="20"/>
          <w:szCs w:val="20"/>
          <w:lang w:val="ka-GE"/>
        </w:rPr>
        <w:t xml:space="preserve">ეროვნული გეგმის დაახლოება/ჰარმონიზაცია CEPT-ის სპექტრის განაწილებასა და გამოყენების ევროპულ ჰარმონიზებულ გეგმასთან (Еuropean Table Frequency Allocations and Applications – ECA Table), </w:t>
      </w:r>
      <w:r w:rsidR="00313C3D">
        <w:rPr>
          <w:rFonts w:ascii="Sylfaen" w:hAnsi="Sylfaen" w:cs="Calibri"/>
          <w:sz w:val="20"/>
          <w:szCs w:val="20"/>
          <w:lang w:val="ka-GE"/>
        </w:rPr>
        <w:t>რაც უზრუნველყოფს</w:t>
      </w:r>
      <w:r w:rsidR="003D5203" w:rsidRPr="007C03F5">
        <w:rPr>
          <w:rFonts w:ascii="Sylfaen" w:hAnsi="Sylfaen" w:cs="Calibri"/>
          <w:sz w:val="20"/>
          <w:szCs w:val="20"/>
          <w:lang w:val="ka-GE"/>
        </w:rPr>
        <w:t xml:space="preserve"> საერთო ევროპული სპექტრის ჰარმონიზაციის მიმართულებით თანამშრომლობის გამარტივება და გაუმჯობესება.  </w:t>
      </w:r>
    </w:p>
    <w:p w14:paraId="647DE4EF" w14:textId="36C7F6CD" w:rsidR="00F906FF" w:rsidRPr="007C03F5" w:rsidRDefault="00313C3D" w:rsidP="00F906FF">
      <w:pPr>
        <w:jc w:val="both"/>
        <w:rPr>
          <w:rFonts w:ascii="Sylfaen" w:hAnsi="Sylfaen" w:cs="Calibri"/>
          <w:sz w:val="20"/>
          <w:szCs w:val="20"/>
          <w:lang w:val="ka-GE"/>
        </w:rPr>
      </w:pPr>
      <w:r>
        <w:rPr>
          <w:rFonts w:ascii="Sylfaen" w:hAnsi="Sylfaen" w:cs="Calibri"/>
          <w:sz w:val="20"/>
          <w:szCs w:val="20"/>
          <w:lang w:val="ka-GE"/>
        </w:rPr>
        <w:t xml:space="preserve">დადგენილების პროექტი </w:t>
      </w:r>
      <w:r w:rsidR="003D5203">
        <w:rPr>
          <w:rFonts w:ascii="Sylfaen" w:hAnsi="Sylfaen" w:cs="Calibri"/>
          <w:sz w:val="20"/>
          <w:szCs w:val="20"/>
          <w:lang w:val="ka-GE"/>
        </w:rPr>
        <w:t xml:space="preserve">მოიცავს </w:t>
      </w:r>
      <w:r w:rsidR="00F906FF" w:rsidRPr="007C03F5">
        <w:rPr>
          <w:rFonts w:ascii="Sylfaen" w:hAnsi="Sylfaen" w:cs="Calibri"/>
          <w:sz w:val="20"/>
          <w:szCs w:val="20"/>
          <w:lang w:val="ka-GE"/>
        </w:rPr>
        <w:t>ცვლილებებს ეროვნულ</w:t>
      </w:r>
      <w:r>
        <w:rPr>
          <w:rFonts w:ascii="Sylfaen" w:hAnsi="Sylfaen" w:cs="Calibri"/>
          <w:sz w:val="20"/>
          <w:szCs w:val="20"/>
          <w:lang w:val="ka-GE"/>
        </w:rPr>
        <w:t>ი</w:t>
      </w:r>
      <w:r w:rsidR="00F906FF" w:rsidRPr="007C03F5">
        <w:rPr>
          <w:rFonts w:ascii="Sylfaen" w:hAnsi="Sylfaen" w:cs="Calibri"/>
          <w:sz w:val="20"/>
          <w:szCs w:val="20"/>
          <w:lang w:val="ka-GE"/>
        </w:rPr>
        <w:t xml:space="preserve"> სპექტრის განაწილებაში ITU მომსახურებების მიხედვით WRC-2023 კონფერენციაზე მიღებული გადაწყვეტილებების შესაბამისად. </w:t>
      </w:r>
    </w:p>
    <w:p w14:paraId="4CC49092" w14:textId="1A4DDF7F" w:rsidR="00F906FF" w:rsidRPr="007C03F5" w:rsidRDefault="00313C3D" w:rsidP="00F906FF">
      <w:pPr>
        <w:jc w:val="both"/>
        <w:rPr>
          <w:rFonts w:ascii="Sylfaen" w:hAnsi="Sylfaen" w:cs="Calibri"/>
          <w:sz w:val="20"/>
          <w:szCs w:val="20"/>
          <w:lang w:val="ka-GE"/>
        </w:rPr>
      </w:pPr>
      <w:r>
        <w:rPr>
          <w:rFonts w:ascii="Sylfaen" w:hAnsi="Sylfaen" w:cs="Calibri"/>
          <w:sz w:val="20"/>
          <w:szCs w:val="20"/>
          <w:lang w:val="ka-GE"/>
        </w:rPr>
        <w:t xml:space="preserve">დადგენილების პროექტი მოიცავს </w:t>
      </w:r>
      <w:r w:rsidR="00F906FF" w:rsidRPr="007C03F5">
        <w:rPr>
          <w:rFonts w:ascii="Sylfaen" w:hAnsi="Sylfaen" w:cs="Calibri"/>
          <w:sz w:val="20"/>
          <w:szCs w:val="20"/>
          <w:lang w:val="ka-GE"/>
        </w:rPr>
        <w:t>ცვლილებას ეროვნულ გამოყენებებში</w:t>
      </w:r>
      <w:r w:rsidR="00E945D8">
        <w:rPr>
          <w:rFonts w:ascii="Sylfaen" w:hAnsi="Sylfaen" w:cs="Calibri"/>
          <w:sz w:val="20"/>
          <w:szCs w:val="20"/>
          <w:lang w:val="ka-GE"/>
        </w:rPr>
        <w:t>,</w:t>
      </w:r>
      <w:r w:rsidR="00F906FF" w:rsidRPr="007C03F5">
        <w:rPr>
          <w:rFonts w:ascii="Sylfaen" w:hAnsi="Sylfaen" w:cs="Calibri"/>
          <w:sz w:val="20"/>
          <w:szCs w:val="20"/>
          <w:lang w:val="ka-GE"/>
        </w:rPr>
        <w:t xml:space="preserve"> მათ ნო</w:t>
      </w:r>
      <w:r w:rsidR="00F906FF">
        <w:rPr>
          <w:rFonts w:ascii="Sylfaen" w:hAnsi="Sylfaen" w:cs="Calibri"/>
          <w:sz w:val="20"/>
          <w:szCs w:val="20"/>
          <w:lang w:val="ka-GE"/>
        </w:rPr>
        <w:t>რმ</w:t>
      </w:r>
      <w:r w:rsidR="00F906FF" w:rsidRPr="007C03F5">
        <w:rPr>
          <w:rFonts w:ascii="Sylfaen" w:hAnsi="Sylfaen" w:cs="Calibri"/>
          <w:sz w:val="20"/>
          <w:szCs w:val="20"/>
          <w:lang w:val="ka-GE"/>
        </w:rPr>
        <w:t>ებსა და პირობებში 2024-2025 წლებში მიღებული ევროკომისიის გადაწყვეტილებების და CEPT ECC</w:t>
      </w:r>
      <w:r w:rsidR="00E945D8">
        <w:rPr>
          <w:rFonts w:ascii="Sylfaen" w:hAnsi="Sylfaen" w:cs="Calibri"/>
          <w:sz w:val="20"/>
          <w:szCs w:val="20"/>
          <w:lang w:val="ka-GE"/>
        </w:rPr>
        <w:t xml:space="preserve">-ის მიერ </w:t>
      </w:r>
      <w:r w:rsidR="00F906FF" w:rsidRPr="007C03F5">
        <w:rPr>
          <w:rFonts w:ascii="Sylfaen" w:hAnsi="Sylfaen" w:cs="Calibri"/>
          <w:sz w:val="20"/>
          <w:szCs w:val="20"/>
          <w:lang w:val="ka-GE"/>
        </w:rPr>
        <w:t>მიღებული გადაწყვეტილებებ</w:t>
      </w:r>
      <w:r w:rsidR="00E945D8">
        <w:rPr>
          <w:rFonts w:ascii="Sylfaen" w:hAnsi="Sylfaen" w:cs="Calibri"/>
          <w:sz w:val="20"/>
          <w:szCs w:val="20"/>
          <w:lang w:val="ka-GE"/>
        </w:rPr>
        <w:t>ი</w:t>
      </w:r>
      <w:r w:rsidR="00F906FF" w:rsidRPr="007C03F5">
        <w:rPr>
          <w:rFonts w:ascii="Sylfaen" w:hAnsi="Sylfaen" w:cs="Calibri"/>
          <w:sz w:val="20"/>
          <w:szCs w:val="20"/>
          <w:lang w:val="ka-GE"/>
        </w:rPr>
        <w:t xml:space="preserve">სა და რეკომენდაციების საფუძველზე. </w:t>
      </w:r>
    </w:p>
    <w:p w14:paraId="2BEB1286" w14:textId="30FAE14B" w:rsidR="00F906FF" w:rsidRPr="007C03F5" w:rsidRDefault="00E945D8" w:rsidP="00F906FF">
      <w:pPr>
        <w:jc w:val="both"/>
        <w:rPr>
          <w:rFonts w:ascii="Sylfaen" w:hAnsi="Sylfaen" w:cs="Calibri"/>
          <w:sz w:val="20"/>
          <w:szCs w:val="20"/>
          <w:lang w:val="ka-GE"/>
        </w:rPr>
      </w:pPr>
      <w:r>
        <w:rPr>
          <w:rFonts w:ascii="Sylfaen" w:hAnsi="Sylfaen" w:cs="Calibri"/>
          <w:sz w:val="20"/>
          <w:szCs w:val="20"/>
          <w:lang w:val="ka-GE"/>
        </w:rPr>
        <w:t xml:space="preserve">დადგენილების პროექტი მოიცავს სხვა </w:t>
      </w:r>
      <w:r w:rsidR="00F906FF" w:rsidRPr="007C03F5">
        <w:rPr>
          <w:rFonts w:ascii="Sylfaen" w:hAnsi="Sylfaen" w:cs="Calibri"/>
          <w:sz w:val="20"/>
          <w:szCs w:val="20"/>
          <w:lang w:val="ka-GE"/>
        </w:rPr>
        <w:t>სხვა შინაარსობრივი ცვლილებ</w:t>
      </w:r>
      <w:r>
        <w:rPr>
          <w:rFonts w:ascii="Sylfaen" w:hAnsi="Sylfaen" w:cs="Calibri"/>
          <w:sz w:val="20"/>
          <w:szCs w:val="20"/>
          <w:lang w:val="ka-GE"/>
        </w:rPr>
        <w:t>ა</w:t>
      </w:r>
      <w:r w:rsidR="00F906FF" w:rsidRPr="007C03F5">
        <w:rPr>
          <w:rFonts w:ascii="Sylfaen" w:hAnsi="Sylfaen" w:cs="Calibri"/>
          <w:sz w:val="20"/>
          <w:szCs w:val="20"/>
          <w:lang w:val="ka-GE"/>
        </w:rPr>
        <w:t>ბს</w:t>
      </w:r>
      <w:r>
        <w:rPr>
          <w:rFonts w:ascii="Sylfaen" w:hAnsi="Sylfaen" w:cs="Calibri"/>
          <w:sz w:val="20"/>
          <w:szCs w:val="20"/>
          <w:lang w:val="ka-GE"/>
        </w:rPr>
        <w:t>, კერძოდ</w:t>
      </w:r>
      <w:r w:rsidR="00F906FF" w:rsidRPr="007C03F5">
        <w:rPr>
          <w:rFonts w:ascii="Sylfaen" w:hAnsi="Sylfaen" w:cs="Calibri"/>
          <w:sz w:val="20"/>
          <w:szCs w:val="20"/>
          <w:lang w:val="ka-GE"/>
        </w:rPr>
        <w:t xml:space="preserve"> CDMA ტექნოლოგების ამოღებას (450 მჰც, 800 მჰგ, 1800-1900 მჰც), მათი მოძველების გამო.</w:t>
      </w:r>
    </w:p>
    <w:p w14:paraId="4B556562" w14:textId="23A1D955" w:rsidR="00F906FF" w:rsidRDefault="00F906FF" w:rsidP="00F906FF">
      <w:pPr>
        <w:jc w:val="both"/>
        <w:rPr>
          <w:rFonts w:ascii="Sylfaen" w:hAnsi="Sylfaen" w:cs="Calibri"/>
          <w:sz w:val="20"/>
          <w:szCs w:val="20"/>
          <w:lang w:val="ka-GE"/>
        </w:rPr>
      </w:pPr>
      <w:r w:rsidRPr="007C03F5">
        <w:rPr>
          <w:rFonts w:ascii="Sylfaen" w:hAnsi="Sylfaen" w:cs="Calibri"/>
          <w:sz w:val="20"/>
          <w:szCs w:val="20"/>
          <w:lang w:val="ka-GE"/>
        </w:rPr>
        <w:t>ეროვნული გეგმის ECA Table</w:t>
      </w:r>
      <w:r w:rsidR="00E945D8">
        <w:rPr>
          <w:rFonts w:ascii="Sylfaen" w:hAnsi="Sylfaen" w:cs="Calibri"/>
          <w:sz w:val="20"/>
          <w:szCs w:val="20"/>
          <w:lang w:val="ka-GE"/>
        </w:rPr>
        <w:t>-</w:t>
      </w:r>
      <w:r w:rsidRPr="007C03F5">
        <w:rPr>
          <w:rFonts w:ascii="Sylfaen" w:hAnsi="Sylfaen" w:cs="Calibri"/>
          <w:sz w:val="20"/>
          <w:szCs w:val="20"/>
          <w:lang w:val="ka-GE"/>
        </w:rPr>
        <w:t>თან დაახლოება/ჰარმონიზაცია ითვალისწინებს:</w:t>
      </w:r>
    </w:p>
    <w:p w14:paraId="62AD4649" w14:textId="131B589D" w:rsidR="00F906FF" w:rsidRDefault="00F906FF" w:rsidP="00F906FF">
      <w:pPr>
        <w:jc w:val="both"/>
        <w:rPr>
          <w:rFonts w:ascii="Sylfaen" w:hAnsi="Sylfaen" w:cs="Calibri"/>
          <w:sz w:val="20"/>
          <w:szCs w:val="20"/>
          <w:lang w:val="ka-GE"/>
        </w:rPr>
      </w:pPr>
      <w:r w:rsidRPr="007C03F5">
        <w:rPr>
          <w:rFonts w:ascii="Sylfaen" w:hAnsi="Sylfaen" w:cs="Calibri"/>
          <w:sz w:val="20"/>
          <w:szCs w:val="20"/>
          <w:lang w:val="ka-GE"/>
        </w:rPr>
        <w:t xml:space="preserve">ეროვნული გეგმის </w:t>
      </w:r>
      <w:r>
        <w:rPr>
          <w:rFonts w:ascii="Sylfaen" w:hAnsi="Sylfaen" w:cs="Calibri"/>
          <w:sz w:val="20"/>
          <w:szCs w:val="20"/>
          <w:lang w:val="ka-GE"/>
        </w:rPr>
        <w:t>„</w:t>
      </w:r>
      <w:r w:rsidRPr="001E286E">
        <w:rPr>
          <w:rFonts w:ascii="Sylfaen" w:hAnsi="Sylfaen" w:cs="Calibri"/>
          <w:sz w:val="20"/>
          <w:szCs w:val="20"/>
          <w:lang w:val="ka-GE"/>
        </w:rPr>
        <w:t>მთავარი ცხრილი</w:t>
      </w:r>
      <w:r>
        <w:rPr>
          <w:rFonts w:ascii="Sylfaen" w:hAnsi="Sylfaen" w:cs="Calibri"/>
          <w:sz w:val="20"/>
          <w:szCs w:val="20"/>
          <w:lang w:val="ka-GE"/>
        </w:rPr>
        <w:t xml:space="preserve">ს“ </w:t>
      </w:r>
      <w:r w:rsidRPr="007C03F5">
        <w:rPr>
          <w:rFonts w:ascii="Sylfaen" w:hAnsi="Sylfaen" w:cs="Calibri"/>
          <w:sz w:val="20"/>
          <w:szCs w:val="20"/>
          <w:lang w:val="ka-GE"/>
        </w:rPr>
        <w:t>სტრუქტურულ ცვლილება</w:t>
      </w:r>
      <w:r w:rsidR="00E945D8">
        <w:rPr>
          <w:rFonts w:ascii="Sylfaen" w:hAnsi="Sylfaen" w:cs="Calibri"/>
          <w:sz w:val="20"/>
          <w:szCs w:val="20"/>
          <w:lang w:val="ka-GE"/>
        </w:rPr>
        <w:t>ს</w:t>
      </w:r>
    </w:p>
    <w:p w14:paraId="1FC1E190" w14:textId="6694E0B9" w:rsidR="00F906FF" w:rsidRPr="007C03F5" w:rsidRDefault="00F906FF" w:rsidP="00F906FF">
      <w:pPr>
        <w:jc w:val="both"/>
        <w:rPr>
          <w:rFonts w:ascii="Sylfaen" w:hAnsi="Sylfaen" w:cs="Calibri"/>
          <w:sz w:val="20"/>
          <w:szCs w:val="20"/>
          <w:lang w:val="ka-GE"/>
        </w:rPr>
      </w:pPr>
      <w:r w:rsidRPr="007C03F5">
        <w:rPr>
          <w:rFonts w:ascii="Sylfaen" w:hAnsi="Sylfaen" w:cs="Calibri"/>
          <w:sz w:val="20"/>
          <w:szCs w:val="20"/>
          <w:lang w:val="ka-GE"/>
        </w:rPr>
        <w:t>ამჟამად არსებული 5 სვეტია:</w:t>
      </w:r>
    </w:p>
    <w:tbl>
      <w:tblPr>
        <w:tblStyle w:val="TableGrid"/>
        <w:tblW w:w="0" w:type="auto"/>
        <w:tblLook w:val="04A0" w:firstRow="1" w:lastRow="0" w:firstColumn="1" w:lastColumn="0" w:noHBand="0" w:noVBand="1"/>
      </w:tblPr>
      <w:tblGrid>
        <w:gridCol w:w="9350"/>
      </w:tblGrid>
      <w:tr w:rsidR="00F906FF" w:rsidRPr="007C03F5" w14:paraId="035C3310" w14:textId="77777777" w:rsidTr="00B23B68">
        <w:tc>
          <w:tcPr>
            <w:tcW w:w="9350" w:type="dxa"/>
          </w:tcPr>
          <w:p w14:paraId="6BF7253B" w14:textId="77777777" w:rsidR="00F906FF" w:rsidRPr="007C03F5" w:rsidRDefault="00F906FF" w:rsidP="00B23B68">
            <w:pPr>
              <w:jc w:val="both"/>
              <w:rPr>
                <w:rFonts w:ascii="Sylfaen" w:eastAsia="Times New Roman" w:hAnsi="Sylfaen" w:cs="Calibri"/>
                <w:color w:val="000000"/>
                <w:sz w:val="20"/>
                <w:szCs w:val="20"/>
                <w:lang w:val="ka-GE"/>
              </w:rPr>
            </w:pPr>
            <w:r w:rsidRPr="007C03F5">
              <w:rPr>
                <w:rFonts w:ascii="Sylfaen" w:eastAsia="Times New Roman" w:hAnsi="Sylfaen" w:cs="Calibri"/>
                <w:color w:val="000000"/>
                <w:sz w:val="20"/>
                <w:szCs w:val="20"/>
                <w:lang w:val="ka-GE"/>
              </w:rPr>
              <w:t>1.სიხშირული დიაპაზონი</w:t>
            </w:r>
          </w:p>
        </w:tc>
      </w:tr>
      <w:tr w:rsidR="00F906FF" w:rsidRPr="007C03F5" w14:paraId="6C52AB36" w14:textId="77777777" w:rsidTr="00B23B68">
        <w:tc>
          <w:tcPr>
            <w:tcW w:w="9350" w:type="dxa"/>
          </w:tcPr>
          <w:p w14:paraId="031F8C36" w14:textId="77777777" w:rsidR="00F906FF" w:rsidRPr="007C03F5" w:rsidRDefault="00F906FF" w:rsidP="00B23B68">
            <w:pPr>
              <w:jc w:val="both"/>
              <w:rPr>
                <w:rFonts w:ascii="Sylfaen" w:eastAsia="Times New Roman" w:hAnsi="Sylfaen" w:cs="Calibri"/>
                <w:color w:val="000000"/>
                <w:sz w:val="20"/>
                <w:szCs w:val="20"/>
                <w:lang w:val="ka-GE"/>
              </w:rPr>
            </w:pPr>
            <w:r w:rsidRPr="007C03F5">
              <w:rPr>
                <w:rFonts w:ascii="Sylfaen" w:eastAsia="Times New Roman" w:hAnsi="Sylfaen" w:cs="Calibri"/>
                <w:color w:val="000000"/>
                <w:sz w:val="20"/>
                <w:szCs w:val="20"/>
                <w:lang w:val="ka-GE"/>
              </w:rPr>
              <w:t>2. პირველი რეგიონისათვის RR განაწილება</w:t>
            </w:r>
          </w:p>
        </w:tc>
      </w:tr>
      <w:tr w:rsidR="00F906FF" w:rsidRPr="007C03F5" w14:paraId="3C1F4DB5" w14:textId="77777777" w:rsidTr="00B23B68">
        <w:tc>
          <w:tcPr>
            <w:tcW w:w="9350" w:type="dxa"/>
          </w:tcPr>
          <w:p w14:paraId="3A7F2E48" w14:textId="77777777" w:rsidR="00F906FF" w:rsidRPr="007C03F5" w:rsidRDefault="00F906FF" w:rsidP="00B23B68">
            <w:pPr>
              <w:rPr>
                <w:rFonts w:ascii="Sylfaen" w:eastAsia="Times New Roman" w:hAnsi="Sylfaen" w:cs="Calibri"/>
                <w:color w:val="000000"/>
                <w:sz w:val="20"/>
                <w:szCs w:val="20"/>
                <w:lang w:val="ka-GE"/>
              </w:rPr>
            </w:pPr>
            <w:r w:rsidRPr="007C03F5">
              <w:rPr>
                <w:rFonts w:ascii="Sylfaen" w:eastAsia="Times New Roman" w:hAnsi="Sylfaen" w:cs="Calibri"/>
                <w:color w:val="000000"/>
                <w:sz w:val="20"/>
                <w:szCs w:val="20"/>
                <w:lang w:val="ka-GE"/>
              </w:rPr>
              <w:t>3. საერთო ევროპული განაწილება  (ERC Report 25)</w:t>
            </w:r>
          </w:p>
        </w:tc>
      </w:tr>
      <w:tr w:rsidR="00F906FF" w:rsidRPr="007C03F5" w14:paraId="2B08A306" w14:textId="77777777" w:rsidTr="00B23B68">
        <w:tc>
          <w:tcPr>
            <w:tcW w:w="9350" w:type="dxa"/>
          </w:tcPr>
          <w:p w14:paraId="17F4F285" w14:textId="77777777" w:rsidR="00F906FF" w:rsidRPr="007C03F5" w:rsidRDefault="00F906FF" w:rsidP="00B23B68">
            <w:pPr>
              <w:jc w:val="both"/>
              <w:rPr>
                <w:rFonts w:ascii="Sylfaen" w:eastAsia="Times New Roman" w:hAnsi="Sylfaen" w:cs="Calibri"/>
                <w:color w:val="000000"/>
                <w:sz w:val="20"/>
                <w:szCs w:val="20"/>
                <w:lang w:val="ka-GE"/>
              </w:rPr>
            </w:pPr>
            <w:r w:rsidRPr="007C03F5">
              <w:rPr>
                <w:rFonts w:ascii="Sylfaen" w:eastAsia="Times New Roman" w:hAnsi="Sylfaen" w:cs="Calibri"/>
                <w:color w:val="000000"/>
                <w:sz w:val="20"/>
                <w:szCs w:val="20"/>
                <w:lang w:val="ka-GE"/>
              </w:rPr>
              <w:t>4. გამოყენება ეროვნულ დონეზე</w:t>
            </w:r>
          </w:p>
        </w:tc>
      </w:tr>
      <w:tr w:rsidR="00F906FF" w:rsidRPr="007C03F5" w14:paraId="3B78685E" w14:textId="77777777" w:rsidTr="00B23B68">
        <w:tc>
          <w:tcPr>
            <w:tcW w:w="9350" w:type="dxa"/>
          </w:tcPr>
          <w:p w14:paraId="0562D455" w14:textId="77777777" w:rsidR="00F906FF" w:rsidRPr="007C03F5" w:rsidRDefault="00F906FF" w:rsidP="00B23B68">
            <w:pPr>
              <w:jc w:val="both"/>
              <w:rPr>
                <w:rFonts w:ascii="Sylfaen" w:eastAsia="Times New Roman" w:hAnsi="Sylfaen" w:cs="Calibri"/>
                <w:color w:val="000000"/>
                <w:sz w:val="20"/>
                <w:szCs w:val="20"/>
                <w:lang w:val="ka-GE"/>
              </w:rPr>
            </w:pPr>
            <w:r w:rsidRPr="007C03F5">
              <w:rPr>
                <w:rFonts w:ascii="Sylfaen" w:eastAsia="Times New Roman" w:hAnsi="Sylfaen" w:cs="Calibri"/>
                <w:color w:val="000000"/>
                <w:sz w:val="20"/>
                <w:szCs w:val="20"/>
                <w:lang w:val="ka-GE"/>
              </w:rPr>
              <w:t>5. შენიშვნები</w:t>
            </w:r>
          </w:p>
        </w:tc>
      </w:tr>
    </w:tbl>
    <w:p w14:paraId="1548AD6D" w14:textId="77777777" w:rsidR="00F906FF" w:rsidRPr="007C03F5" w:rsidRDefault="00F906FF" w:rsidP="00F906FF">
      <w:pPr>
        <w:jc w:val="both"/>
        <w:rPr>
          <w:rFonts w:ascii="Sylfaen" w:hAnsi="Sylfaen" w:cs="Calibri"/>
          <w:sz w:val="20"/>
          <w:szCs w:val="20"/>
          <w:lang w:val="ka-GE"/>
        </w:rPr>
      </w:pPr>
    </w:p>
    <w:p w14:paraId="35BD78F0" w14:textId="4182327D" w:rsidR="00F906FF" w:rsidRPr="007C03F5" w:rsidRDefault="0047054B" w:rsidP="00F906FF">
      <w:pPr>
        <w:jc w:val="both"/>
        <w:rPr>
          <w:rFonts w:ascii="Sylfaen" w:hAnsi="Sylfaen" w:cs="Calibri"/>
          <w:sz w:val="20"/>
          <w:szCs w:val="20"/>
          <w:lang w:val="ka-GE"/>
        </w:rPr>
      </w:pPr>
      <w:r>
        <w:rPr>
          <w:rFonts w:ascii="Sylfaen" w:hAnsi="Sylfaen" w:cs="Calibri"/>
          <w:sz w:val="20"/>
          <w:szCs w:val="20"/>
          <w:lang w:val="ka-GE"/>
        </w:rPr>
        <w:lastRenderedPageBreak/>
        <w:t>მომზადებული</w:t>
      </w:r>
      <w:r w:rsidRPr="007C03F5">
        <w:rPr>
          <w:rFonts w:ascii="Sylfaen" w:hAnsi="Sylfaen" w:cs="Calibri"/>
          <w:sz w:val="20"/>
          <w:szCs w:val="20"/>
          <w:lang w:val="ka-GE"/>
        </w:rPr>
        <w:t xml:space="preserve"> </w:t>
      </w:r>
      <w:r w:rsidR="00F906FF" w:rsidRPr="007C03F5">
        <w:rPr>
          <w:rFonts w:ascii="Sylfaen" w:hAnsi="Sylfaen" w:cs="Calibri"/>
          <w:sz w:val="20"/>
          <w:szCs w:val="20"/>
          <w:lang w:val="ka-GE"/>
        </w:rPr>
        <w:t>ცვლილებ</w:t>
      </w:r>
      <w:r>
        <w:rPr>
          <w:rFonts w:ascii="Sylfaen" w:hAnsi="Sylfaen" w:cs="Calibri"/>
          <w:sz w:val="20"/>
          <w:szCs w:val="20"/>
          <w:lang w:val="ka-GE"/>
        </w:rPr>
        <w:t>ა</w:t>
      </w:r>
      <w:r w:rsidR="00F906FF" w:rsidRPr="007C03F5">
        <w:rPr>
          <w:rFonts w:ascii="Sylfaen" w:hAnsi="Sylfaen" w:cs="Calibri"/>
          <w:sz w:val="20"/>
          <w:szCs w:val="20"/>
          <w:lang w:val="ka-GE"/>
        </w:rPr>
        <w:t xml:space="preserve"> ითვალისწინებს შემდეგ 11 სვეტს</w:t>
      </w:r>
      <w:r w:rsidR="00F906FF">
        <w:rPr>
          <w:rFonts w:ascii="Sylfaen" w:hAnsi="Sylfaen" w:cs="Calibri"/>
          <w:sz w:val="20"/>
          <w:szCs w:val="20"/>
          <w:lang w:val="ka-GE"/>
        </w:rPr>
        <w:t>:</w:t>
      </w:r>
    </w:p>
    <w:tbl>
      <w:tblPr>
        <w:tblStyle w:val="TableGrid"/>
        <w:tblW w:w="0" w:type="auto"/>
        <w:tblLook w:val="04A0" w:firstRow="1" w:lastRow="0" w:firstColumn="1" w:lastColumn="0" w:noHBand="0" w:noVBand="1"/>
      </w:tblPr>
      <w:tblGrid>
        <w:gridCol w:w="9350"/>
      </w:tblGrid>
      <w:tr w:rsidR="00F906FF" w:rsidRPr="007C03F5" w14:paraId="5242B038" w14:textId="77777777" w:rsidTr="00B23B68">
        <w:tc>
          <w:tcPr>
            <w:tcW w:w="9350" w:type="dxa"/>
          </w:tcPr>
          <w:p w14:paraId="40D54EF4" w14:textId="77777777" w:rsidR="00F906FF" w:rsidRPr="007C03F5" w:rsidRDefault="00F906FF" w:rsidP="00B23B68">
            <w:pPr>
              <w:jc w:val="both"/>
              <w:rPr>
                <w:rFonts w:ascii="Sylfaen" w:eastAsia="Times New Roman" w:hAnsi="Sylfaen" w:cs="Calibri"/>
                <w:color w:val="000000"/>
                <w:sz w:val="20"/>
                <w:szCs w:val="20"/>
                <w:lang w:val="ka-GE"/>
              </w:rPr>
            </w:pPr>
            <w:r w:rsidRPr="007C03F5">
              <w:rPr>
                <w:rFonts w:ascii="Sylfaen" w:eastAsia="Times New Roman" w:hAnsi="Sylfaen" w:cs="Calibri"/>
                <w:color w:val="000000"/>
                <w:sz w:val="20"/>
                <w:szCs w:val="20"/>
                <w:lang w:val="ka-GE"/>
              </w:rPr>
              <w:t>1. სიხშირული დიაპაზონი</w:t>
            </w:r>
          </w:p>
        </w:tc>
      </w:tr>
      <w:tr w:rsidR="00F906FF" w:rsidRPr="007C03F5" w14:paraId="3D6DBA2D" w14:textId="77777777" w:rsidTr="00B23B68">
        <w:tc>
          <w:tcPr>
            <w:tcW w:w="9350" w:type="dxa"/>
          </w:tcPr>
          <w:p w14:paraId="636F3C6B" w14:textId="77777777" w:rsidR="00F906FF" w:rsidRPr="007C03F5" w:rsidRDefault="00F906FF" w:rsidP="00B23B68">
            <w:pPr>
              <w:jc w:val="both"/>
              <w:rPr>
                <w:rFonts w:ascii="Sylfaen" w:eastAsia="Times New Roman" w:hAnsi="Sylfaen" w:cs="Calibri"/>
                <w:color w:val="000000"/>
                <w:sz w:val="20"/>
                <w:szCs w:val="20"/>
                <w:lang w:val="ka-GE"/>
              </w:rPr>
            </w:pPr>
            <w:r w:rsidRPr="007C03F5">
              <w:rPr>
                <w:rFonts w:ascii="Sylfaen" w:eastAsia="Times New Roman" w:hAnsi="Sylfaen" w:cs="Calibri"/>
                <w:color w:val="000000"/>
                <w:sz w:val="20"/>
                <w:szCs w:val="20"/>
                <w:lang w:val="ka-GE"/>
              </w:rPr>
              <w:t>2. ITU-ს პირველი რეგიონისათვის RR განაწილება-შესაბამისი ფუქნოტებით</w:t>
            </w:r>
          </w:p>
        </w:tc>
      </w:tr>
      <w:tr w:rsidR="00F906FF" w:rsidRPr="007C03F5" w14:paraId="5ACE610B" w14:textId="77777777" w:rsidTr="00B23B68">
        <w:tc>
          <w:tcPr>
            <w:tcW w:w="9350" w:type="dxa"/>
          </w:tcPr>
          <w:p w14:paraId="358C1A01" w14:textId="77777777" w:rsidR="00F906FF" w:rsidRPr="007C03F5" w:rsidRDefault="00F906FF" w:rsidP="00B23B68">
            <w:pPr>
              <w:jc w:val="both"/>
              <w:rPr>
                <w:rFonts w:ascii="Sylfaen" w:eastAsia="Times New Roman" w:hAnsi="Sylfaen" w:cs="Calibri"/>
                <w:color w:val="000000"/>
                <w:sz w:val="20"/>
                <w:szCs w:val="20"/>
                <w:lang w:val="ka-GE"/>
              </w:rPr>
            </w:pPr>
            <w:r w:rsidRPr="007C03F5">
              <w:rPr>
                <w:rFonts w:ascii="Sylfaen" w:eastAsia="Times New Roman" w:hAnsi="Sylfaen" w:cs="Calibri"/>
                <w:color w:val="000000"/>
                <w:sz w:val="20"/>
                <w:szCs w:val="20"/>
                <w:lang w:val="ka-GE"/>
              </w:rPr>
              <w:t>3. საერთო ევროპული განაწილება  (ERC Report 25) -შესაბამისი ფუქნოტებით</w:t>
            </w:r>
          </w:p>
        </w:tc>
      </w:tr>
      <w:tr w:rsidR="00F906FF" w:rsidRPr="007C03F5" w14:paraId="200BE2BE" w14:textId="77777777" w:rsidTr="00B23B68">
        <w:tc>
          <w:tcPr>
            <w:tcW w:w="9350" w:type="dxa"/>
          </w:tcPr>
          <w:p w14:paraId="3A6DC42E" w14:textId="77777777" w:rsidR="00F906FF" w:rsidRPr="007C03F5" w:rsidRDefault="00F906FF" w:rsidP="00B23B68">
            <w:pPr>
              <w:jc w:val="both"/>
              <w:rPr>
                <w:rFonts w:ascii="Sylfaen" w:eastAsia="Times New Roman" w:hAnsi="Sylfaen" w:cs="Calibri"/>
                <w:color w:val="000000"/>
                <w:sz w:val="20"/>
                <w:szCs w:val="20"/>
                <w:lang w:val="ka-GE"/>
              </w:rPr>
            </w:pPr>
            <w:r w:rsidRPr="007C03F5">
              <w:rPr>
                <w:rFonts w:ascii="Sylfaen" w:eastAsia="Times New Roman" w:hAnsi="Sylfaen" w:cs="Calibri"/>
                <w:color w:val="000000"/>
                <w:sz w:val="20"/>
                <w:szCs w:val="20"/>
                <w:lang w:val="ka-GE"/>
              </w:rPr>
              <w:t xml:space="preserve">4. გამოეყენება ეროვნულ დონეზე </w:t>
            </w:r>
          </w:p>
        </w:tc>
      </w:tr>
      <w:tr w:rsidR="00F906FF" w:rsidRPr="007C03F5" w14:paraId="2571CFA7" w14:textId="77777777" w:rsidTr="00B23B68">
        <w:tc>
          <w:tcPr>
            <w:tcW w:w="9350" w:type="dxa"/>
          </w:tcPr>
          <w:p w14:paraId="03065830" w14:textId="77777777" w:rsidR="00F906FF" w:rsidRPr="007C03F5" w:rsidRDefault="00F906FF" w:rsidP="00B23B68">
            <w:pPr>
              <w:jc w:val="both"/>
              <w:rPr>
                <w:rFonts w:ascii="Sylfaen" w:eastAsia="Times New Roman" w:hAnsi="Sylfaen" w:cs="Calibri"/>
                <w:color w:val="000000"/>
                <w:sz w:val="20"/>
                <w:szCs w:val="20"/>
                <w:lang w:val="ka-GE"/>
              </w:rPr>
            </w:pPr>
            <w:r w:rsidRPr="007C03F5">
              <w:rPr>
                <w:rFonts w:ascii="Sylfaen" w:eastAsia="Times New Roman" w:hAnsi="Sylfaen" w:cs="Calibri"/>
                <w:color w:val="000000"/>
                <w:sz w:val="20"/>
                <w:szCs w:val="20"/>
                <w:lang w:val="ka-GE"/>
              </w:rPr>
              <w:t>5. EN სტანდარტი-ახალი სვეტი, სადაც ცალკე გამოტანილი სტანდარტი რომელიც უნდა იყოს გათვალისწინებული ეროვნული გამოყენებისას</w:t>
            </w:r>
          </w:p>
        </w:tc>
      </w:tr>
      <w:tr w:rsidR="00F906FF" w:rsidRPr="007C03F5" w14:paraId="723AA2F4" w14:textId="77777777" w:rsidTr="00B23B68">
        <w:tc>
          <w:tcPr>
            <w:tcW w:w="9350" w:type="dxa"/>
          </w:tcPr>
          <w:p w14:paraId="1A380593" w14:textId="77777777" w:rsidR="00F906FF" w:rsidRPr="007C03F5" w:rsidRDefault="00F906FF" w:rsidP="00B23B68">
            <w:pPr>
              <w:jc w:val="both"/>
              <w:rPr>
                <w:rFonts w:ascii="Sylfaen" w:eastAsia="Times New Roman" w:hAnsi="Sylfaen" w:cs="Calibri"/>
                <w:color w:val="000000"/>
                <w:sz w:val="20"/>
                <w:szCs w:val="20"/>
                <w:lang w:val="ka-GE"/>
              </w:rPr>
            </w:pPr>
            <w:r w:rsidRPr="007C03F5">
              <w:rPr>
                <w:rFonts w:ascii="Sylfaen" w:eastAsia="Times New Roman" w:hAnsi="Sylfaen" w:cs="Calibri"/>
                <w:color w:val="000000"/>
                <w:sz w:val="20"/>
                <w:szCs w:val="20"/>
                <w:lang w:val="ka-GE"/>
              </w:rPr>
              <w:t>6. EU და EC გადაწყვეტილებები-ახალი სვეტი, სადაც ცალკე გატანილი ევროკომისიის გადაწყვეტილება გამოყენების ევროკავშირში ჰარმონიზაციის შესახებ, რომლებიც უნდა იყოს გათვალისწინებული ეროვნულ გამოყენებაში</w:t>
            </w:r>
          </w:p>
        </w:tc>
      </w:tr>
      <w:tr w:rsidR="00F906FF" w:rsidRPr="007C03F5" w14:paraId="2DA7E402" w14:textId="77777777" w:rsidTr="00B23B68">
        <w:tc>
          <w:tcPr>
            <w:tcW w:w="9350" w:type="dxa"/>
          </w:tcPr>
          <w:p w14:paraId="4E8A6094" w14:textId="77777777" w:rsidR="00F906FF" w:rsidRPr="007C03F5" w:rsidRDefault="00F906FF" w:rsidP="00B23B68">
            <w:pPr>
              <w:jc w:val="both"/>
              <w:rPr>
                <w:rFonts w:ascii="Sylfaen" w:eastAsia="Times New Roman" w:hAnsi="Sylfaen" w:cs="Calibri"/>
                <w:color w:val="000000"/>
                <w:sz w:val="20"/>
                <w:szCs w:val="20"/>
                <w:lang w:val="ka-GE"/>
              </w:rPr>
            </w:pPr>
            <w:r w:rsidRPr="007C03F5">
              <w:rPr>
                <w:rFonts w:ascii="Sylfaen" w:eastAsia="Times New Roman" w:hAnsi="Sylfaen" w:cs="Calibri"/>
                <w:color w:val="000000"/>
                <w:sz w:val="20"/>
                <w:szCs w:val="20"/>
                <w:lang w:val="ka-GE"/>
              </w:rPr>
              <w:t>7. ECC/ERC-ის გადაწყვეტილებები და რეკომენდაციები-ახალი სვეტი, სადაც ცალკეა გატანილი CEPT ECC/ERC კომიტეტების მიერ მიღებული გადაწყვეტილებები და რეკომენდაციები, რომლებიც უდნა იყოს  გათვალისწინებული ეროვნულ გამოყენებაში</w:t>
            </w:r>
          </w:p>
        </w:tc>
      </w:tr>
      <w:tr w:rsidR="00F906FF" w:rsidRPr="007C03F5" w14:paraId="4B17F9D2" w14:textId="77777777" w:rsidTr="00B23B68">
        <w:tc>
          <w:tcPr>
            <w:tcW w:w="9350" w:type="dxa"/>
          </w:tcPr>
          <w:p w14:paraId="1CE2FD31" w14:textId="77777777" w:rsidR="00F906FF" w:rsidRPr="007C03F5" w:rsidRDefault="00F906FF" w:rsidP="00B23B68">
            <w:pPr>
              <w:jc w:val="both"/>
              <w:rPr>
                <w:rFonts w:ascii="Sylfaen" w:eastAsia="Times New Roman" w:hAnsi="Sylfaen" w:cs="Calibri"/>
                <w:color w:val="000000"/>
                <w:sz w:val="20"/>
                <w:szCs w:val="20"/>
                <w:lang w:val="ka-GE"/>
              </w:rPr>
            </w:pPr>
            <w:r w:rsidRPr="007C03F5">
              <w:rPr>
                <w:rFonts w:ascii="Sylfaen" w:eastAsia="Times New Roman" w:hAnsi="Sylfaen" w:cs="Calibri"/>
                <w:color w:val="000000"/>
                <w:sz w:val="20"/>
                <w:szCs w:val="20"/>
                <w:lang w:val="ka-GE"/>
              </w:rPr>
              <w:t>8. შენიშვნები</w:t>
            </w:r>
          </w:p>
        </w:tc>
      </w:tr>
    </w:tbl>
    <w:p w14:paraId="71D7CFE4" w14:textId="77777777" w:rsidR="00F906FF" w:rsidRPr="007C03F5" w:rsidRDefault="00F906FF" w:rsidP="00F906FF">
      <w:pPr>
        <w:jc w:val="both"/>
        <w:rPr>
          <w:rFonts w:ascii="Sylfaen" w:eastAsia="Times New Roman" w:hAnsi="Sylfaen" w:cs="Calibri"/>
          <w:color w:val="000000"/>
          <w:sz w:val="20"/>
          <w:szCs w:val="20"/>
          <w:lang w:val="ka-GE"/>
        </w:rPr>
      </w:pPr>
    </w:p>
    <w:p w14:paraId="1B93B267" w14:textId="40F5A36C" w:rsidR="003D5203" w:rsidRDefault="00F906FF" w:rsidP="00F906FF">
      <w:pPr>
        <w:jc w:val="both"/>
        <w:rPr>
          <w:rFonts w:ascii="Sylfaen" w:eastAsia="Times New Roman" w:hAnsi="Sylfaen" w:cs="Calibri"/>
          <w:color w:val="000000"/>
          <w:sz w:val="20"/>
          <w:szCs w:val="20"/>
          <w:lang w:val="ka-GE"/>
        </w:rPr>
      </w:pPr>
      <w:r w:rsidRPr="007C03F5">
        <w:rPr>
          <w:rFonts w:ascii="Sylfaen" w:eastAsia="Times New Roman" w:hAnsi="Sylfaen" w:cs="Calibri"/>
          <w:color w:val="000000"/>
          <w:sz w:val="20"/>
          <w:szCs w:val="20"/>
          <w:lang w:val="ka-GE"/>
        </w:rPr>
        <w:t>ამჟამად</w:t>
      </w:r>
      <w:r w:rsidR="0047054B">
        <w:rPr>
          <w:rFonts w:ascii="Sylfaen" w:eastAsia="Times New Roman" w:hAnsi="Sylfaen" w:cs="Calibri"/>
          <w:color w:val="000000"/>
          <w:sz w:val="20"/>
          <w:szCs w:val="20"/>
          <w:lang w:val="ka-GE"/>
        </w:rPr>
        <w:t>,</w:t>
      </w:r>
      <w:r w:rsidRPr="007C03F5">
        <w:rPr>
          <w:rFonts w:ascii="Sylfaen" w:eastAsia="Times New Roman" w:hAnsi="Sylfaen" w:cs="Calibri"/>
          <w:color w:val="000000"/>
          <w:sz w:val="20"/>
          <w:szCs w:val="20"/>
          <w:lang w:val="ka-GE"/>
        </w:rPr>
        <w:t xml:space="preserve"> სპექტრის თითოეულ დიაპაზონ</w:t>
      </w:r>
      <w:r w:rsidR="0047054B">
        <w:rPr>
          <w:rFonts w:ascii="Sylfaen" w:eastAsia="Times New Roman" w:hAnsi="Sylfaen" w:cs="Calibri"/>
          <w:color w:val="000000"/>
          <w:sz w:val="20"/>
          <w:szCs w:val="20"/>
          <w:lang w:val="ka-GE"/>
        </w:rPr>
        <w:t>ი</w:t>
      </w:r>
      <w:r w:rsidRPr="007C03F5">
        <w:rPr>
          <w:rFonts w:ascii="Sylfaen" w:eastAsia="Times New Roman" w:hAnsi="Sylfaen" w:cs="Calibri"/>
          <w:color w:val="000000"/>
          <w:sz w:val="20"/>
          <w:szCs w:val="20"/>
          <w:lang w:val="ka-GE"/>
        </w:rPr>
        <w:t>ს აღწერის სტრიქონში მოცემულ დიაპაზონს შეიძლება შეესაბამებოდეს რამდენიმე გამოყენება. შემოთავაზებულ ცვლილებაში ყოველ გამოყენებას შეესაბამება ცალკე სტრიქონი</w:t>
      </w:r>
      <w:r w:rsidR="0047054B">
        <w:rPr>
          <w:rFonts w:ascii="Sylfaen" w:eastAsia="Times New Roman" w:hAnsi="Sylfaen" w:cs="Calibri"/>
          <w:color w:val="000000"/>
          <w:sz w:val="20"/>
          <w:szCs w:val="20"/>
          <w:lang w:val="ka-GE"/>
        </w:rPr>
        <w:t>.</w:t>
      </w:r>
    </w:p>
    <w:tbl>
      <w:tblPr>
        <w:tblW w:w="9498" w:type="dxa"/>
        <w:tblLook w:val="04A0" w:firstRow="1" w:lastRow="0" w:firstColumn="1" w:lastColumn="0" w:noHBand="0" w:noVBand="1"/>
      </w:tblPr>
      <w:tblGrid>
        <w:gridCol w:w="9498"/>
      </w:tblGrid>
      <w:tr w:rsidR="003D5203" w:rsidRPr="007C03F5" w14:paraId="689ED1B9" w14:textId="77777777" w:rsidTr="00B23B68">
        <w:trPr>
          <w:trHeight w:val="288"/>
        </w:trPr>
        <w:tc>
          <w:tcPr>
            <w:tcW w:w="9498" w:type="dxa"/>
            <w:tcBorders>
              <w:top w:val="nil"/>
              <w:left w:val="nil"/>
              <w:bottom w:val="nil"/>
              <w:right w:val="nil"/>
            </w:tcBorders>
            <w:noWrap/>
            <w:vAlign w:val="bottom"/>
            <w:hideMark/>
          </w:tcPr>
          <w:p w14:paraId="7B719295" w14:textId="020D2936" w:rsidR="003D5203" w:rsidRDefault="003D5203" w:rsidP="00B23B68">
            <w:pPr>
              <w:jc w:val="both"/>
              <w:rPr>
                <w:rFonts w:ascii="Sylfaen" w:hAnsi="Sylfaen" w:cs="Calibri"/>
                <w:sz w:val="20"/>
                <w:szCs w:val="20"/>
                <w:lang w:val="ka-GE"/>
              </w:rPr>
            </w:pPr>
            <w:r w:rsidRPr="007C03F5">
              <w:rPr>
                <w:rFonts w:ascii="Sylfaen" w:hAnsi="Sylfaen" w:cs="Calibri"/>
                <w:sz w:val="20"/>
                <w:szCs w:val="20"/>
                <w:lang w:val="ka-GE"/>
              </w:rPr>
              <w:t>მოცემული დებულებების გათვალისწინებით ცვლილების პროექტი</w:t>
            </w:r>
            <w:r>
              <w:rPr>
                <w:rFonts w:ascii="Sylfaen" w:hAnsi="Sylfaen" w:cs="Calibri"/>
                <w:sz w:val="20"/>
                <w:szCs w:val="20"/>
                <w:lang w:val="ka-GE"/>
              </w:rPr>
              <w:t>თ</w:t>
            </w:r>
            <w:r w:rsidRPr="007C03F5">
              <w:rPr>
                <w:rFonts w:ascii="Sylfaen" w:hAnsi="Sylfaen" w:cs="Calibri"/>
                <w:sz w:val="20"/>
                <w:szCs w:val="20"/>
                <w:lang w:val="ka-GE"/>
              </w:rPr>
              <w:t xml:space="preserve"> </w:t>
            </w:r>
            <w:r>
              <w:rPr>
                <w:rFonts w:ascii="Sylfaen" w:hAnsi="Sylfaen" w:cs="Calibri"/>
                <w:sz w:val="20"/>
                <w:szCs w:val="20"/>
                <w:lang w:val="ka-GE"/>
              </w:rPr>
              <w:t xml:space="preserve">გათვალისწინებული </w:t>
            </w:r>
            <w:r w:rsidRPr="007C03F5">
              <w:rPr>
                <w:rFonts w:ascii="Sylfaen" w:hAnsi="Sylfaen" w:cs="Calibri"/>
                <w:sz w:val="20"/>
                <w:szCs w:val="20"/>
                <w:lang w:val="ka-GE"/>
              </w:rPr>
              <w:t xml:space="preserve">რადიოსიხშირული სპექტრის განაწილების ეროვნული გეგმის ( </w:t>
            </w:r>
            <w:r w:rsidR="0047054B">
              <w:rPr>
                <w:rFonts w:ascii="Sylfaen" w:hAnsi="Sylfaen" w:cs="Calibri"/>
                <w:sz w:val="20"/>
                <w:szCs w:val="20"/>
                <w:lang w:val="ka-GE"/>
              </w:rPr>
              <w:t>“</w:t>
            </w:r>
            <w:r w:rsidRPr="007C03F5">
              <w:rPr>
                <w:rFonts w:ascii="Sylfaen" w:hAnsi="Sylfaen" w:cs="Calibri"/>
                <w:sz w:val="20"/>
                <w:szCs w:val="20"/>
                <w:lang w:val="ka-GE"/>
              </w:rPr>
              <w:t>ეროვნული გეგმის") სტრუქტურის</w:t>
            </w:r>
            <w:r>
              <w:rPr>
                <w:rFonts w:ascii="Sylfaen" w:hAnsi="Sylfaen" w:cs="Calibri"/>
                <w:sz w:val="20"/>
                <w:szCs w:val="20"/>
                <w:lang w:val="ka-GE"/>
              </w:rPr>
              <w:t xml:space="preserve"> </w:t>
            </w:r>
            <w:r w:rsidRPr="007C03F5">
              <w:rPr>
                <w:rFonts w:ascii="Sylfaen" w:hAnsi="Sylfaen" w:cs="Calibri"/>
                <w:sz w:val="20"/>
                <w:szCs w:val="20"/>
                <w:lang w:val="ka-GE"/>
              </w:rPr>
              <w:t>განმარტება</w:t>
            </w:r>
            <w:r w:rsidR="00333CD8">
              <w:rPr>
                <w:rFonts w:ascii="Sylfaen" w:hAnsi="Sylfaen" w:cs="Calibri"/>
                <w:sz w:val="20"/>
                <w:szCs w:val="20"/>
                <w:lang w:val="ka-GE"/>
              </w:rPr>
              <w:t xml:space="preserve"> ასე გამოიყურება:</w:t>
            </w:r>
          </w:p>
          <w:p w14:paraId="4F11600E" w14:textId="77777777" w:rsidR="003D5203" w:rsidRPr="007C03F5" w:rsidRDefault="003D5203" w:rsidP="00B23B68">
            <w:pPr>
              <w:rPr>
                <w:rFonts w:ascii="Sylfaen" w:hAnsi="Sylfaen" w:cs="Calibri"/>
                <w:sz w:val="20"/>
                <w:szCs w:val="20"/>
                <w:lang w:val="ka-GE"/>
              </w:rPr>
            </w:pPr>
          </w:p>
        </w:tc>
      </w:tr>
    </w:tbl>
    <w:p w14:paraId="2FE0A1D7" w14:textId="77777777" w:rsidR="003D5203" w:rsidRPr="001E286E" w:rsidRDefault="003D5203" w:rsidP="003D5203">
      <w:pPr>
        <w:pStyle w:val="ListParagraph"/>
        <w:numPr>
          <w:ilvl w:val="0"/>
          <w:numId w:val="2"/>
        </w:numPr>
        <w:ind w:left="142" w:hanging="142"/>
        <w:jc w:val="both"/>
        <w:rPr>
          <w:rFonts w:ascii="Sylfaen" w:hAnsi="Sylfaen" w:cs="Calibri"/>
          <w:sz w:val="20"/>
          <w:szCs w:val="20"/>
          <w:lang w:val="ka-GE"/>
        </w:rPr>
      </w:pPr>
      <w:r w:rsidRPr="001E286E">
        <w:rPr>
          <w:rFonts w:ascii="Sylfaen" w:hAnsi="Sylfaen" w:cs="Calibri"/>
          <w:sz w:val="20"/>
          <w:szCs w:val="20"/>
          <w:lang w:val="ka-GE"/>
        </w:rPr>
        <w:t>გეგმის სრუქტურა და ველების განმარტება</w:t>
      </w:r>
    </w:p>
    <w:p w14:paraId="57AD83B4" w14:textId="77777777" w:rsidR="003D5203" w:rsidRPr="001E286E" w:rsidRDefault="003D5203" w:rsidP="003D5203">
      <w:pPr>
        <w:pStyle w:val="ListParagraph"/>
        <w:numPr>
          <w:ilvl w:val="0"/>
          <w:numId w:val="2"/>
        </w:numPr>
        <w:ind w:left="142" w:hanging="142"/>
        <w:jc w:val="both"/>
        <w:rPr>
          <w:rFonts w:ascii="Sylfaen" w:hAnsi="Sylfaen" w:cs="Calibri"/>
          <w:sz w:val="20"/>
          <w:szCs w:val="20"/>
          <w:lang w:val="ka-GE"/>
        </w:rPr>
      </w:pPr>
      <w:r w:rsidRPr="001E286E">
        <w:rPr>
          <w:rFonts w:ascii="Sylfaen" w:hAnsi="Sylfaen" w:cs="Calibri"/>
          <w:sz w:val="20"/>
          <w:szCs w:val="20"/>
          <w:lang w:val="ka-GE"/>
        </w:rPr>
        <w:t>ეროვნული გეგმის მთავარი ცხრილი</w:t>
      </w:r>
    </w:p>
    <w:p w14:paraId="36A27EFC" w14:textId="77777777" w:rsidR="003D5203" w:rsidRPr="001E286E" w:rsidRDefault="003D5203" w:rsidP="003D5203">
      <w:pPr>
        <w:pStyle w:val="ListParagraph"/>
        <w:numPr>
          <w:ilvl w:val="0"/>
          <w:numId w:val="2"/>
        </w:numPr>
        <w:ind w:left="142" w:hanging="142"/>
        <w:jc w:val="both"/>
        <w:rPr>
          <w:rFonts w:ascii="Sylfaen" w:hAnsi="Sylfaen" w:cs="Calibri"/>
          <w:sz w:val="20"/>
          <w:szCs w:val="20"/>
          <w:lang w:val="ka-GE"/>
        </w:rPr>
      </w:pPr>
      <w:r w:rsidRPr="001E286E">
        <w:rPr>
          <w:rFonts w:ascii="Sylfaen" w:hAnsi="Sylfaen" w:cs="Calibri"/>
          <w:sz w:val="20"/>
          <w:szCs w:val="20"/>
          <w:lang w:val="ka-GE"/>
        </w:rPr>
        <w:t>დანართი 1. ზოგადი ნებართვით გამოსაყენებლად განსაზღვრულ რადიოსიხშირულ სპექტრში  მოკლე დისტანციაზე მოქმედი მოწყობილობებისათვის (SRD) ინტერფეისის მოთხოვნები.</w:t>
      </w:r>
    </w:p>
    <w:p w14:paraId="12EE6749" w14:textId="77777777" w:rsidR="003D5203" w:rsidRPr="001E286E" w:rsidRDefault="003D5203" w:rsidP="003D5203">
      <w:pPr>
        <w:pStyle w:val="ListParagraph"/>
        <w:numPr>
          <w:ilvl w:val="0"/>
          <w:numId w:val="2"/>
        </w:numPr>
        <w:ind w:left="142" w:hanging="142"/>
        <w:jc w:val="both"/>
        <w:rPr>
          <w:rFonts w:ascii="Sylfaen" w:hAnsi="Sylfaen" w:cs="Calibri"/>
          <w:sz w:val="20"/>
          <w:szCs w:val="20"/>
          <w:lang w:val="ka-GE"/>
        </w:rPr>
      </w:pPr>
      <w:r w:rsidRPr="001E286E">
        <w:rPr>
          <w:rFonts w:ascii="Sylfaen" w:hAnsi="Sylfaen" w:cs="Calibri"/>
          <w:sz w:val="20"/>
          <w:szCs w:val="20"/>
          <w:lang w:val="ka-GE"/>
        </w:rPr>
        <w:t>დანართი 2. ზოგადი ნებართვით გამოსაყენებლად განსაზღვრულ რადიოსიხშირულ სპექტრში თანამგზავრული კავშირის მოწყობილობებისათვის (თანამგზავრული გამოყენებები) ტექნიკური მოთხოვნები.</w:t>
      </w:r>
    </w:p>
    <w:p w14:paraId="5EFD17E9" w14:textId="77777777" w:rsidR="003D5203" w:rsidRPr="001E286E" w:rsidRDefault="003D5203" w:rsidP="003D5203">
      <w:pPr>
        <w:pStyle w:val="ListParagraph"/>
        <w:numPr>
          <w:ilvl w:val="0"/>
          <w:numId w:val="2"/>
        </w:numPr>
        <w:ind w:left="142" w:hanging="142"/>
        <w:jc w:val="both"/>
        <w:rPr>
          <w:rFonts w:ascii="Sylfaen" w:hAnsi="Sylfaen" w:cs="Calibri"/>
          <w:sz w:val="20"/>
          <w:szCs w:val="20"/>
          <w:lang w:val="ka-GE"/>
        </w:rPr>
      </w:pPr>
      <w:r w:rsidRPr="001E286E">
        <w:rPr>
          <w:rFonts w:ascii="Sylfaen" w:hAnsi="Sylfaen" w:cs="Calibri"/>
          <w:sz w:val="20"/>
          <w:szCs w:val="20"/>
          <w:lang w:val="ka-GE"/>
        </w:rPr>
        <w:t>დანართი 3. ზოგადი ნებართვით გამოსაყენებლად განსაზღვრულ რადიოსიხშირულ სპექტრში სამოქალაქო დიაპაზონის (CB) მოწყობილობებისათვის ინტერფეისის მოთხოვნები.</w:t>
      </w:r>
    </w:p>
    <w:p w14:paraId="2E8B2EEC" w14:textId="77777777" w:rsidR="003D5203" w:rsidRPr="001E286E" w:rsidRDefault="003D5203" w:rsidP="003D5203">
      <w:pPr>
        <w:pStyle w:val="ListParagraph"/>
        <w:numPr>
          <w:ilvl w:val="0"/>
          <w:numId w:val="2"/>
        </w:numPr>
        <w:ind w:left="142" w:hanging="142"/>
        <w:jc w:val="both"/>
        <w:rPr>
          <w:rFonts w:ascii="Sylfaen" w:hAnsi="Sylfaen" w:cs="Calibri"/>
          <w:sz w:val="20"/>
          <w:szCs w:val="20"/>
          <w:lang w:val="ka-GE"/>
        </w:rPr>
      </w:pPr>
      <w:r w:rsidRPr="001E286E">
        <w:rPr>
          <w:rFonts w:ascii="Sylfaen" w:hAnsi="Sylfaen" w:cs="Calibri"/>
          <w:sz w:val="20"/>
          <w:szCs w:val="20"/>
          <w:lang w:val="ka-GE"/>
        </w:rPr>
        <w:t>დანართი 4. აბრევიატურების სია განმარტებით და თარგმანით</w:t>
      </w:r>
    </w:p>
    <w:p w14:paraId="2C93CF14" w14:textId="77777777" w:rsidR="003D5203" w:rsidRPr="001E286E" w:rsidRDefault="003D5203" w:rsidP="003D5203">
      <w:pPr>
        <w:pStyle w:val="ListParagraph"/>
        <w:numPr>
          <w:ilvl w:val="0"/>
          <w:numId w:val="2"/>
        </w:numPr>
        <w:ind w:left="142" w:hanging="142"/>
        <w:jc w:val="both"/>
        <w:rPr>
          <w:rFonts w:ascii="Sylfaen" w:hAnsi="Sylfaen" w:cs="Calibri"/>
          <w:sz w:val="20"/>
          <w:szCs w:val="20"/>
          <w:lang w:val="ka-GE"/>
        </w:rPr>
      </w:pPr>
      <w:r w:rsidRPr="001E286E">
        <w:rPr>
          <w:rFonts w:ascii="Sylfaen" w:hAnsi="Sylfaen" w:cs="Calibri"/>
          <w:sz w:val="20"/>
          <w:szCs w:val="20"/>
          <w:lang w:val="ka-GE"/>
        </w:rPr>
        <w:t>დანართი 5.  ITU-ს რადიორეგლამენტის ფუტნოტები, რომლებშიც მითითებულია საქართველო</w:t>
      </w:r>
    </w:p>
    <w:p w14:paraId="3D7C06B6" w14:textId="77777777" w:rsidR="003D5203" w:rsidRPr="001E286E" w:rsidRDefault="003D5203" w:rsidP="003D5203">
      <w:pPr>
        <w:pStyle w:val="ListParagraph"/>
        <w:numPr>
          <w:ilvl w:val="0"/>
          <w:numId w:val="2"/>
        </w:numPr>
        <w:ind w:left="142" w:hanging="142"/>
        <w:jc w:val="both"/>
        <w:rPr>
          <w:rFonts w:ascii="Sylfaen" w:hAnsi="Sylfaen" w:cs="Calibri"/>
          <w:sz w:val="20"/>
          <w:szCs w:val="20"/>
          <w:lang w:val="ka-GE"/>
        </w:rPr>
      </w:pPr>
      <w:r w:rsidRPr="001E286E">
        <w:rPr>
          <w:rFonts w:ascii="Sylfaen" w:hAnsi="Sylfaen" w:cs="Calibri"/>
          <w:sz w:val="20"/>
          <w:szCs w:val="20"/>
          <w:lang w:val="ka-GE"/>
        </w:rPr>
        <w:t>დანართი 6. ეროვნულ დონეზე გამოყენებების CEPT-ის ECA ცხრილის ანალოგი</w:t>
      </w:r>
    </w:p>
    <w:p w14:paraId="2260ED05" w14:textId="77777777" w:rsidR="003D5203" w:rsidRPr="007C03F5" w:rsidRDefault="003D5203" w:rsidP="00F906FF">
      <w:pPr>
        <w:jc w:val="both"/>
        <w:rPr>
          <w:rFonts w:ascii="Sylfaen" w:eastAsia="Times New Roman" w:hAnsi="Sylfaen" w:cs="Calibri"/>
          <w:color w:val="000000"/>
          <w:sz w:val="20"/>
          <w:szCs w:val="20"/>
          <w:lang w:val="ka-GE"/>
        </w:rPr>
      </w:pPr>
    </w:p>
    <w:p w14:paraId="0F115C76" w14:textId="45268C8E" w:rsidR="00153D3C" w:rsidRDefault="00153D3C" w:rsidP="009467F9">
      <w:pPr>
        <w:jc w:val="both"/>
        <w:rPr>
          <w:rFonts w:ascii="Sylfaen" w:hAnsi="Sylfaen"/>
          <w:lang w:val="ka-GE"/>
        </w:rPr>
      </w:pPr>
      <w:r w:rsidRPr="00153D3C">
        <w:rPr>
          <w:rFonts w:ascii="Sylfaen" w:hAnsi="Sylfaen"/>
          <w:b/>
          <w:bCs/>
          <w:lang w:val="ka-GE"/>
        </w:rPr>
        <w:t>გ) დადგენილების პროექტის საფინანსო-ეკონომიკური გაანგარიშება</w:t>
      </w:r>
      <w:r w:rsidRPr="00F906FF">
        <w:rPr>
          <w:rFonts w:ascii="Sylfaen" w:hAnsi="Sylfaen"/>
          <w:lang w:val="ka-GE"/>
        </w:rPr>
        <w:t> </w:t>
      </w:r>
    </w:p>
    <w:p w14:paraId="000B0A8F" w14:textId="77777777" w:rsidR="00042035" w:rsidRPr="00042035" w:rsidRDefault="00042035" w:rsidP="00042035">
      <w:pPr>
        <w:spacing w:before="120" w:after="120" w:line="276" w:lineRule="auto"/>
        <w:jc w:val="both"/>
        <w:rPr>
          <w:rFonts w:ascii="Sylfaen" w:eastAsia="Calibri" w:hAnsi="Sylfaen" w:cs="Times New Roman"/>
          <w:b/>
          <w:lang w:val="ka-GE"/>
        </w:rPr>
      </w:pPr>
      <w:r w:rsidRPr="00042035">
        <w:rPr>
          <w:rFonts w:ascii="Sylfaen" w:eastAsia="Calibri" w:hAnsi="Sylfaen" w:cs="Times New Roman"/>
          <w:lang w:val="ka-GE"/>
        </w:rPr>
        <w:t>დადგენილების პროექტის მიღება გავლენას არ მოახდენს სახელმწიფო ბიუჯეტის საშემოსავლო და ხარჯვით ნაწილებზე.</w:t>
      </w:r>
    </w:p>
    <w:p w14:paraId="0267BD05" w14:textId="77777777" w:rsidR="006F6B70" w:rsidRDefault="006F6B70" w:rsidP="00042035">
      <w:pPr>
        <w:spacing w:before="120" w:after="120" w:line="276" w:lineRule="auto"/>
        <w:jc w:val="both"/>
        <w:rPr>
          <w:rFonts w:ascii="Sylfaen" w:eastAsia="Calibri" w:hAnsi="Sylfaen" w:cs="Times New Roman"/>
          <w:lang w:val="ka-GE"/>
        </w:rPr>
      </w:pPr>
    </w:p>
    <w:bookmarkEnd w:id="0"/>
    <w:p w14:paraId="2FD9CDA9" w14:textId="77777777" w:rsidR="003B25BA" w:rsidRPr="00F906FF" w:rsidRDefault="003B25BA" w:rsidP="003B25BA">
      <w:pPr>
        <w:spacing w:before="120" w:after="120" w:line="276" w:lineRule="auto"/>
        <w:jc w:val="both"/>
        <w:rPr>
          <w:rFonts w:ascii="Sylfaen" w:eastAsia="Calibri" w:hAnsi="Sylfaen" w:cs="Times New Roman"/>
          <w:lang w:val="ka-GE"/>
        </w:rPr>
      </w:pPr>
      <w:r w:rsidRPr="003B25BA">
        <w:rPr>
          <w:rFonts w:ascii="Sylfaen" w:eastAsia="Calibri" w:hAnsi="Sylfaen" w:cs="Times New Roman"/>
          <w:b/>
          <w:bCs/>
          <w:lang w:val="ka-GE"/>
        </w:rPr>
        <w:t>დ) გენდერული თანასწორობის მდგომარეობაზე კანონქვემდებარე ნორმატიული აქტის პროექტის მოსალოდნელი ზეგავლენის შეფასება</w:t>
      </w:r>
      <w:r w:rsidRPr="00F906FF">
        <w:rPr>
          <w:rFonts w:ascii="Sylfaen" w:eastAsia="Calibri" w:hAnsi="Sylfaen" w:cs="Times New Roman"/>
          <w:lang w:val="ka-GE"/>
        </w:rPr>
        <w:t> </w:t>
      </w:r>
    </w:p>
    <w:p w14:paraId="72597059" w14:textId="7574E70D" w:rsidR="003B25BA" w:rsidRPr="00F906FF" w:rsidRDefault="003B25BA" w:rsidP="003B25BA">
      <w:pPr>
        <w:spacing w:before="120" w:after="120" w:line="276" w:lineRule="auto"/>
        <w:jc w:val="both"/>
        <w:rPr>
          <w:rFonts w:ascii="Sylfaen" w:eastAsia="Calibri" w:hAnsi="Sylfaen" w:cs="Times New Roman"/>
          <w:lang w:val="ka-GE"/>
        </w:rPr>
      </w:pPr>
      <w:r w:rsidRPr="00F906FF">
        <w:rPr>
          <w:rFonts w:ascii="Sylfaen" w:eastAsia="Calibri" w:hAnsi="Sylfaen" w:cs="Times New Roman"/>
          <w:lang w:val="ka-GE"/>
        </w:rPr>
        <w:lastRenderedPageBreak/>
        <w:t> </w:t>
      </w:r>
      <w:r w:rsidRPr="003B25BA">
        <w:rPr>
          <w:rFonts w:ascii="Sylfaen" w:eastAsia="Calibri" w:hAnsi="Sylfaen" w:cs="Times New Roman"/>
          <w:lang w:val="ka-GE"/>
        </w:rPr>
        <w:t>დადგენილების პროექტის მიღებით გენდერული თანასწორობის მდგომარეობაზე ზეგავლენის მოხდენა მოსალოდნელი არ არის.</w:t>
      </w:r>
      <w:r w:rsidRPr="00F906FF">
        <w:rPr>
          <w:rFonts w:ascii="Sylfaen" w:eastAsia="Calibri" w:hAnsi="Sylfaen" w:cs="Times New Roman"/>
          <w:lang w:val="ka-GE"/>
        </w:rPr>
        <w:t> </w:t>
      </w:r>
    </w:p>
    <w:p w14:paraId="3A7C9D3E" w14:textId="7958A7F4" w:rsidR="003B25BA" w:rsidRPr="00F906FF" w:rsidRDefault="003B25BA" w:rsidP="003B25BA">
      <w:pPr>
        <w:spacing w:before="120" w:after="120" w:line="276" w:lineRule="auto"/>
        <w:jc w:val="both"/>
        <w:rPr>
          <w:rFonts w:ascii="Sylfaen" w:eastAsia="Calibri" w:hAnsi="Sylfaen" w:cs="Times New Roman"/>
          <w:lang w:val="ka-GE"/>
        </w:rPr>
      </w:pPr>
      <w:r w:rsidRPr="00F906FF">
        <w:rPr>
          <w:rFonts w:ascii="Sylfaen" w:eastAsia="Calibri" w:hAnsi="Sylfaen" w:cs="Times New Roman"/>
          <w:lang w:val="ka-GE"/>
        </w:rPr>
        <w:t> </w:t>
      </w:r>
      <w:r w:rsidRPr="003B25BA">
        <w:rPr>
          <w:rFonts w:ascii="Sylfaen" w:eastAsia="Calibri" w:hAnsi="Sylfaen" w:cs="Times New Roman"/>
          <w:b/>
          <w:bCs/>
          <w:lang w:val="ka-GE"/>
        </w:rPr>
        <w:t>ე)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r w:rsidRPr="00F906FF">
        <w:rPr>
          <w:rFonts w:ascii="Sylfaen" w:eastAsia="Calibri" w:hAnsi="Sylfaen" w:cs="Times New Roman"/>
          <w:lang w:val="ka-GE"/>
        </w:rPr>
        <w:t> </w:t>
      </w:r>
    </w:p>
    <w:p w14:paraId="4B800BF9" w14:textId="4F79228F" w:rsidR="003B25BA" w:rsidRPr="00F906FF" w:rsidRDefault="003B25BA" w:rsidP="003B25BA">
      <w:pPr>
        <w:spacing w:before="120" w:after="120" w:line="276" w:lineRule="auto"/>
        <w:jc w:val="both"/>
        <w:rPr>
          <w:rFonts w:ascii="Sylfaen" w:eastAsia="Calibri" w:hAnsi="Sylfaen" w:cs="Times New Roman"/>
          <w:lang w:val="ka-GE"/>
        </w:rPr>
      </w:pPr>
      <w:r w:rsidRPr="00F906FF">
        <w:rPr>
          <w:rFonts w:ascii="Sylfaen" w:eastAsia="Calibri" w:hAnsi="Sylfaen" w:cs="Times New Roman"/>
          <w:lang w:val="ka-GE"/>
        </w:rPr>
        <w:t> </w:t>
      </w:r>
      <w:r w:rsidRPr="003B25BA">
        <w:rPr>
          <w:rFonts w:ascii="Sylfaen" w:eastAsia="Calibri" w:hAnsi="Sylfaen" w:cs="Times New Roman"/>
          <w:lang w:val="ka-GE"/>
        </w:rPr>
        <w:t>ასეთი არ არსებობს. </w:t>
      </w:r>
      <w:r w:rsidRPr="00F906FF">
        <w:rPr>
          <w:rFonts w:ascii="Sylfaen" w:eastAsia="Calibri" w:hAnsi="Sylfaen" w:cs="Times New Roman"/>
          <w:lang w:val="ka-GE"/>
        </w:rPr>
        <w:t> </w:t>
      </w:r>
    </w:p>
    <w:p w14:paraId="72F5DD20" w14:textId="7922D961" w:rsidR="003B25BA" w:rsidRPr="00F906FF" w:rsidRDefault="003B25BA" w:rsidP="003B25BA">
      <w:pPr>
        <w:spacing w:before="120" w:after="120" w:line="276" w:lineRule="auto"/>
        <w:jc w:val="both"/>
        <w:rPr>
          <w:rFonts w:ascii="Sylfaen" w:eastAsia="Calibri" w:hAnsi="Sylfaen" w:cs="Times New Roman"/>
          <w:lang w:val="ka-GE"/>
        </w:rPr>
      </w:pPr>
      <w:r w:rsidRPr="00F906FF">
        <w:rPr>
          <w:rFonts w:ascii="Sylfaen" w:eastAsia="Calibri" w:hAnsi="Sylfaen" w:cs="Times New Roman"/>
          <w:lang w:val="ka-GE"/>
        </w:rPr>
        <w:t> </w:t>
      </w:r>
      <w:r w:rsidRPr="003B25BA">
        <w:rPr>
          <w:rFonts w:ascii="Sylfaen" w:eastAsia="Calibri" w:hAnsi="Sylfaen" w:cs="Times New Roman"/>
          <w:b/>
          <w:bCs/>
          <w:lang w:val="ka-GE"/>
        </w:rPr>
        <w:t xml:space="preserve">ვ) დადგენილების  </w:t>
      </w:r>
      <w:r w:rsidRPr="00F906FF">
        <w:rPr>
          <w:rFonts w:ascii="Sylfaen" w:eastAsia="Calibri" w:hAnsi="Sylfaen" w:cs="Times New Roman"/>
          <w:b/>
          <w:bCs/>
          <w:lang w:val="ka-GE"/>
        </w:rPr>
        <w:t>პროექტის</w:t>
      </w:r>
      <w:r w:rsidRPr="003B25BA">
        <w:rPr>
          <w:rFonts w:ascii="Sylfaen" w:eastAsia="Calibri" w:hAnsi="Sylfaen" w:cs="Times New Roman"/>
          <w:b/>
          <w:bCs/>
          <w:lang w:val="de-AT"/>
        </w:rPr>
        <w:t xml:space="preserve"> </w:t>
      </w:r>
      <w:r w:rsidRPr="00F906FF">
        <w:rPr>
          <w:rFonts w:ascii="Sylfaen" w:eastAsia="Calibri" w:hAnsi="Sylfaen" w:cs="Times New Roman"/>
          <w:b/>
          <w:bCs/>
          <w:lang w:val="ka-GE"/>
        </w:rPr>
        <w:t>ავტორი</w:t>
      </w:r>
      <w:r w:rsidRPr="003B25BA">
        <w:rPr>
          <w:rFonts w:ascii="Sylfaen" w:eastAsia="Calibri" w:hAnsi="Sylfaen" w:cs="Times New Roman"/>
          <w:b/>
          <w:bCs/>
          <w:lang w:val="de-AT"/>
        </w:rPr>
        <w:t xml:space="preserve"> </w:t>
      </w:r>
      <w:r w:rsidRPr="00F906FF">
        <w:rPr>
          <w:rFonts w:ascii="Sylfaen" w:eastAsia="Calibri" w:hAnsi="Sylfaen" w:cs="Times New Roman"/>
          <w:b/>
          <w:bCs/>
          <w:lang w:val="ka-GE"/>
        </w:rPr>
        <w:t>და</w:t>
      </w:r>
      <w:r w:rsidRPr="003B25BA">
        <w:rPr>
          <w:rFonts w:ascii="Sylfaen" w:eastAsia="Calibri" w:hAnsi="Sylfaen" w:cs="Times New Roman"/>
          <w:b/>
          <w:bCs/>
          <w:lang w:val="de-AT"/>
        </w:rPr>
        <w:t xml:space="preserve"> </w:t>
      </w:r>
      <w:r w:rsidRPr="00F906FF">
        <w:rPr>
          <w:rFonts w:ascii="Sylfaen" w:eastAsia="Calibri" w:hAnsi="Sylfaen" w:cs="Times New Roman"/>
          <w:b/>
          <w:bCs/>
          <w:lang w:val="ka-GE"/>
        </w:rPr>
        <w:t>წარმდგენი</w:t>
      </w:r>
      <w:r w:rsidRPr="00F906FF">
        <w:rPr>
          <w:rFonts w:ascii="Sylfaen" w:eastAsia="Calibri" w:hAnsi="Sylfaen" w:cs="Times New Roman"/>
          <w:lang w:val="ka-GE"/>
        </w:rPr>
        <w:t> </w:t>
      </w:r>
    </w:p>
    <w:p w14:paraId="3B3E85B3" w14:textId="6A9571D1" w:rsidR="003B25BA" w:rsidRPr="00F906FF" w:rsidRDefault="003B25BA" w:rsidP="003B25BA">
      <w:pPr>
        <w:spacing w:before="120" w:after="120" w:line="276" w:lineRule="auto"/>
        <w:jc w:val="both"/>
        <w:rPr>
          <w:rFonts w:ascii="Sylfaen" w:eastAsia="Calibri" w:hAnsi="Sylfaen" w:cs="Times New Roman"/>
          <w:lang w:val="ka-GE"/>
        </w:rPr>
      </w:pPr>
      <w:r w:rsidRPr="00F906FF">
        <w:rPr>
          <w:rFonts w:ascii="Sylfaen" w:eastAsia="Calibri" w:hAnsi="Sylfaen" w:cs="Times New Roman"/>
          <w:lang w:val="ka-GE"/>
        </w:rPr>
        <w:t> </w:t>
      </w:r>
      <w:r w:rsidRPr="003B25BA">
        <w:rPr>
          <w:rFonts w:ascii="Sylfaen" w:eastAsia="Calibri" w:hAnsi="Sylfaen" w:cs="Times New Roman"/>
          <w:lang w:val="ka-GE"/>
        </w:rPr>
        <w:t>დადგენილების პროექტის ავტორი და წარმდგენია საქართველოს კომუნიკაციების ეროვნული კომისია.</w:t>
      </w:r>
      <w:r w:rsidRPr="00F906FF">
        <w:rPr>
          <w:rFonts w:ascii="Sylfaen" w:eastAsia="Calibri" w:hAnsi="Sylfaen" w:cs="Times New Roman"/>
          <w:lang w:val="ka-GE"/>
        </w:rPr>
        <w:t> </w:t>
      </w:r>
    </w:p>
    <w:p w14:paraId="7ECD147A" w14:textId="2323CF70" w:rsidR="001A0E03" w:rsidRPr="00F906FF" w:rsidRDefault="001A0E03" w:rsidP="003B25BA">
      <w:pPr>
        <w:spacing w:before="120" w:after="120" w:line="276" w:lineRule="auto"/>
        <w:jc w:val="both"/>
        <w:rPr>
          <w:rFonts w:ascii="Sylfaen" w:hAnsi="Sylfaen"/>
          <w:lang w:val="ka-GE"/>
        </w:rPr>
      </w:pPr>
    </w:p>
    <w:sectPr w:rsidR="001A0E03" w:rsidRPr="00F906F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AB835" w14:textId="77777777" w:rsidR="006D5C4F" w:rsidRDefault="006D5C4F" w:rsidP="0035663B">
      <w:pPr>
        <w:spacing w:after="0" w:line="240" w:lineRule="auto"/>
      </w:pPr>
      <w:r>
        <w:separator/>
      </w:r>
    </w:p>
  </w:endnote>
  <w:endnote w:type="continuationSeparator" w:id="0">
    <w:p w14:paraId="4240F657" w14:textId="77777777" w:rsidR="006D5C4F" w:rsidRDefault="006D5C4F" w:rsidP="0035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ylfaen_PDF_Subset">
    <w:altName w:val="MS Mincho"/>
    <w:panose1 w:val="00000000000000000000"/>
    <w:charset w:val="80"/>
    <w:family w:val="auto"/>
    <w:notTrueType/>
    <w:pitch w:val="default"/>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598301"/>
      <w:docPartObj>
        <w:docPartGallery w:val="Page Numbers (Bottom of Page)"/>
        <w:docPartUnique/>
      </w:docPartObj>
    </w:sdtPr>
    <w:sdtEndPr>
      <w:rPr>
        <w:noProof/>
      </w:rPr>
    </w:sdtEndPr>
    <w:sdtContent>
      <w:p w14:paraId="562A578E" w14:textId="5B2FE444" w:rsidR="0035663B" w:rsidRDefault="003566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E8CBD2" w14:textId="77777777" w:rsidR="0035663B" w:rsidRDefault="00356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A6C92" w14:textId="77777777" w:rsidR="006D5C4F" w:rsidRDefault="006D5C4F" w:rsidP="0035663B">
      <w:pPr>
        <w:spacing w:after="0" w:line="240" w:lineRule="auto"/>
      </w:pPr>
      <w:r>
        <w:separator/>
      </w:r>
    </w:p>
  </w:footnote>
  <w:footnote w:type="continuationSeparator" w:id="0">
    <w:p w14:paraId="2785F8F2" w14:textId="77777777" w:rsidR="006D5C4F" w:rsidRDefault="006D5C4F" w:rsidP="003566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10402"/>
    <w:multiLevelType w:val="hybridMultilevel"/>
    <w:tmpl w:val="F490B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6A66CD"/>
    <w:multiLevelType w:val="hybridMultilevel"/>
    <w:tmpl w:val="BD46C5E4"/>
    <w:lvl w:ilvl="0" w:tplc="0409000F">
      <w:start w:val="1"/>
      <w:numFmt w:val="decimal"/>
      <w:lvlText w:val="%1."/>
      <w:lvlJc w:val="left"/>
      <w:pPr>
        <w:ind w:left="45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39065927">
    <w:abstractNumId w:val="1"/>
  </w:num>
  <w:num w:numId="2" w16cid:durableId="474487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7D5"/>
    <w:rsid w:val="00042035"/>
    <w:rsid w:val="00077906"/>
    <w:rsid w:val="00091AE9"/>
    <w:rsid w:val="000A570F"/>
    <w:rsid w:val="001444E0"/>
    <w:rsid w:val="00153D3C"/>
    <w:rsid w:val="00161FAF"/>
    <w:rsid w:val="00190C72"/>
    <w:rsid w:val="001A0E03"/>
    <w:rsid w:val="001F24B7"/>
    <w:rsid w:val="00271128"/>
    <w:rsid w:val="00313C3D"/>
    <w:rsid w:val="00333CD8"/>
    <w:rsid w:val="0035663B"/>
    <w:rsid w:val="0036591E"/>
    <w:rsid w:val="003926B7"/>
    <w:rsid w:val="003B25BA"/>
    <w:rsid w:val="003D5203"/>
    <w:rsid w:val="003F7378"/>
    <w:rsid w:val="00404DEC"/>
    <w:rsid w:val="004271C8"/>
    <w:rsid w:val="0047054B"/>
    <w:rsid w:val="005C5234"/>
    <w:rsid w:val="005E3CDF"/>
    <w:rsid w:val="00612752"/>
    <w:rsid w:val="00677EE1"/>
    <w:rsid w:val="006D5C4F"/>
    <w:rsid w:val="006F6B70"/>
    <w:rsid w:val="0072204A"/>
    <w:rsid w:val="00756267"/>
    <w:rsid w:val="00762533"/>
    <w:rsid w:val="00802A48"/>
    <w:rsid w:val="008E5D04"/>
    <w:rsid w:val="008F2832"/>
    <w:rsid w:val="009467F9"/>
    <w:rsid w:val="009923BB"/>
    <w:rsid w:val="009A6115"/>
    <w:rsid w:val="009C1B16"/>
    <w:rsid w:val="00AB7D96"/>
    <w:rsid w:val="00AC47D5"/>
    <w:rsid w:val="00AD75A0"/>
    <w:rsid w:val="00B37253"/>
    <w:rsid w:val="00B43053"/>
    <w:rsid w:val="00BD51E1"/>
    <w:rsid w:val="00BF1A68"/>
    <w:rsid w:val="00C6541B"/>
    <w:rsid w:val="00CA231D"/>
    <w:rsid w:val="00D96372"/>
    <w:rsid w:val="00DC4A6C"/>
    <w:rsid w:val="00DD3CB2"/>
    <w:rsid w:val="00E26BEA"/>
    <w:rsid w:val="00E85827"/>
    <w:rsid w:val="00E87B50"/>
    <w:rsid w:val="00E945D8"/>
    <w:rsid w:val="00EA2B66"/>
    <w:rsid w:val="00EB2E06"/>
    <w:rsid w:val="00EB58F9"/>
    <w:rsid w:val="00F14C49"/>
    <w:rsid w:val="00F727F1"/>
    <w:rsid w:val="00F862C0"/>
    <w:rsid w:val="00F906FF"/>
    <w:rsid w:val="00FD70B7"/>
    <w:rsid w:val="00FE6BE4"/>
    <w:rsid w:val="00FF0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0003E"/>
  <w15:chartTrackingRefBased/>
  <w15:docId w15:val="{D412114B-CDAA-4B03-9FEB-ED74AF0C2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63B"/>
  </w:style>
  <w:style w:type="paragraph" w:styleId="Footer">
    <w:name w:val="footer"/>
    <w:basedOn w:val="Normal"/>
    <w:link w:val="FooterChar"/>
    <w:uiPriority w:val="99"/>
    <w:unhideWhenUsed/>
    <w:rsid w:val="00356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63B"/>
  </w:style>
  <w:style w:type="paragraph" w:customStyle="1" w:styleId="paragraph">
    <w:name w:val="paragraph"/>
    <w:basedOn w:val="Normal"/>
    <w:rsid w:val="004271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271C8"/>
  </w:style>
  <w:style w:type="character" w:customStyle="1" w:styleId="eop">
    <w:name w:val="eop"/>
    <w:basedOn w:val="DefaultParagraphFont"/>
    <w:rsid w:val="004271C8"/>
  </w:style>
  <w:style w:type="character" w:styleId="Strong">
    <w:name w:val="Strong"/>
    <w:basedOn w:val="DefaultParagraphFont"/>
    <w:uiPriority w:val="22"/>
    <w:qFormat/>
    <w:rsid w:val="003F7378"/>
    <w:rPr>
      <w:b/>
      <w:bCs/>
    </w:rPr>
  </w:style>
  <w:style w:type="paragraph" w:styleId="NoSpacing">
    <w:name w:val="No Spacing"/>
    <w:basedOn w:val="Normal"/>
    <w:uiPriority w:val="1"/>
    <w:qFormat/>
    <w:rsid w:val="00F906FF"/>
    <w:pPr>
      <w:spacing w:after="0" w:line="240" w:lineRule="auto"/>
    </w:pPr>
    <w:rPr>
      <w:rFonts w:eastAsiaTheme="minorEastAsia" w:cs="Times New Roman"/>
      <w:sz w:val="24"/>
      <w:szCs w:val="32"/>
    </w:rPr>
  </w:style>
  <w:style w:type="table" w:styleId="TableGrid">
    <w:name w:val="Table Grid"/>
    <w:basedOn w:val="TableNormal"/>
    <w:uiPriority w:val="39"/>
    <w:rsid w:val="00F906F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06FF"/>
    <w:pPr>
      <w:spacing w:after="0" w:line="240" w:lineRule="auto"/>
      <w:ind w:left="720"/>
      <w:contextualSpacing/>
    </w:pPr>
    <w:rPr>
      <w:rFonts w:eastAsiaTheme="minorEastAsia" w:cs="Times New Roman"/>
      <w:sz w:val="24"/>
      <w:szCs w:val="24"/>
    </w:rPr>
  </w:style>
  <w:style w:type="paragraph" w:styleId="Revision">
    <w:name w:val="Revision"/>
    <w:hidden/>
    <w:uiPriority w:val="99"/>
    <w:semiHidden/>
    <w:rsid w:val="00161F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507074">
      <w:bodyDiv w:val="1"/>
      <w:marLeft w:val="0"/>
      <w:marRight w:val="0"/>
      <w:marTop w:val="0"/>
      <w:marBottom w:val="0"/>
      <w:divBdr>
        <w:top w:val="none" w:sz="0" w:space="0" w:color="auto"/>
        <w:left w:val="none" w:sz="0" w:space="0" w:color="auto"/>
        <w:bottom w:val="none" w:sz="0" w:space="0" w:color="auto"/>
        <w:right w:val="none" w:sz="0" w:space="0" w:color="auto"/>
      </w:divBdr>
      <w:divsChild>
        <w:div w:id="124979385">
          <w:marLeft w:val="0"/>
          <w:marRight w:val="0"/>
          <w:marTop w:val="0"/>
          <w:marBottom w:val="0"/>
          <w:divBdr>
            <w:top w:val="none" w:sz="0" w:space="0" w:color="auto"/>
            <w:left w:val="none" w:sz="0" w:space="0" w:color="auto"/>
            <w:bottom w:val="none" w:sz="0" w:space="0" w:color="auto"/>
            <w:right w:val="none" w:sz="0" w:space="0" w:color="auto"/>
          </w:divBdr>
        </w:div>
        <w:div w:id="623266065">
          <w:marLeft w:val="0"/>
          <w:marRight w:val="0"/>
          <w:marTop w:val="0"/>
          <w:marBottom w:val="0"/>
          <w:divBdr>
            <w:top w:val="none" w:sz="0" w:space="0" w:color="auto"/>
            <w:left w:val="none" w:sz="0" w:space="0" w:color="auto"/>
            <w:bottom w:val="none" w:sz="0" w:space="0" w:color="auto"/>
            <w:right w:val="none" w:sz="0" w:space="0" w:color="auto"/>
          </w:divBdr>
        </w:div>
      </w:divsChild>
    </w:div>
    <w:div w:id="1832795524">
      <w:bodyDiv w:val="1"/>
      <w:marLeft w:val="0"/>
      <w:marRight w:val="0"/>
      <w:marTop w:val="0"/>
      <w:marBottom w:val="0"/>
      <w:divBdr>
        <w:top w:val="none" w:sz="0" w:space="0" w:color="auto"/>
        <w:left w:val="none" w:sz="0" w:space="0" w:color="auto"/>
        <w:bottom w:val="none" w:sz="0" w:space="0" w:color="auto"/>
        <w:right w:val="none" w:sz="0" w:space="0" w:color="auto"/>
      </w:divBdr>
      <w:divsChild>
        <w:div w:id="1301375990">
          <w:marLeft w:val="0"/>
          <w:marRight w:val="0"/>
          <w:marTop w:val="0"/>
          <w:marBottom w:val="0"/>
          <w:divBdr>
            <w:top w:val="none" w:sz="0" w:space="0" w:color="auto"/>
            <w:left w:val="none" w:sz="0" w:space="0" w:color="auto"/>
            <w:bottom w:val="none" w:sz="0" w:space="0" w:color="auto"/>
            <w:right w:val="none" w:sz="0" w:space="0" w:color="auto"/>
          </w:divBdr>
        </w:div>
        <w:div w:id="1990396934">
          <w:marLeft w:val="0"/>
          <w:marRight w:val="0"/>
          <w:marTop w:val="0"/>
          <w:marBottom w:val="0"/>
          <w:divBdr>
            <w:top w:val="none" w:sz="0" w:space="0" w:color="auto"/>
            <w:left w:val="none" w:sz="0" w:space="0" w:color="auto"/>
            <w:bottom w:val="none" w:sz="0" w:space="0" w:color="auto"/>
            <w:right w:val="none" w:sz="0" w:space="0" w:color="auto"/>
          </w:divBdr>
        </w:div>
        <w:div w:id="1570455538">
          <w:marLeft w:val="0"/>
          <w:marRight w:val="0"/>
          <w:marTop w:val="0"/>
          <w:marBottom w:val="0"/>
          <w:divBdr>
            <w:top w:val="none" w:sz="0" w:space="0" w:color="auto"/>
            <w:left w:val="none" w:sz="0" w:space="0" w:color="auto"/>
            <w:bottom w:val="none" w:sz="0" w:space="0" w:color="auto"/>
            <w:right w:val="none" w:sz="0" w:space="0" w:color="auto"/>
          </w:divBdr>
        </w:div>
        <w:div w:id="885487278">
          <w:marLeft w:val="0"/>
          <w:marRight w:val="0"/>
          <w:marTop w:val="0"/>
          <w:marBottom w:val="0"/>
          <w:divBdr>
            <w:top w:val="none" w:sz="0" w:space="0" w:color="auto"/>
            <w:left w:val="none" w:sz="0" w:space="0" w:color="auto"/>
            <w:bottom w:val="none" w:sz="0" w:space="0" w:color="auto"/>
            <w:right w:val="none" w:sz="0" w:space="0" w:color="auto"/>
          </w:divBdr>
        </w:div>
        <w:div w:id="780566020">
          <w:marLeft w:val="0"/>
          <w:marRight w:val="0"/>
          <w:marTop w:val="0"/>
          <w:marBottom w:val="0"/>
          <w:divBdr>
            <w:top w:val="none" w:sz="0" w:space="0" w:color="auto"/>
            <w:left w:val="none" w:sz="0" w:space="0" w:color="auto"/>
            <w:bottom w:val="none" w:sz="0" w:space="0" w:color="auto"/>
            <w:right w:val="none" w:sz="0" w:space="0" w:color="auto"/>
          </w:divBdr>
        </w:div>
        <w:div w:id="271785452">
          <w:marLeft w:val="0"/>
          <w:marRight w:val="0"/>
          <w:marTop w:val="0"/>
          <w:marBottom w:val="0"/>
          <w:divBdr>
            <w:top w:val="none" w:sz="0" w:space="0" w:color="auto"/>
            <w:left w:val="none" w:sz="0" w:space="0" w:color="auto"/>
            <w:bottom w:val="none" w:sz="0" w:space="0" w:color="auto"/>
            <w:right w:val="none" w:sz="0" w:space="0" w:color="auto"/>
          </w:divBdr>
        </w:div>
        <w:div w:id="1961493338">
          <w:marLeft w:val="0"/>
          <w:marRight w:val="0"/>
          <w:marTop w:val="0"/>
          <w:marBottom w:val="0"/>
          <w:divBdr>
            <w:top w:val="none" w:sz="0" w:space="0" w:color="auto"/>
            <w:left w:val="none" w:sz="0" w:space="0" w:color="auto"/>
            <w:bottom w:val="none" w:sz="0" w:space="0" w:color="auto"/>
            <w:right w:val="none" w:sz="0" w:space="0" w:color="auto"/>
          </w:divBdr>
        </w:div>
        <w:div w:id="195242425">
          <w:marLeft w:val="0"/>
          <w:marRight w:val="0"/>
          <w:marTop w:val="0"/>
          <w:marBottom w:val="0"/>
          <w:divBdr>
            <w:top w:val="none" w:sz="0" w:space="0" w:color="auto"/>
            <w:left w:val="none" w:sz="0" w:space="0" w:color="auto"/>
            <w:bottom w:val="none" w:sz="0" w:space="0" w:color="auto"/>
            <w:right w:val="none" w:sz="0" w:space="0" w:color="auto"/>
          </w:divBdr>
        </w:div>
        <w:div w:id="676469915">
          <w:marLeft w:val="0"/>
          <w:marRight w:val="0"/>
          <w:marTop w:val="0"/>
          <w:marBottom w:val="0"/>
          <w:divBdr>
            <w:top w:val="none" w:sz="0" w:space="0" w:color="auto"/>
            <w:left w:val="none" w:sz="0" w:space="0" w:color="auto"/>
            <w:bottom w:val="none" w:sz="0" w:space="0" w:color="auto"/>
            <w:right w:val="none" w:sz="0" w:space="0" w:color="auto"/>
          </w:divBdr>
        </w:div>
        <w:div w:id="1770999332">
          <w:marLeft w:val="0"/>
          <w:marRight w:val="0"/>
          <w:marTop w:val="0"/>
          <w:marBottom w:val="0"/>
          <w:divBdr>
            <w:top w:val="none" w:sz="0" w:space="0" w:color="auto"/>
            <w:left w:val="none" w:sz="0" w:space="0" w:color="auto"/>
            <w:bottom w:val="none" w:sz="0" w:space="0" w:color="auto"/>
            <w:right w:val="none" w:sz="0" w:space="0" w:color="auto"/>
          </w:divBdr>
        </w:div>
        <w:div w:id="1706438849">
          <w:marLeft w:val="0"/>
          <w:marRight w:val="0"/>
          <w:marTop w:val="0"/>
          <w:marBottom w:val="0"/>
          <w:divBdr>
            <w:top w:val="none" w:sz="0" w:space="0" w:color="auto"/>
            <w:left w:val="none" w:sz="0" w:space="0" w:color="auto"/>
            <w:bottom w:val="none" w:sz="0" w:space="0" w:color="auto"/>
            <w:right w:val="none" w:sz="0" w:space="0" w:color="auto"/>
          </w:divBdr>
        </w:div>
      </w:divsChild>
    </w:div>
    <w:div w:id="185572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1325E-5A5E-40B7-89FA-52F369E93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Khukhunaishvili</dc:creator>
  <cp:keywords/>
  <dc:description/>
  <cp:lastModifiedBy>Giorgi Papava</cp:lastModifiedBy>
  <cp:revision>2</cp:revision>
  <dcterms:created xsi:type="dcterms:W3CDTF">2026-06-23T13:49:00Z</dcterms:created>
  <dcterms:modified xsi:type="dcterms:W3CDTF">2026-06-23T13:49:00Z</dcterms:modified>
</cp:coreProperties>
</file>