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6EEE" w14:textId="3743D918" w:rsidR="00746A61" w:rsidRDefault="00746A61" w:rsidP="00746A61">
      <w:pPr>
        <w:shd w:val="clear" w:color="auto" w:fill="FFFFFF"/>
        <w:jc w:val="right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</w:t>
      </w:r>
    </w:p>
    <w:p w14:paraId="469376A4" w14:textId="77777777" w:rsidR="00746A61" w:rsidRDefault="00746A61" w:rsidP="00DA0358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CCEC568" w14:textId="7FAA628B" w:rsidR="00DA0358" w:rsidRDefault="00DA0358" w:rsidP="00DA0358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042920">
        <w:rPr>
          <w:rFonts w:ascii="Sylfaen" w:hAnsi="Sylfaen"/>
          <w:b/>
          <w:sz w:val="20"/>
          <w:szCs w:val="20"/>
          <w:lang w:val="ka-GE"/>
        </w:rPr>
        <w:t xml:space="preserve">მაუწყებლობის სფეროში </w:t>
      </w:r>
      <w:r w:rsidRPr="008C293C">
        <w:rPr>
          <w:rFonts w:ascii="Sylfaen" w:hAnsi="Sylfaen"/>
          <w:b/>
          <w:sz w:val="20"/>
          <w:szCs w:val="20"/>
          <w:lang w:val="ka-GE"/>
        </w:rPr>
        <w:t>შპს „</w:t>
      </w:r>
      <w:r>
        <w:rPr>
          <w:rFonts w:ascii="Sylfaen" w:hAnsi="Sylfaen"/>
          <w:b/>
          <w:sz w:val="20"/>
          <w:szCs w:val="20"/>
          <w:lang w:val="ka-GE"/>
        </w:rPr>
        <w:t>ჭადრაკი ტვ</w:t>
      </w:r>
      <w:r w:rsidRPr="008C293C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b/>
          <w:sz w:val="20"/>
          <w:szCs w:val="20"/>
          <w:lang w:val="ka-GE"/>
        </w:rPr>
        <w:t xml:space="preserve">-ს </w:t>
      </w:r>
      <w:r w:rsidRPr="00042920">
        <w:rPr>
          <w:rFonts w:ascii="Sylfaen" w:hAnsi="Sylfaen"/>
          <w:b/>
          <w:sz w:val="20"/>
          <w:szCs w:val="20"/>
          <w:lang w:val="ka-GE"/>
        </w:rPr>
        <w:t>ავტორიზაციის შეჩერების</w:t>
      </w:r>
      <w:r>
        <w:rPr>
          <w:rFonts w:ascii="Sylfaen" w:hAnsi="Sylfaen"/>
          <w:b/>
          <w:sz w:val="20"/>
          <w:szCs w:val="20"/>
          <w:lang w:val="ka-GE"/>
        </w:rPr>
        <w:t xml:space="preserve"> თაობაზე</w:t>
      </w:r>
    </w:p>
    <w:p w14:paraId="1377FF6D" w14:textId="77777777" w:rsidR="00DA0358" w:rsidRDefault="00DA0358" w:rsidP="00DA0358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8EA780" w14:textId="77777777" w:rsidR="00DA0358" w:rsidRDefault="00DA0358" w:rsidP="00DA035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ავტორიზებული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პირი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r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>
        <w:rPr>
          <w:rFonts w:ascii="Sylfaen" w:hAnsi="Sylfaen"/>
          <w:bCs/>
          <w:sz w:val="20"/>
          <w:szCs w:val="20"/>
          <w:lang w:val="ka-GE"/>
        </w:rPr>
        <w:t xml:space="preserve">ჭადრაკი </w:t>
      </w:r>
      <w:proofErr w:type="gramStart"/>
      <w:r>
        <w:rPr>
          <w:rFonts w:ascii="Sylfaen" w:hAnsi="Sylfaen"/>
          <w:bCs/>
          <w:sz w:val="20"/>
          <w:szCs w:val="20"/>
          <w:lang w:val="ka-GE"/>
        </w:rPr>
        <w:t>ტვ</w:t>
      </w:r>
      <w:r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Pr="00C6578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(</w:t>
      </w:r>
      <w:proofErr w:type="gramEnd"/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/</w:t>
      </w:r>
      <w:r>
        <w:rPr>
          <w:rFonts w:ascii="Sylfaen" w:hAnsi="Sylfaen"/>
          <w:color w:val="000000"/>
          <w:sz w:val="20"/>
          <w:szCs w:val="20"/>
          <w:lang w:val="ka-GE"/>
        </w:rPr>
        <w:t>ნ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026F68">
        <w:rPr>
          <w:rFonts w:ascii="Sylfaen" w:hAnsi="Sylfaen" w:cs="Sylfaen"/>
          <w:color w:val="000000"/>
          <w:sz w:val="20"/>
          <w:szCs w:val="20"/>
        </w:rPr>
        <w:t>405327463</w:t>
      </w:r>
      <w:proofErr w:type="gramStart"/>
      <w:r w:rsidRPr="00C6578C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  <w:proofErr w:type="gramEnd"/>
    </w:p>
    <w:p w14:paraId="64BCCE76" w14:textId="77777777" w:rsidR="00DA0358" w:rsidRDefault="00DA0358" w:rsidP="00DA035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3A497389" w14:textId="77777777" w:rsidR="00DA0358" w:rsidRPr="00E70128" w:rsidRDefault="00DA0358" w:rsidP="00DA0358">
      <w:pPr>
        <w:shd w:val="clear" w:color="auto" w:fill="FFFFFF"/>
        <w:rPr>
          <w:rFonts w:ascii="Sylfaen" w:hAnsi="Sylfaen"/>
          <w:bCs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წარმოების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დაწყების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საფუძველი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proofErr w:type="spellStart"/>
      <w:r w:rsidRPr="00E70128">
        <w:rPr>
          <w:rFonts w:ascii="Sylfaen" w:hAnsi="Sylfaen"/>
          <w:bCs/>
          <w:sz w:val="20"/>
          <w:szCs w:val="20"/>
        </w:rPr>
        <w:t>კომისიის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Cs/>
          <w:sz w:val="20"/>
          <w:szCs w:val="20"/>
        </w:rPr>
        <w:t>აპარატის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Cs/>
          <w:sz w:val="20"/>
          <w:szCs w:val="20"/>
        </w:rPr>
        <w:t>ადმინისტრაციის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2026 </w:t>
      </w:r>
      <w:proofErr w:type="spellStart"/>
      <w:r w:rsidRPr="00E70128">
        <w:rPr>
          <w:rFonts w:ascii="Sylfaen" w:hAnsi="Sylfaen"/>
          <w:bCs/>
          <w:sz w:val="20"/>
          <w:szCs w:val="20"/>
        </w:rPr>
        <w:t>წლის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13 </w:t>
      </w:r>
      <w:proofErr w:type="spellStart"/>
      <w:r w:rsidRPr="00E70128">
        <w:rPr>
          <w:rFonts w:ascii="Sylfaen" w:hAnsi="Sylfaen"/>
          <w:bCs/>
          <w:sz w:val="20"/>
          <w:szCs w:val="20"/>
        </w:rPr>
        <w:t>იანვრის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N26-10-42 </w:t>
      </w:r>
      <w:proofErr w:type="spellStart"/>
      <w:r w:rsidRPr="00E70128">
        <w:rPr>
          <w:rFonts w:ascii="Sylfaen" w:hAnsi="Sylfaen"/>
          <w:bCs/>
          <w:sz w:val="20"/>
          <w:szCs w:val="20"/>
        </w:rPr>
        <w:t>მოხსენებითი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proofErr w:type="spellStart"/>
      <w:proofErr w:type="gramStart"/>
      <w:r w:rsidRPr="00E70128">
        <w:rPr>
          <w:rFonts w:ascii="Sylfaen" w:hAnsi="Sylfaen"/>
          <w:bCs/>
          <w:sz w:val="20"/>
          <w:szCs w:val="20"/>
        </w:rPr>
        <w:t>ბარათი</w:t>
      </w:r>
      <w:proofErr w:type="spellEnd"/>
      <w:r w:rsidRPr="00E70128">
        <w:rPr>
          <w:rFonts w:ascii="Sylfaen" w:hAnsi="Sylfaen"/>
          <w:bCs/>
          <w:sz w:val="20"/>
          <w:szCs w:val="20"/>
        </w:rPr>
        <w:t>;</w:t>
      </w:r>
      <w:proofErr w:type="gramEnd"/>
      <w:r w:rsidRPr="00E70128">
        <w:rPr>
          <w:rFonts w:ascii="Sylfaen" w:hAnsi="Sylfaen"/>
          <w:bCs/>
          <w:sz w:val="20"/>
          <w:szCs w:val="20"/>
        </w:rPr>
        <w:t xml:space="preserve"> </w:t>
      </w:r>
    </w:p>
    <w:p w14:paraId="2EE23379" w14:textId="77777777" w:rsidR="00DA0358" w:rsidRDefault="00DA0358" w:rsidP="00DA0358">
      <w:pPr>
        <w:shd w:val="clear" w:color="auto" w:fill="FFFFFF"/>
        <w:rPr>
          <w:rFonts w:ascii="Sylfaen" w:hAnsi="Sylfaen"/>
          <w:b/>
          <w:sz w:val="20"/>
          <w:szCs w:val="20"/>
        </w:rPr>
      </w:pPr>
    </w:p>
    <w:p w14:paraId="36DD8798" w14:textId="64B17C20" w:rsidR="00DA0358" w:rsidRPr="00E70128" w:rsidRDefault="00DA0358" w:rsidP="00DA0358">
      <w:pPr>
        <w:shd w:val="clear" w:color="auto" w:fill="FFFFFF"/>
        <w:rPr>
          <w:rFonts w:ascii="Sylfaen" w:hAnsi="Sylfaen"/>
          <w:bCs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კომისიის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სხდომის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თარიღი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: </w:t>
      </w:r>
      <w:r w:rsidRPr="00E70128">
        <w:rPr>
          <w:rFonts w:ascii="Sylfaen" w:hAnsi="Sylfaen"/>
          <w:bCs/>
          <w:sz w:val="20"/>
          <w:szCs w:val="20"/>
        </w:rPr>
        <w:t xml:space="preserve">2026 </w:t>
      </w:r>
      <w:proofErr w:type="spellStart"/>
      <w:r w:rsidRPr="00E70128">
        <w:rPr>
          <w:rFonts w:ascii="Sylfaen" w:hAnsi="Sylfaen"/>
          <w:bCs/>
          <w:sz w:val="20"/>
          <w:szCs w:val="20"/>
        </w:rPr>
        <w:t>წლის</w:t>
      </w:r>
      <w:proofErr w:type="spellEnd"/>
      <w:r w:rsidRPr="00E70128">
        <w:rPr>
          <w:rFonts w:ascii="Sylfaen" w:hAnsi="Sylfaen"/>
          <w:bCs/>
          <w:sz w:val="20"/>
          <w:szCs w:val="20"/>
        </w:rPr>
        <w:t xml:space="preserve"> </w:t>
      </w:r>
      <w:r>
        <w:rPr>
          <w:rFonts w:ascii="Sylfaen" w:hAnsi="Sylfaen"/>
          <w:bCs/>
          <w:sz w:val="20"/>
          <w:szCs w:val="20"/>
        </w:rPr>
        <w:t xml:space="preserve">2 </w:t>
      </w:r>
      <w:proofErr w:type="spellStart"/>
      <w:proofErr w:type="gramStart"/>
      <w:r>
        <w:rPr>
          <w:rFonts w:ascii="Sylfaen" w:hAnsi="Sylfaen"/>
          <w:bCs/>
          <w:sz w:val="20"/>
          <w:szCs w:val="20"/>
        </w:rPr>
        <w:t>აპრილ</w:t>
      </w:r>
      <w:r w:rsidRPr="00E70128">
        <w:rPr>
          <w:rFonts w:ascii="Sylfaen" w:hAnsi="Sylfaen"/>
          <w:bCs/>
          <w:sz w:val="20"/>
          <w:szCs w:val="20"/>
        </w:rPr>
        <w:t>ი</w:t>
      </w:r>
      <w:proofErr w:type="spellEnd"/>
      <w:r w:rsidRPr="00E70128">
        <w:rPr>
          <w:rFonts w:ascii="Sylfaen" w:hAnsi="Sylfaen"/>
          <w:bCs/>
          <w:sz w:val="20"/>
          <w:szCs w:val="20"/>
        </w:rPr>
        <w:t>;</w:t>
      </w:r>
      <w:proofErr w:type="gramEnd"/>
      <w:r w:rsidRPr="00E70128">
        <w:rPr>
          <w:rFonts w:ascii="Sylfaen" w:hAnsi="Sylfaen"/>
          <w:bCs/>
          <w:sz w:val="20"/>
          <w:szCs w:val="20"/>
        </w:rPr>
        <w:t xml:space="preserve"> </w:t>
      </w:r>
    </w:p>
    <w:p w14:paraId="00EA2DD2" w14:textId="77777777" w:rsidR="00DA0358" w:rsidRDefault="00DA0358" w:rsidP="002D7B2C">
      <w:pPr>
        <w:shd w:val="clear" w:color="auto" w:fill="FFFFFF"/>
        <w:ind w:left="1080" w:hanging="720"/>
        <w:jc w:val="center"/>
      </w:pPr>
    </w:p>
    <w:p w14:paraId="62DA991A" w14:textId="7AE8F472" w:rsidR="00E70128" w:rsidRDefault="00E70128" w:rsidP="002D7B2C">
      <w:pPr>
        <w:pStyle w:val="ListParagraph"/>
        <w:numPr>
          <w:ilvl w:val="0"/>
          <w:numId w:val="34"/>
        </w:numPr>
        <w:shd w:val="clear" w:color="auto" w:fill="FFFFFF"/>
        <w:jc w:val="center"/>
        <w:rPr>
          <w:rFonts w:ascii="Sylfaen" w:hAnsi="Sylfaen"/>
          <w:b/>
          <w:sz w:val="20"/>
          <w:szCs w:val="20"/>
        </w:rPr>
      </w:pPr>
      <w:proofErr w:type="spellStart"/>
      <w:r w:rsidRPr="00E70128">
        <w:rPr>
          <w:rFonts w:ascii="Sylfaen" w:hAnsi="Sylfaen"/>
          <w:b/>
          <w:sz w:val="20"/>
          <w:szCs w:val="20"/>
        </w:rPr>
        <w:t>აღწერილობითი</w:t>
      </w:r>
      <w:proofErr w:type="spellEnd"/>
      <w:r w:rsidRPr="00E7012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E70128">
        <w:rPr>
          <w:rFonts w:ascii="Sylfaen" w:hAnsi="Sylfaen"/>
          <w:b/>
          <w:sz w:val="20"/>
          <w:szCs w:val="20"/>
        </w:rPr>
        <w:t>ნაწილი</w:t>
      </w:r>
      <w:proofErr w:type="spellEnd"/>
    </w:p>
    <w:p w14:paraId="466691BF" w14:textId="47058C8A" w:rsidR="00DA0358" w:rsidRPr="00DA0358" w:rsidRDefault="00DA0358" w:rsidP="00DA0358">
      <w:pPr>
        <w:shd w:val="clear" w:color="auto" w:fill="FFFFFF"/>
        <w:jc w:val="both"/>
        <w:rPr>
          <w:rFonts w:ascii="Sylfaen" w:hAnsi="Sylfaen"/>
          <w:bCs/>
          <w:color w:val="000000"/>
          <w:sz w:val="20"/>
          <w:szCs w:val="20"/>
        </w:rPr>
      </w:pPr>
      <w:r w:rsidRPr="00DA0358"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DA0358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DA0358">
        <w:rPr>
          <w:rFonts w:ascii="Sylfaen" w:hAnsi="Sylfaen" w:cs="Sylfaen"/>
          <w:sz w:val="20"/>
          <w:szCs w:val="20"/>
          <w:lang w:val="ka-GE"/>
        </w:rPr>
        <w:t xml:space="preserve">აღნიშნავს, რომ კომისიის ადმინისტრაციის </w:t>
      </w:r>
      <w:r w:rsidRPr="00DA0358">
        <w:rPr>
          <w:rFonts w:ascii="Sylfaen" w:hAnsi="Sylfaen"/>
          <w:bCs/>
          <w:sz w:val="20"/>
          <w:szCs w:val="20"/>
        </w:rPr>
        <w:t xml:space="preserve">2026 </w:t>
      </w:r>
      <w:proofErr w:type="spellStart"/>
      <w:r w:rsidRPr="00DA0358">
        <w:rPr>
          <w:rFonts w:ascii="Sylfaen" w:hAnsi="Sylfaen"/>
          <w:bCs/>
          <w:sz w:val="20"/>
          <w:szCs w:val="20"/>
        </w:rPr>
        <w:t>წლის</w:t>
      </w:r>
      <w:proofErr w:type="spellEnd"/>
      <w:r w:rsidRPr="00DA0358">
        <w:rPr>
          <w:rFonts w:ascii="Sylfaen" w:hAnsi="Sylfaen"/>
          <w:bCs/>
          <w:sz w:val="20"/>
          <w:szCs w:val="20"/>
        </w:rPr>
        <w:t xml:space="preserve"> 13 </w:t>
      </w:r>
      <w:proofErr w:type="spellStart"/>
      <w:r w:rsidRPr="00DA0358">
        <w:rPr>
          <w:rFonts w:ascii="Sylfaen" w:hAnsi="Sylfaen"/>
          <w:bCs/>
          <w:sz w:val="20"/>
          <w:szCs w:val="20"/>
        </w:rPr>
        <w:t>იანვრის</w:t>
      </w:r>
      <w:proofErr w:type="spellEnd"/>
      <w:r w:rsidRPr="00DA0358">
        <w:rPr>
          <w:rFonts w:ascii="Sylfaen" w:hAnsi="Sylfaen"/>
          <w:bCs/>
          <w:sz w:val="20"/>
          <w:szCs w:val="20"/>
        </w:rPr>
        <w:t xml:space="preserve"> N26-10-42 </w:t>
      </w:r>
      <w:proofErr w:type="spellStart"/>
      <w:r w:rsidRPr="00DA0358">
        <w:rPr>
          <w:rFonts w:ascii="Sylfaen" w:hAnsi="Sylfaen"/>
          <w:bCs/>
          <w:sz w:val="20"/>
          <w:szCs w:val="20"/>
        </w:rPr>
        <w:t>და</w:t>
      </w:r>
      <w:proofErr w:type="spellEnd"/>
      <w:r w:rsidRPr="00DA0358">
        <w:rPr>
          <w:rFonts w:ascii="Sylfaen" w:hAnsi="Sylfaen"/>
          <w:bCs/>
          <w:sz w:val="20"/>
          <w:szCs w:val="20"/>
        </w:rPr>
        <w:t xml:space="preserve"> </w:t>
      </w:r>
      <w:r w:rsidRPr="00DA0358">
        <w:rPr>
          <w:rFonts w:ascii="Sylfaen" w:hAnsi="Sylfaen" w:cs="Sylfaen"/>
          <w:sz w:val="20"/>
          <w:szCs w:val="20"/>
          <w:lang w:val="ka-GE"/>
        </w:rPr>
        <w:t>28 იანვრის (N</w:t>
      </w:r>
      <w:r w:rsidRPr="00DA0358">
        <w:rPr>
          <w:rFonts w:ascii="Sylfaen" w:hAnsi="Sylfaen" w:cs="Sylfaen"/>
          <w:sz w:val="20"/>
          <w:szCs w:val="20"/>
        </w:rPr>
        <w:t>26-10-200</w:t>
      </w:r>
      <w:r w:rsidRPr="00DA0358">
        <w:rPr>
          <w:rFonts w:ascii="Sylfaen" w:hAnsi="Sylfaen" w:cs="Sylfaen"/>
          <w:sz w:val="20"/>
          <w:szCs w:val="20"/>
          <w:lang w:val="ka-GE"/>
        </w:rPr>
        <w:t>) სამსახურებრივი</w:t>
      </w:r>
      <w:r w:rsidRPr="00DA0358">
        <w:rPr>
          <w:rFonts w:ascii="Sylfaen" w:hAnsi="Sylfaen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sz w:val="20"/>
          <w:szCs w:val="20"/>
          <w:lang w:val="ka-GE"/>
        </w:rPr>
        <w:t>ბარათებიდან</w:t>
      </w:r>
      <w:r w:rsidRPr="00DA0358">
        <w:rPr>
          <w:rFonts w:ascii="Sylfaen" w:hAnsi="Sylfaen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DA0358">
        <w:rPr>
          <w:rFonts w:ascii="Sylfaen" w:hAnsi="Sylfaen"/>
          <w:sz w:val="20"/>
          <w:szCs w:val="20"/>
          <w:lang w:val="ka-GE"/>
        </w:rPr>
        <w:t xml:space="preserve"> რომ </w:t>
      </w:r>
      <w:r w:rsidRPr="00DA0358">
        <w:rPr>
          <w:rFonts w:ascii="Sylfaen" w:hAnsi="Sylfaen"/>
          <w:bCs/>
          <w:sz w:val="20"/>
          <w:szCs w:val="20"/>
          <w:lang w:val="ka-GE"/>
        </w:rPr>
        <w:t>შპს „ჭადრაკი ტვ“ 2</w:t>
      </w:r>
      <w:r w:rsidRPr="00DA0358">
        <w:rPr>
          <w:rFonts w:ascii="Sylfaen" w:hAnsi="Sylfaen"/>
          <w:sz w:val="20"/>
          <w:szCs w:val="20"/>
          <w:lang w:val="ka-GE"/>
        </w:rPr>
        <w:t xml:space="preserve">024 წლის იანვრიდან 2025 წლის დეკემბრის თვის ჩათვლით </w:t>
      </w:r>
      <w:r w:rsidRPr="00DA0358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DA0358">
        <w:rPr>
          <w:rFonts w:ascii="Sylfaen" w:hAnsi="Sylfaen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sz w:val="20"/>
          <w:szCs w:val="20"/>
          <w:lang w:val="ka-GE"/>
        </w:rPr>
        <w:t xml:space="preserve">წარმოადგენს რეგულირების ყოველწლიური საფასურის გაანგარიშების ნულოვან ფორმებს.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ასევე მედიამომსახურებების რეგულირების დეპარტამენტის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2026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29 იანვრის (</w:t>
      </w:r>
      <w:r w:rsidRPr="00DA0358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Pr="00DA0358">
        <w:rPr>
          <w:rFonts w:ascii="Sylfaen" w:hAnsi="Sylfaen"/>
          <w:bCs/>
          <w:color w:val="000000"/>
          <w:sz w:val="20"/>
          <w:szCs w:val="20"/>
          <w:lang w:val="ka-GE"/>
        </w:rPr>
        <w:t>23-10-216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სამსახურებრივი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ირკვევა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DA0358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DA035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შპს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“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ჭადრაკი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ტვ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”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ბოლო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ერთი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წლის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განმავლობაში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კომისიის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სტატისტიკური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ანგარიშგების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ფორმებში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წარმოადგენს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ნულოვან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ფორმებს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,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შესაბამისად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არ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უფიქსირდება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საქმიანობიდან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მიღებული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შემოსავალი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.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აგრეთვე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,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დეპარტამენტის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მიერ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განხორციელებული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პერიოდული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მონიტორინგის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შედეგად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გამოვლინდა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,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რომ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2024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წლის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დეკემბრიდან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ავტორიზებული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პირი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არ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 xml:space="preserve"> </w:t>
      </w:r>
      <w:proofErr w:type="spellStart"/>
      <w:r w:rsidRPr="00DA0358">
        <w:rPr>
          <w:rFonts w:ascii="Sylfaen" w:hAnsi="Sylfaen"/>
          <w:bCs/>
          <w:color w:val="000000"/>
          <w:sz w:val="20"/>
          <w:szCs w:val="20"/>
        </w:rPr>
        <w:t>მაუწყებლობს</w:t>
      </w:r>
      <w:proofErr w:type="spellEnd"/>
      <w:r w:rsidRPr="00DA0358">
        <w:rPr>
          <w:rFonts w:ascii="Sylfaen" w:hAnsi="Sylfaen"/>
          <w:bCs/>
          <w:color w:val="000000"/>
          <w:sz w:val="20"/>
          <w:szCs w:val="20"/>
        </w:rPr>
        <w:t>.</w:t>
      </w:r>
    </w:p>
    <w:p w14:paraId="5CFCA010" w14:textId="77777777" w:rsidR="00DA0358" w:rsidRPr="00DA0358" w:rsidRDefault="00DA0358" w:rsidP="00DA0358">
      <w:pPr>
        <w:shd w:val="clear" w:color="auto" w:fill="FFFFFF"/>
        <w:jc w:val="center"/>
        <w:rPr>
          <w:rFonts w:ascii="Sylfaen" w:hAnsi="Sylfaen"/>
          <w:b/>
          <w:sz w:val="20"/>
          <w:szCs w:val="20"/>
        </w:rPr>
      </w:pPr>
    </w:p>
    <w:p w14:paraId="41B5C177" w14:textId="1D2BD326" w:rsidR="00483151" w:rsidRDefault="002D7B2C" w:rsidP="0048315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Cs/>
          <w:sz w:val="20"/>
          <w:szCs w:val="20"/>
          <w:lang w:val="ka-GE"/>
        </w:rPr>
        <w:t>2.</w:t>
      </w:r>
      <w:r w:rsidR="00E20A1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32891">
        <w:rPr>
          <w:rFonts w:ascii="Sylfaen" w:hAnsi="Sylfaen"/>
          <w:bCs/>
          <w:sz w:val="20"/>
          <w:szCs w:val="20"/>
          <w:lang w:val="ka-GE"/>
        </w:rPr>
        <w:t xml:space="preserve">კომისიის 2026 წლის </w:t>
      </w:r>
      <w:r w:rsidR="00DA0358">
        <w:rPr>
          <w:rFonts w:ascii="Sylfaen" w:hAnsi="Sylfaen"/>
          <w:bCs/>
          <w:sz w:val="20"/>
          <w:szCs w:val="20"/>
          <w:lang w:val="ka-GE"/>
        </w:rPr>
        <w:t xml:space="preserve">26 </w:t>
      </w:r>
      <w:r w:rsidR="00C32891">
        <w:rPr>
          <w:rFonts w:ascii="Sylfaen" w:hAnsi="Sylfaen"/>
          <w:bCs/>
          <w:sz w:val="20"/>
          <w:szCs w:val="20"/>
          <w:lang w:val="ka-GE"/>
        </w:rPr>
        <w:t xml:space="preserve">თებერვლის </w:t>
      </w:r>
      <w:r w:rsidR="00CF6987" w:rsidRPr="00C6578C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C32891" w:rsidRPr="00C32891">
        <w:rPr>
          <w:rFonts w:ascii="Sylfaen" w:hAnsi="Sylfaen"/>
          <w:bCs/>
          <w:sz w:val="20"/>
          <w:szCs w:val="20"/>
        </w:rPr>
        <w:t>გ-26-23/</w:t>
      </w:r>
      <w:r w:rsidR="00A001C1">
        <w:rPr>
          <w:rFonts w:ascii="Sylfaen" w:hAnsi="Sylfaen"/>
          <w:bCs/>
          <w:sz w:val="20"/>
          <w:szCs w:val="20"/>
        </w:rPr>
        <w:t xml:space="preserve">86 </w:t>
      </w:r>
      <w:proofErr w:type="spellStart"/>
      <w:r w:rsidR="00C32891">
        <w:rPr>
          <w:rFonts w:ascii="Sylfaen" w:hAnsi="Sylfaen"/>
          <w:bCs/>
          <w:sz w:val="20"/>
          <w:szCs w:val="20"/>
        </w:rPr>
        <w:t>გადაწყვეტილებით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დაიწყო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საჯარო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ადმინისტრაციული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C32891">
        <w:rPr>
          <w:rFonts w:ascii="Sylfaen" w:hAnsi="Sylfaen"/>
          <w:bCs/>
          <w:sz w:val="20"/>
          <w:szCs w:val="20"/>
        </w:rPr>
        <w:t>წარმოება</w:t>
      </w:r>
      <w:proofErr w:type="spellEnd"/>
      <w:r w:rsidR="00C32891">
        <w:rPr>
          <w:rFonts w:ascii="Sylfaen" w:hAnsi="Sylfaen"/>
          <w:bCs/>
          <w:sz w:val="20"/>
          <w:szCs w:val="20"/>
        </w:rPr>
        <w:t xml:space="preserve"> </w:t>
      </w:r>
      <w:r w:rsidRPr="00C6578C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</w:t>
      </w:r>
      <w:r w:rsidR="00C32891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 w:rsidR="00DA0358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C32891"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="00DA0358">
        <w:rPr>
          <w:rFonts w:ascii="Sylfaen" w:hAnsi="Sylfaen"/>
          <w:bCs/>
          <w:sz w:val="20"/>
          <w:szCs w:val="20"/>
          <w:lang w:val="ka-GE"/>
        </w:rPr>
        <w:t>-ის</w:t>
      </w:r>
      <w:r w:rsidR="00C32891" w:rsidRPr="00C6578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6578C">
        <w:rPr>
          <w:rFonts w:ascii="Sylfaen" w:hAnsi="Sylfaen"/>
          <w:sz w:val="20"/>
          <w:szCs w:val="20"/>
          <w:lang w:val="ka-GE"/>
        </w:rPr>
        <w:t>ავტორიზაციის შეჩერების თაობაზე</w:t>
      </w:r>
      <w:r w:rsidR="00C32891">
        <w:rPr>
          <w:rFonts w:ascii="Sylfaen" w:hAnsi="Sylfaen"/>
          <w:sz w:val="20"/>
          <w:szCs w:val="20"/>
          <w:lang w:val="ka-GE"/>
        </w:rPr>
        <w:t>.</w:t>
      </w:r>
      <w:r w:rsidRPr="00C6578C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ზეპირი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მოსმენის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თარიღად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განისაზღვრა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202</w:t>
      </w:r>
      <w:r w:rsidR="00CF6987">
        <w:rPr>
          <w:rFonts w:ascii="Sylfaen" w:hAnsi="Sylfaen"/>
          <w:sz w:val="20"/>
          <w:szCs w:val="20"/>
        </w:rPr>
        <w:t>6</w:t>
      </w:r>
      <w:r w:rsidR="00CF6987" w:rsidRPr="00C32891">
        <w:rPr>
          <w:rFonts w:ascii="Sylfaen" w:hAnsi="Sylfaen"/>
          <w:sz w:val="20"/>
          <w:szCs w:val="20"/>
        </w:rPr>
        <w:t xml:space="preserve"> </w:t>
      </w:r>
      <w:proofErr w:type="spellStart"/>
      <w:r w:rsidR="00CF6987" w:rsidRPr="00C32891">
        <w:rPr>
          <w:rFonts w:ascii="Sylfaen" w:hAnsi="Sylfaen"/>
          <w:sz w:val="20"/>
          <w:szCs w:val="20"/>
        </w:rPr>
        <w:t>წლის</w:t>
      </w:r>
      <w:proofErr w:type="spellEnd"/>
      <w:r w:rsidR="00CF6987" w:rsidRPr="00C32891">
        <w:rPr>
          <w:rFonts w:ascii="Sylfaen" w:hAnsi="Sylfaen"/>
          <w:sz w:val="20"/>
          <w:szCs w:val="20"/>
        </w:rPr>
        <w:t xml:space="preserve"> </w:t>
      </w:r>
      <w:r w:rsidR="00CF6987">
        <w:rPr>
          <w:rFonts w:ascii="Sylfaen" w:hAnsi="Sylfaen"/>
          <w:sz w:val="20"/>
          <w:szCs w:val="20"/>
        </w:rPr>
        <w:t xml:space="preserve">2 </w:t>
      </w:r>
      <w:proofErr w:type="spellStart"/>
      <w:r w:rsidR="00DA0358">
        <w:rPr>
          <w:rFonts w:ascii="Sylfaen" w:hAnsi="Sylfaen"/>
          <w:sz w:val="20"/>
          <w:szCs w:val="20"/>
        </w:rPr>
        <w:t>აპრილ</w:t>
      </w:r>
      <w:r w:rsidR="002012DB">
        <w:rPr>
          <w:rFonts w:ascii="Sylfaen" w:hAnsi="Sylfaen"/>
          <w:sz w:val="20"/>
          <w:szCs w:val="20"/>
        </w:rPr>
        <w:t>ი</w:t>
      </w:r>
      <w:r w:rsidR="00DA0358">
        <w:rPr>
          <w:rFonts w:ascii="Sylfaen" w:hAnsi="Sylfaen"/>
          <w:sz w:val="20"/>
          <w:szCs w:val="20"/>
        </w:rPr>
        <w:t>ს</w:t>
      </w:r>
      <w:proofErr w:type="spellEnd"/>
      <w:r w:rsidR="00CF6987">
        <w:rPr>
          <w:rFonts w:ascii="Sylfaen" w:hAnsi="Sylfaen"/>
          <w:sz w:val="20"/>
          <w:szCs w:val="20"/>
        </w:rPr>
        <w:t xml:space="preserve"> 15:00 </w:t>
      </w:r>
      <w:proofErr w:type="spellStart"/>
      <w:r w:rsidR="00CF6987">
        <w:rPr>
          <w:rFonts w:ascii="Sylfaen" w:hAnsi="Sylfaen"/>
          <w:sz w:val="20"/>
          <w:szCs w:val="20"/>
        </w:rPr>
        <w:t>საათი</w:t>
      </w:r>
      <w:proofErr w:type="spellEnd"/>
      <w:r w:rsidR="00CF6987">
        <w:rPr>
          <w:rFonts w:ascii="Sylfaen" w:hAnsi="Sylfaen"/>
          <w:sz w:val="20"/>
          <w:szCs w:val="20"/>
        </w:rPr>
        <w:t xml:space="preserve">,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ხოლო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მიღებ</w:t>
      </w:r>
      <w:r w:rsidR="00CF6987">
        <w:rPr>
          <w:rFonts w:ascii="Sylfaen" w:hAnsi="Sylfaen" w:cs="Sylfaen"/>
          <w:color w:val="000000"/>
          <w:sz w:val="20"/>
          <w:szCs w:val="20"/>
          <w:lang w:val="ka-GE"/>
        </w:rPr>
        <w:t>ის ვადად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ზეპირი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მოსმენის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გამართვიდან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10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სამუშაო</w:t>
      </w:r>
      <w:r w:rsidR="00CF6987"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6A4040">
        <w:rPr>
          <w:rFonts w:ascii="Sylfaen" w:hAnsi="Sylfaen" w:cs="Sylfaen"/>
          <w:color w:val="000000"/>
          <w:sz w:val="20"/>
          <w:szCs w:val="20"/>
          <w:lang w:val="ka-GE"/>
        </w:rPr>
        <w:t>დღ</w:t>
      </w:r>
      <w:r w:rsidR="00CF6987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CF6987">
        <w:rPr>
          <w:rFonts w:ascii="Sylfaen" w:hAnsi="Sylfaen"/>
          <w:color w:val="000000"/>
          <w:sz w:val="20"/>
          <w:szCs w:val="20"/>
          <w:lang w:val="ka-GE"/>
        </w:rPr>
        <w:t>.</w:t>
      </w:r>
      <w:r w:rsidR="0048315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F6987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 w:rsidR="00DA0358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CF6987"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="00DA0358">
        <w:rPr>
          <w:rFonts w:ascii="Sylfaen" w:hAnsi="Sylfaen"/>
          <w:bCs/>
          <w:sz w:val="20"/>
          <w:szCs w:val="20"/>
          <w:lang w:val="ka-GE"/>
        </w:rPr>
        <w:t>-ს</w:t>
      </w:r>
      <w:r w:rsidR="00CF6987">
        <w:rPr>
          <w:rFonts w:ascii="Sylfaen" w:hAnsi="Sylfaen"/>
          <w:bCs/>
          <w:sz w:val="20"/>
          <w:szCs w:val="20"/>
          <w:lang w:val="ka-GE"/>
        </w:rPr>
        <w:t xml:space="preserve"> კომისიის 2026 წლის </w:t>
      </w:r>
      <w:r w:rsidR="00DA0358">
        <w:rPr>
          <w:rFonts w:ascii="Sylfaen" w:hAnsi="Sylfaen"/>
          <w:bCs/>
          <w:sz w:val="20"/>
          <w:szCs w:val="20"/>
          <w:lang w:val="ka-GE"/>
        </w:rPr>
        <w:t>26</w:t>
      </w:r>
      <w:r w:rsidR="00CF6987">
        <w:rPr>
          <w:rFonts w:ascii="Sylfaen" w:hAnsi="Sylfaen"/>
          <w:bCs/>
          <w:sz w:val="20"/>
          <w:szCs w:val="20"/>
        </w:rPr>
        <w:t xml:space="preserve"> </w:t>
      </w:r>
      <w:r w:rsidR="00CF6987">
        <w:rPr>
          <w:rFonts w:ascii="Sylfaen" w:hAnsi="Sylfaen"/>
          <w:bCs/>
          <w:sz w:val="20"/>
          <w:szCs w:val="20"/>
          <w:lang w:val="ka-GE"/>
        </w:rPr>
        <w:t xml:space="preserve">თებერვლის </w:t>
      </w:r>
      <w:r w:rsidR="00CF6987" w:rsidRPr="00C6578C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CF6987" w:rsidRPr="00C32891">
        <w:rPr>
          <w:rFonts w:ascii="Sylfaen" w:hAnsi="Sylfaen"/>
          <w:bCs/>
          <w:sz w:val="20"/>
          <w:szCs w:val="20"/>
        </w:rPr>
        <w:t>გ-26-23/</w:t>
      </w:r>
      <w:r w:rsidR="00A001C1">
        <w:rPr>
          <w:rFonts w:ascii="Sylfaen" w:hAnsi="Sylfaen"/>
          <w:bCs/>
          <w:sz w:val="20"/>
          <w:szCs w:val="20"/>
        </w:rPr>
        <w:t xml:space="preserve">86 </w:t>
      </w:r>
      <w:proofErr w:type="spellStart"/>
      <w:r w:rsidR="00CF6987">
        <w:rPr>
          <w:rFonts w:ascii="Sylfaen" w:hAnsi="Sylfaen"/>
          <w:bCs/>
          <w:sz w:val="20"/>
          <w:szCs w:val="20"/>
        </w:rPr>
        <w:t>გადაწყვეტილება</w:t>
      </w:r>
      <w:proofErr w:type="spellEnd"/>
      <w:r w:rsidR="00CF6987">
        <w:rPr>
          <w:rFonts w:ascii="Sylfaen" w:hAnsi="Sylfaen"/>
          <w:bCs/>
          <w:sz w:val="20"/>
          <w:szCs w:val="20"/>
        </w:rPr>
        <w:t xml:space="preserve"> 2026 </w:t>
      </w:r>
      <w:proofErr w:type="spellStart"/>
      <w:r w:rsidR="00CF6987">
        <w:rPr>
          <w:rFonts w:ascii="Sylfaen" w:hAnsi="Sylfaen"/>
          <w:bCs/>
          <w:sz w:val="20"/>
          <w:szCs w:val="20"/>
        </w:rPr>
        <w:t>წლის</w:t>
      </w:r>
      <w:proofErr w:type="spellEnd"/>
      <w:r w:rsidR="00CF6987">
        <w:rPr>
          <w:rFonts w:ascii="Sylfaen" w:hAnsi="Sylfaen"/>
          <w:bCs/>
          <w:sz w:val="20"/>
          <w:szCs w:val="20"/>
        </w:rPr>
        <w:t xml:space="preserve"> </w:t>
      </w:r>
      <w:r w:rsidR="00A001C1">
        <w:rPr>
          <w:rFonts w:ascii="Sylfaen" w:hAnsi="Sylfaen"/>
          <w:bCs/>
          <w:sz w:val="20"/>
          <w:szCs w:val="20"/>
        </w:rPr>
        <w:t xml:space="preserve">2 </w:t>
      </w:r>
      <w:proofErr w:type="spellStart"/>
      <w:r w:rsidR="00A001C1">
        <w:rPr>
          <w:rFonts w:ascii="Sylfaen" w:hAnsi="Sylfaen"/>
          <w:bCs/>
          <w:sz w:val="20"/>
          <w:szCs w:val="20"/>
        </w:rPr>
        <w:t>მარტს</w:t>
      </w:r>
      <w:proofErr w:type="spellEnd"/>
      <w:r w:rsidR="00A001C1">
        <w:rPr>
          <w:rFonts w:ascii="Sylfaen" w:hAnsi="Sylfaen"/>
          <w:bCs/>
          <w:sz w:val="20"/>
          <w:szCs w:val="20"/>
        </w:rPr>
        <w:t xml:space="preserve"> </w:t>
      </w:r>
      <w:r w:rsidR="00483151" w:rsidRPr="00DA77B3">
        <w:rPr>
          <w:rFonts w:ascii="Sylfaen" w:hAnsi="Sylfaen"/>
          <w:sz w:val="20"/>
          <w:szCs w:val="20"/>
          <w:lang w:val="ka-GE"/>
        </w:rPr>
        <w:t xml:space="preserve">გაეგზავნა </w:t>
      </w:r>
      <w:r w:rsidR="00483151" w:rsidRPr="008177B0">
        <w:rPr>
          <w:rFonts w:ascii="Sylfaen" w:hAnsi="Sylfaen"/>
          <w:sz w:val="20"/>
          <w:szCs w:val="20"/>
          <w:lang w:val="ka-GE"/>
        </w:rPr>
        <w:t>ელექტრონულ მისამართზე</w:t>
      </w:r>
      <w:r w:rsidR="00483151">
        <w:rPr>
          <w:rFonts w:ascii="Sylfaen" w:hAnsi="Sylfaen"/>
          <w:sz w:val="20"/>
          <w:szCs w:val="20"/>
          <w:lang w:val="ka-GE"/>
        </w:rPr>
        <w:t>.</w:t>
      </w:r>
      <w:r w:rsidR="00483151" w:rsidRPr="008177B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ასევე</w:t>
      </w:r>
      <w:proofErr w:type="spellEnd"/>
      <w:r w:rsidR="00483151" w:rsidRPr="006D5663">
        <w:rPr>
          <w:rFonts w:ascii="Sylfaen" w:hAnsi="Sylfaen"/>
          <w:sz w:val="20"/>
          <w:szCs w:val="20"/>
        </w:rPr>
        <w:t>, 202</w:t>
      </w:r>
      <w:r w:rsidR="006D5663" w:rsidRPr="006D5663">
        <w:rPr>
          <w:rFonts w:ascii="Sylfaen" w:hAnsi="Sylfaen"/>
          <w:sz w:val="20"/>
          <w:szCs w:val="20"/>
        </w:rPr>
        <w:t>6</w:t>
      </w:r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წლის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r w:rsidR="00A001C1">
        <w:rPr>
          <w:rFonts w:ascii="Sylfaen" w:hAnsi="Sylfaen"/>
          <w:sz w:val="20"/>
          <w:szCs w:val="20"/>
        </w:rPr>
        <w:t xml:space="preserve">4 </w:t>
      </w:r>
      <w:proofErr w:type="spellStart"/>
      <w:r w:rsidR="00A001C1">
        <w:rPr>
          <w:rFonts w:ascii="Sylfaen" w:hAnsi="Sylfaen"/>
          <w:sz w:val="20"/>
          <w:szCs w:val="20"/>
        </w:rPr>
        <w:t>მარტს</w:t>
      </w:r>
      <w:proofErr w:type="spellEnd"/>
      <w:r w:rsidR="00A001C1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ინტერნეტში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, </w:t>
      </w:r>
      <w:proofErr w:type="spellStart"/>
      <w:r w:rsidR="00483151" w:rsidRPr="006D5663">
        <w:rPr>
          <w:rFonts w:ascii="Sylfaen" w:hAnsi="Sylfaen"/>
          <w:sz w:val="20"/>
          <w:szCs w:val="20"/>
        </w:rPr>
        <w:t>კომისიის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ოფიციალურ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ვებ-გვერდზე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საჯარო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გაცნობისათვის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გამოქვეყნ</w:t>
      </w:r>
      <w:r w:rsidR="00090AF0">
        <w:rPr>
          <w:rFonts w:ascii="Sylfaen" w:hAnsi="Sylfaen"/>
          <w:sz w:val="20"/>
          <w:szCs w:val="20"/>
        </w:rPr>
        <w:t>და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E61FB5">
        <w:rPr>
          <w:rFonts w:ascii="Sylfaen" w:hAnsi="Sylfaen"/>
          <w:sz w:val="20"/>
          <w:szCs w:val="20"/>
        </w:rPr>
        <w:t>ცნობა</w:t>
      </w:r>
      <w:proofErr w:type="spellEnd"/>
      <w:r w:rsidR="00483151" w:rsidRPr="00E61FB5">
        <w:rPr>
          <w:rFonts w:ascii="Sylfaen" w:hAnsi="Sylfaen"/>
          <w:sz w:val="20"/>
          <w:szCs w:val="20"/>
        </w:rPr>
        <w:t xml:space="preserve"> N2</w:t>
      </w:r>
      <w:r w:rsidR="006D5663" w:rsidRPr="00E61FB5">
        <w:rPr>
          <w:rFonts w:ascii="Sylfaen" w:hAnsi="Sylfaen"/>
          <w:sz w:val="20"/>
          <w:szCs w:val="20"/>
        </w:rPr>
        <w:t>6-</w:t>
      </w:r>
      <w:r w:rsidR="00A001C1">
        <w:rPr>
          <w:rFonts w:ascii="Sylfaen" w:hAnsi="Sylfaen"/>
          <w:sz w:val="20"/>
          <w:szCs w:val="20"/>
        </w:rPr>
        <w:t xml:space="preserve">09 </w:t>
      </w:r>
      <w:proofErr w:type="spellStart"/>
      <w:r w:rsidR="00483151" w:rsidRPr="006D5663">
        <w:rPr>
          <w:rFonts w:ascii="Sylfaen" w:hAnsi="Sylfaen"/>
          <w:sz w:val="20"/>
          <w:szCs w:val="20"/>
        </w:rPr>
        <w:t>საჯარო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წარმოების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დაწყების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თაობაზე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ზეპირი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მოსმენის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ჩატარების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თარიღის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მითითებით</w:t>
      </w:r>
      <w:proofErr w:type="spellEnd"/>
      <w:r w:rsidR="00483151" w:rsidRPr="006D5663">
        <w:rPr>
          <w:rFonts w:ascii="Sylfaen" w:hAnsi="Sylfaen"/>
          <w:sz w:val="20"/>
          <w:szCs w:val="20"/>
        </w:rPr>
        <w:t> </w:t>
      </w:r>
      <w:proofErr w:type="spellStart"/>
      <w:r w:rsidR="00483151" w:rsidRPr="006D5663">
        <w:rPr>
          <w:rFonts w:ascii="Sylfaen" w:hAnsi="Sylfaen"/>
          <w:sz w:val="20"/>
          <w:szCs w:val="20"/>
        </w:rPr>
        <w:t>და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r w:rsidR="006D5663" w:rsidRPr="006D5663">
        <w:rPr>
          <w:rFonts w:ascii="Sylfaen" w:hAnsi="Sylfaen"/>
          <w:bCs/>
          <w:sz w:val="20"/>
          <w:szCs w:val="20"/>
          <w:lang w:val="ka-GE"/>
        </w:rPr>
        <w:t>შპს „</w:t>
      </w:r>
      <w:r w:rsidR="00DA0358">
        <w:rPr>
          <w:rFonts w:ascii="Sylfaen" w:hAnsi="Sylfaen"/>
          <w:bCs/>
          <w:sz w:val="20"/>
          <w:szCs w:val="20"/>
          <w:lang w:val="ka-GE"/>
        </w:rPr>
        <w:t xml:space="preserve">ჭადრაკი </w:t>
      </w:r>
      <w:proofErr w:type="gramStart"/>
      <w:r w:rsidR="00DA0358">
        <w:rPr>
          <w:rFonts w:ascii="Sylfaen" w:hAnsi="Sylfaen"/>
          <w:bCs/>
          <w:sz w:val="20"/>
          <w:szCs w:val="20"/>
          <w:lang w:val="ka-GE"/>
        </w:rPr>
        <w:t>ტვ</w:t>
      </w:r>
      <w:r w:rsidR="006D5663" w:rsidRPr="006D5663">
        <w:rPr>
          <w:rFonts w:ascii="Sylfaen" w:hAnsi="Sylfaen"/>
          <w:bCs/>
          <w:sz w:val="20"/>
          <w:szCs w:val="20"/>
          <w:lang w:val="ka-GE"/>
        </w:rPr>
        <w:t>“</w:t>
      </w:r>
      <w:proofErr w:type="gramEnd"/>
      <w:r w:rsidR="00DA0358">
        <w:rPr>
          <w:rFonts w:ascii="Sylfaen" w:hAnsi="Sylfaen"/>
          <w:bCs/>
          <w:sz w:val="20"/>
          <w:szCs w:val="20"/>
          <w:lang w:val="ka-GE"/>
        </w:rPr>
        <w:t>-სთვის</w:t>
      </w:r>
      <w:r w:rsidR="006D5663" w:rsidRPr="006D5663">
        <w:rPr>
          <w:rFonts w:ascii="Sylfaen" w:hAnsi="Sylfaen"/>
          <w:bCs/>
          <w:sz w:val="20"/>
          <w:szCs w:val="20"/>
          <w:lang w:val="ka-GE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ავტორიზაციის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შეჩერების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თაობაზე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კომისიის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გადაწყვეტილების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 </w:t>
      </w:r>
      <w:proofErr w:type="spellStart"/>
      <w:r w:rsidR="00483151" w:rsidRPr="006D5663">
        <w:rPr>
          <w:rFonts w:ascii="Sylfaen" w:hAnsi="Sylfaen"/>
          <w:sz w:val="20"/>
          <w:szCs w:val="20"/>
        </w:rPr>
        <w:t>პროექტი</w:t>
      </w:r>
      <w:proofErr w:type="spellEnd"/>
      <w:r w:rsidR="00483151" w:rsidRPr="006D5663">
        <w:rPr>
          <w:rFonts w:ascii="Sylfaen" w:hAnsi="Sylfaen"/>
          <w:sz w:val="20"/>
          <w:szCs w:val="20"/>
        </w:rPr>
        <w:t xml:space="preserve">.  </w:t>
      </w:r>
    </w:p>
    <w:p w14:paraId="01345CFE" w14:textId="5DA3414D" w:rsidR="00CF6987" w:rsidRDefault="00CF6987" w:rsidP="00CF6987">
      <w:pPr>
        <w:shd w:val="clear" w:color="auto" w:fill="FFFFFF"/>
        <w:jc w:val="both"/>
        <w:rPr>
          <w:rFonts w:ascii="Sylfaen" w:hAnsi="Sylfaen"/>
          <w:bCs/>
          <w:sz w:val="20"/>
          <w:szCs w:val="20"/>
          <w:lang w:val="ka-GE"/>
        </w:rPr>
      </w:pPr>
    </w:p>
    <w:p w14:paraId="091743AA" w14:textId="28FE0E5D" w:rsidR="00E20A10" w:rsidRPr="00C6578C" w:rsidRDefault="00E20A10" w:rsidP="006D5663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80D51">
        <w:rPr>
          <w:rFonts w:ascii="Sylfaen" w:hAnsi="Sylfaen" w:cs="Sylfaen"/>
          <w:color w:val="000000"/>
          <w:sz w:val="20"/>
          <w:szCs w:val="20"/>
          <w:lang w:val="ka-GE"/>
        </w:rPr>
        <w:t>3. კომისიის</w:t>
      </w:r>
      <w:r w:rsidRPr="00080D51">
        <w:rPr>
          <w:rFonts w:ascii="Sylfaen" w:hAnsi="Sylfaen"/>
          <w:color w:val="000000"/>
          <w:sz w:val="20"/>
          <w:szCs w:val="20"/>
          <w:lang w:val="ka-GE"/>
        </w:rPr>
        <w:t xml:space="preserve"> 2026 </w:t>
      </w:r>
      <w:r w:rsidRPr="00080D51">
        <w:rPr>
          <w:rFonts w:ascii="Sylfaen" w:hAnsi="Sylfaen" w:cs="Sylfaen"/>
          <w:color w:val="000000"/>
          <w:sz w:val="20"/>
          <w:szCs w:val="20"/>
          <w:lang w:val="ka-GE"/>
        </w:rPr>
        <w:t xml:space="preserve">წლის </w:t>
      </w:r>
      <w:r w:rsidR="00483151" w:rsidRPr="00080D51">
        <w:rPr>
          <w:rFonts w:ascii="Sylfaen" w:hAnsi="Sylfaen" w:cs="Sylfaen"/>
          <w:color w:val="000000"/>
          <w:sz w:val="20"/>
          <w:szCs w:val="20"/>
          <w:lang w:val="ka-GE"/>
        </w:rPr>
        <w:t xml:space="preserve">2 </w:t>
      </w:r>
      <w:r w:rsidR="002012DB" w:rsidRPr="00080D51">
        <w:rPr>
          <w:rFonts w:ascii="Sylfaen" w:hAnsi="Sylfaen" w:cs="Sylfaen"/>
          <w:color w:val="000000"/>
          <w:sz w:val="20"/>
          <w:szCs w:val="20"/>
          <w:lang w:val="ka-GE"/>
        </w:rPr>
        <w:t>აპრილ</w:t>
      </w:r>
      <w:r w:rsidR="00483151" w:rsidRPr="00080D51">
        <w:rPr>
          <w:rFonts w:ascii="Sylfaen" w:hAnsi="Sylfaen" w:cs="Sylfaen"/>
          <w:color w:val="000000"/>
          <w:sz w:val="20"/>
          <w:szCs w:val="20"/>
          <w:lang w:val="ka-GE"/>
        </w:rPr>
        <w:t xml:space="preserve">ის ზეპირი მოსმენის </w:t>
      </w:r>
      <w:r w:rsidRPr="00080D51">
        <w:rPr>
          <w:rFonts w:ascii="Sylfaen" w:hAnsi="Sylfaen" w:cs="Sylfaen"/>
          <w:color w:val="000000"/>
          <w:sz w:val="20"/>
          <w:szCs w:val="20"/>
          <w:lang w:val="ka-GE"/>
        </w:rPr>
        <w:t>სხდომას</w:t>
      </w:r>
      <w:r w:rsidRPr="00080D5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80D51">
        <w:rPr>
          <w:rFonts w:ascii="Sylfaen" w:hAnsi="Sylfaen" w:cs="Sylfaen"/>
          <w:color w:val="000000"/>
          <w:sz w:val="20"/>
          <w:szCs w:val="20"/>
          <w:lang w:val="ka-GE"/>
        </w:rPr>
        <w:t>ესწრებოდა</w:t>
      </w:r>
      <w:r w:rsidRPr="00080D5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80D51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 w:rsidRPr="00080D51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Pr="00080D51">
        <w:rPr>
          <w:rFonts w:ascii="Sylfaen" w:hAnsi="Sylfaen"/>
          <w:bCs/>
          <w:sz w:val="20"/>
          <w:szCs w:val="20"/>
          <w:lang w:val="ka-GE"/>
        </w:rPr>
        <w:t>“</w:t>
      </w:r>
      <w:r w:rsidR="002012DB" w:rsidRPr="00080D51">
        <w:rPr>
          <w:rFonts w:ascii="Sylfaen" w:hAnsi="Sylfaen"/>
          <w:bCs/>
          <w:sz w:val="20"/>
          <w:szCs w:val="20"/>
          <w:lang w:val="ka-GE"/>
        </w:rPr>
        <w:t>-ის</w:t>
      </w:r>
      <w:r w:rsidRPr="00080D51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080D51">
        <w:rPr>
          <w:rFonts w:ascii="Sylfaen" w:hAnsi="Sylfaen" w:cs="Sylfaen"/>
          <w:color w:val="000000"/>
          <w:sz w:val="20"/>
          <w:szCs w:val="20"/>
          <w:lang w:val="ka-GE"/>
        </w:rPr>
        <w:t>წარმომადგენელ</w:t>
      </w:r>
      <w:r w:rsidR="006D5663" w:rsidRPr="00080D51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="00C453AE" w:rsidRPr="00080D51">
        <w:rPr>
          <w:rFonts w:ascii="Sylfaen" w:hAnsi="Sylfaen" w:cs="Sylfaen"/>
          <w:color w:val="000000"/>
          <w:sz w:val="20"/>
          <w:szCs w:val="20"/>
          <w:lang w:val="ka-GE"/>
        </w:rPr>
        <w:t xml:space="preserve">. სხდომაზე აღინიშნა რომ </w:t>
      </w:r>
      <w:r w:rsidR="00C56EFD" w:rsidRPr="00080D51">
        <w:rPr>
          <w:rFonts w:ascii="Sylfaen" w:hAnsi="Sylfaen" w:cs="Sylfaen"/>
          <w:color w:val="000000"/>
          <w:sz w:val="20"/>
          <w:szCs w:val="20"/>
          <w:lang w:val="ka-GE"/>
        </w:rPr>
        <w:t xml:space="preserve">ადმინისტრაციული წარმოების </w:t>
      </w:r>
      <w:proofErr w:type="spellStart"/>
      <w:r w:rsidR="006D5663" w:rsidRPr="00080D51">
        <w:rPr>
          <w:rFonts w:ascii="Sylfaen" w:hAnsi="Sylfaen"/>
          <w:sz w:val="20"/>
          <w:szCs w:val="20"/>
        </w:rPr>
        <w:t>პერიოდში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დაინტერესებული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მხარეების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მიერ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წერილობითი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მოსაზრებები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კომისიაში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წარმოდგენილი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არ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 </w:t>
      </w:r>
      <w:proofErr w:type="spellStart"/>
      <w:r w:rsidR="006D5663" w:rsidRPr="00080D51">
        <w:rPr>
          <w:rFonts w:ascii="Sylfaen" w:hAnsi="Sylfaen"/>
          <w:sz w:val="20"/>
          <w:szCs w:val="20"/>
        </w:rPr>
        <w:t>არის</w:t>
      </w:r>
      <w:proofErr w:type="spellEnd"/>
      <w:r w:rsidR="006D5663" w:rsidRPr="00080D51">
        <w:rPr>
          <w:rFonts w:ascii="Sylfaen" w:hAnsi="Sylfaen"/>
          <w:sz w:val="20"/>
          <w:szCs w:val="20"/>
        </w:rPr>
        <w:t xml:space="preserve">. </w:t>
      </w:r>
    </w:p>
    <w:p w14:paraId="690BE9DA" w14:textId="77777777" w:rsidR="00E20A10" w:rsidRDefault="00E20A10" w:rsidP="002D7B2C">
      <w:pPr>
        <w:jc w:val="both"/>
        <w:rPr>
          <w:rFonts w:ascii="Sylfaen" w:hAnsi="Sylfaen"/>
          <w:sz w:val="20"/>
          <w:szCs w:val="20"/>
        </w:rPr>
      </w:pPr>
    </w:p>
    <w:p w14:paraId="264FA951" w14:textId="3A67E087" w:rsidR="002D7B2C" w:rsidRPr="002D7B2C" w:rsidRDefault="002D7B2C" w:rsidP="002D7B2C">
      <w:pPr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D7B2C">
        <w:rPr>
          <w:rFonts w:ascii="Sylfaen" w:hAnsi="Sylfaen" w:cs="Sylfaen"/>
          <w:b/>
          <w:bCs/>
          <w:sz w:val="20"/>
          <w:szCs w:val="20"/>
        </w:rPr>
        <w:t xml:space="preserve">II. </w:t>
      </w:r>
      <w:proofErr w:type="spellStart"/>
      <w:r w:rsidRPr="002D7B2C">
        <w:rPr>
          <w:rFonts w:ascii="Sylfaen" w:hAnsi="Sylfaen" w:cs="Sylfaen"/>
          <w:b/>
          <w:bCs/>
          <w:sz w:val="20"/>
          <w:szCs w:val="20"/>
        </w:rPr>
        <w:t>მარეგულირებელი</w:t>
      </w:r>
      <w:proofErr w:type="spellEnd"/>
      <w:r w:rsidRPr="002D7B2C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</w:p>
    <w:p w14:paraId="29CBABA4" w14:textId="77777777" w:rsidR="00105A2D" w:rsidRPr="00042920" w:rsidRDefault="00105A2D" w:rsidP="00E70128">
      <w:pPr>
        <w:shd w:val="clear" w:color="auto" w:fill="FFFFFF"/>
        <w:rPr>
          <w:rFonts w:ascii="Sylfaen" w:hAnsi="Sylfaen"/>
          <w:b/>
          <w:sz w:val="20"/>
          <w:szCs w:val="20"/>
          <w:lang w:val="ka-GE"/>
        </w:rPr>
      </w:pPr>
    </w:p>
    <w:p w14:paraId="40E07BAE" w14:textId="2E2FFBBB" w:rsidR="00617642" w:rsidRPr="00C6578C" w:rsidRDefault="00E20A10" w:rsidP="00DA77B3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Cambria"/>
          <w:color w:val="000000"/>
          <w:sz w:val="20"/>
          <w:szCs w:val="20"/>
          <w:lang w:val="ka-GE"/>
        </w:rPr>
        <w:t>4</w:t>
      </w:r>
      <w:r w:rsidR="002D7B2C">
        <w:rPr>
          <w:rFonts w:ascii="Sylfaen" w:hAnsi="Sylfaen" w:cs="Cambria"/>
          <w:color w:val="000000"/>
          <w:sz w:val="20"/>
          <w:szCs w:val="20"/>
          <w:lang w:val="ka-GE"/>
        </w:rPr>
        <w:t xml:space="preserve">. 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8C293C" w:rsidRPr="00C6578C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მედიამომსახურებისა და ვიდეოგაზიარების პლატფორმის მომსახურების მიმწოდებლების საქმიანობის საქართველოს კანონმდებლობასთან შესაბამისობაზე ზედამხედველობასა და მის კონტროლს ახორციელებს მხოლოდ კომისია, გარდა საგადასახადო და სამართალდამცავი ორგანოების მიერ მათი უფლებამოსილების ფარგლებში განხორციელებული ზედამხედველობისა და კონტროლისა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>, ,,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617642" w:rsidRPr="00C6578C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435E" w:rsidRPr="00C6578C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E7435E" w:rsidRPr="00C6578C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მედიამომსახურებისა და ვიდეოგაზიარების პლატფორმის მომსახურების სფეროში საქართველოს კანონმდებლობის მოთხოვნებისა და ავტორიზაციის პირობების დაცვაზე ზედამხედველობა და მისი კონტროლი</w:t>
      </w:r>
      <w:r w:rsidR="00617642" w:rsidRPr="00C6578C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76376954" w14:textId="77777777" w:rsidR="00622945" w:rsidRPr="00C6578C" w:rsidRDefault="00622945" w:rsidP="00622945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</w:p>
    <w:p w14:paraId="331AB505" w14:textId="7E9179AD" w:rsidR="00617642" w:rsidRPr="00C6578C" w:rsidRDefault="00E20A1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lastRenderedPageBreak/>
        <w:t>5</w:t>
      </w:r>
      <w:r w:rsidR="002D7B2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.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="00617642" w:rsidRPr="00C6578C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17642" w:rsidRPr="00C6578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="00617642" w:rsidRPr="00C6578C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იმ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პირს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ვისაც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გავლილი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აქვს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სფეროში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ასევე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ვინც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ფლობს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მიერ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გაცემულ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რესურსით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სფეროში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დაევალათ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დანართი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N1–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ით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ფორმების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შევსება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და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,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ამ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ფორმებში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="00617642" w:rsidRPr="00C6578C">
        <w:rPr>
          <w:rFonts w:ascii="Sylfaen" w:hAnsi="Sylfaen"/>
          <w:sz w:val="20"/>
          <w:szCs w:val="20"/>
          <w:lang w:val="ka-GE"/>
        </w:rPr>
        <w:t xml:space="preserve"> </w:t>
      </w:r>
      <w:r w:rsidR="00617642" w:rsidRPr="00C6578C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3B18F292" w14:textId="77777777" w:rsidR="00622945" w:rsidRPr="00C6578C" w:rsidRDefault="00622945" w:rsidP="0062294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29BA3DDE" w14:textId="4D249304" w:rsidR="00A96AD0" w:rsidRDefault="00E20A1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="002D7B2C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A2942"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 w:rsidRPr="00C6578C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="000A2942"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 w:rsidRPr="00C6578C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A2942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="000A2942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54DD7" w:rsidRPr="00C6578C">
        <w:rPr>
          <w:rFonts w:ascii="Sylfaen" w:hAnsi="Sylfaen" w:cs="Sylfaen"/>
          <w:sz w:val="20"/>
          <w:szCs w:val="20"/>
          <w:lang w:val="ka-GE"/>
        </w:rPr>
        <w:t>მედიამომსახურებისა და ვიდეოგაზიარების პლატფორმის მიმწოდებლები ვალდებული არიან ყოველთვიურად, არაუგვიანეს საანგარიშო თვის მომდევნო თვის 20 რიცხვისა, კომისიის ანგარიშზე ჩარიცხონ რეგულირების საფასური და კომისიას წარუდგინონ ინფორმაცია კომისიის მიერ განსაზღვრული ფორმით.</w:t>
      </w:r>
    </w:p>
    <w:p w14:paraId="3A062050" w14:textId="77777777" w:rsidR="008177B0" w:rsidRDefault="008177B0" w:rsidP="00622945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15E71EEC" w14:textId="356D96D8" w:rsidR="008177B0" w:rsidRDefault="008177B0" w:rsidP="0062294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7. </w:t>
      </w:r>
      <w:r w:rsidRPr="00042920">
        <w:rPr>
          <w:rFonts w:ascii="Sylfaen" w:hAnsi="Sylfaen"/>
          <w:sz w:val="20"/>
          <w:szCs w:val="20"/>
          <w:lang w:val="ka-GE"/>
        </w:rPr>
        <w:t>საქართველოს ზოგადი ადმინისტრაციული კოდექსის 95-ე მუხლის პირველი ნაწილის თანახმად, ადმინისტრაციული ორგანო უფლებამოსილია ადმინისტრაციულ წარმოებაში ჩააბას დაინტერესებული მხარე მისი მოთხოვნის საფუძველზე, ხოლო მე-2 ნაწილის თანახმად, ადმინისტრაციული ორგანო ვალდებულია  ადმინისტრაციული წარმოების დაწყების შესახებ აცნობოს დაინტერესებულ მხარეს, თუ ინდივიდუალური ადმინისტრაციულ-სამართლებრივი აქტით შეიძლება გაუარესდეს მისი სამართლებრივი მდგომარეობა და უზრუნველყოს მისი მონაწილეობა ადმინისტრაციულ წარმოებაში.</w:t>
      </w:r>
    </w:p>
    <w:p w14:paraId="6E2FB1AD" w14:textId="77777777" w:rsidR="00483151" w:rsidRDefault="00483151" w:rsidP="00622945">
      <w:pPr>
        <w:jc w:val="both"/>
        <w:rPr>
          <w:rFonts w:ascii="Sylfaen" w:hAnsi="Sylfaen"/>
          <w:sz w:val="20"/>
          <w:szCs w:val="20"/>
          <w:lang w:val="ka-GE"/>
        </w:rPr>
      </w:pPr>
    </w:p>
    <w:p w14:paraId="041BBD88" w14:textId="17C728AB" w:rsidR="00483151" w:rsidRPr="00C6578C" w:rsidRDefault="00483151" w:rsidP="0062294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8. 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,,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Start w:id="0" w:name="_Hlk132106816"/>
      <w:r w:rsidRPr="00C6578C">
        <w:rPr>
          <w:rFonts w:ascii="Sylfaen" w:hAnsi="Sylfaen"/>
          <w:color w:val="000000"/>
          <w:sz w:val="20"/>
          <w:szCs w:val="20"/>
          <w:lang w:val="ka-GE"/>
        </w:rPr>
        <w:t>38</w:t>
      </w:r>
      <w:r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End w:id="0"/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თანახმად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ინიციატივით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ხორციელდება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საჯარო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წარმოების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>წესით</w:t>
      </w:r>
      <w:r w:rsidRPr="00C6578C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178C8C02" w14:textId="77777777" w:rsidR="00622945" w:rsidRPr="00C6578C" w:rsidRDefault="00622945" w:rsidP="00622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8BB6E19" w14:textId="5FAA422D" w:rsidR="002D7B2C" w:rsidRDefault="002D7B2C" w:rsidP="002D7B2C">
      <w:pPr>
        <w:jc w:val="center"/>
        <w:rPr>
          <w:rFonts w:ascii="Sylfaen" w:hAnsi="Sylfaen"/>
          <w:b/>
          <w:bCs/>
          <w:sz w:val="20"/>
          <w:szCs w:val="20"/>
        </w:rPr>
      </w:pPr>
      <w:r w:rsidRPr="002D7B2C">
        <w:rPr>
          <w:rFonts w:ascii="Sylfaen" w:hAnsi="Sylfaen"/>
          <w:b/>
          <w:bCs/>
          <w:sz w:val="20"/>
          <w:szCs w:val="20"/>
        </w:rPr>
        <w:t xml:space="preserve">III.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სამოტივაციო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ნაწილი</w:t>
      </w:r>
      <w:proofErr w:type="spellEnd"/>
    </w:p>
    <w:p w14:paraId="7376A4CA" w14:textId="77777777" w:rsidR="00E20A10" w:rsidRPr="002D7B2C" w:rsidRDefault="00E20A10" w:rsidP="002D7B2C">
      <w:pPr>
        <w:jc w:val="center"/>
        <w:rPr>
          <w:rFonts w:ascii="Sylfaen" w:hAnsi="Sylfaen"/>
          <w:b/>
          <w:bCs/>
          <w:sz w:val="20"/>
          <w:szCs w:val="20"/>
        </w:rPr>
      </w:pPr>
    </w:p>
    <w:p w14:paraId="1481E226" w14:textId="0E45B32E" w:rsidR="002D7B2C" w:rsidRPr="002D7B2C" w:rsidRDefault="002D7B2C" w:rsidP="002D7B2C">
      <w:pPr>
        <w:pStyle w:val="ListParagraph"/>
        <w:numPr>
          <w:ilvl w:val="0"/>
          <w:numId w:val="35"/>
        </w:numPr>
        <w:jc w:val="center"/>
        <w:rPr>
          <w:rFonts w:ascii="Sylfaen" w:hAnsi="Sylfaen"/>
          <w:b/>
          <w:bCs/>
          <w:sz w:val="20"/>
          <w:szCs w:val="20"/>
        </w:rPr>
      </w:pPr>
      <w:proofErr w:type="spellStart"/>
      <w:r w:rsidRPr="002D7B2C">
        <w:rPr>
          <w:rFonts w:ascii="Sylfaen" w:hAnsi="Sylfaen"/>
          <w:b/>
          <w:bCs/>
          <w:sz w:val="20"/>
          <w:szCs w:val="20"/>
        </w:rPr>
        <w:t>დადგენილი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ფაქტობრივი</w:t>
      </w:r>
      <w:proofErr w:type="spellEnd"/>
      <w:r w:rsidRPr="002D7B2C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D7B2C">
        <w:rPr>
          <w:rFonts w:ascii="Sylfaen" w:hAnsi="Sylfaen"/>
          <w:b/>
          <w:bCs/>
          <w:sz w:val="20"/>
          <w:szCs w:val="20"/>
        </w:rPr>
        <w:t>გარემოებები</w:t>
      </w:r>
      <w:proofErr w:type="spellEnd"/>
    </w:p>
    <w:p w14:paraId="5AEFE9A0" w14:textId="77777777" w:rsidR="002012DB" w:rsidRPr="00E20A10" w:rsidRDefault="00F729B2" w:rsidP="002012DB">
      <w:pPr>
        <w:jc w:val="both"/>
        <w:rPr>
          <w:rFonts w:ascii="Sylfaen" w:hAnsi="Sylfaen"/>
          <w:sz w:val="20"/>
          <w:szCs w:val="20"/>
          <w:lang w:val="ka-GE"/>
        </w:rPr>
      </w:pPr>
      <w:bookmarkStart w:id="1" w:name="_Hlk132105672"/>
      <w:r>
        <w:rPr>
          <w:rFonts w:ascii="Sylfaen" w:hAnsi="Sylfaen"/>
          <w:bCs/>
          <w:sz w:val="20"/>
          <w:szCs w:val="20"/>
          <w:lang w:val="ka-GE"/>
        </w:rPr>
        <w:t>9</w:t>
      </w:r>
      <w:r w:rsidR="00E20A10" w:rsidRPr="00E20A10">
        <w:rPr>
          <w:rFonts w:ascii="Sylfaen" w:hAnsi="Sylfaen"/>
          <w:bCs/>
          <w:sz w:val="20"/>
          <w:szCs w:val="20"/>
          <w:lang w:val="ka-GE"/>
        </w:rPr>
        <w:t xml:space="preserve">. </w:t>
      </w:r>
      <w:bookmarkEnd w:id="1"/>
      <w:r w:rsidR="002012DB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2012DB"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="002012DB" w:rsidRPr="00C6578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012DB" w:rsidRPr="00C6578C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2012DB" w:rsidRPr="00C6578C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2012DB" w:rsidRPr="00C6578C">
        <w:rPr>
          <w:rFonts w:ascii="Sylfaen" w:hAnsi="Sylfaen"/>
          <w:color w:val="000000"/>
          <w:sz w:val="20"/>
          <w:szCs w:val="20"/>
          <w:lang w:val="ka-GE"/>
        </w:rPr>
        <w:t>/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ნ</w:t>
      </w:r>
      <w:r w:rsidR="002012DB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2012DB" w:rsidRPr="00026F68">
        <w:rPr>
          <w:rFonts w:ascii="Sylfaen" w:hAnsi="Sylfaen" w:cs="Sylfaen"/>
          <w:color w:val="000000"/>
          <w:sz w:val="20"/>
          <w:szCs w:val="20"/>
        </w:rPr>
        <w:t>405327463</w:t>
      </w:r>
      <w:r w:rsidR="002012DB">
        <w:rPr>
          <w:rFonts w:ascii="Sylfaen" w:hAnsi="Sylfaen" w:cs="Sylfaen"/>
          <w:color w:val="000000"/>
          <w:sz w:val="20"/>
          <w:szCs w:val="20"/>
        </w:rPr>
        <w:t xml:space="preserve">)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პირს, რომელ</w:t>
      </w:r>
      <w:r w:rsidR="002012DB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ც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2012DB" w:rsidRPr="00F647B7">
        <w:rPr>
          <w:rFonts w:ascii="Sylfaen" w:hAnsi="Sylfaen"/>
          <w:sz w:val="20"/>
          <w:szCs w:val="20"/>
        </w:rPr>
        <w:t>კომისიის</w:t>
      </w:r>
      <w:proofErr w:type="spellEnd"/>
      <w:r w:rsidR="002012DB" w:rsidRPr="00F647B7">
        <w:rPr>
          <w:rFonts w:ascii="Sylfaen" w:hAnsi="Sylfaen"/>
          <w:sz w:val="20"/>
          <w:szCs w:val="20"/>
        </w:rPr>
        <w:t xml:space="preserve"> 2019 </w:t>
      </w:r>
      <w:proofErr w:type="spellStart"/>
      <w:r w:rsidR="002012DB" w:rsidRPr="00F647B7">
        <w:rPr>
          <w:rFonts w:ascii="Sylfaen" w:hAnsi="Sylfaen"/>
          <w:sz w:val="20"/>
          <w:szCs w:val="20"/>
        </w:rPr>
        <w:t>წლის</w:t>
      </w:r>
      <w:proofErr w:type="spellEnd"/>
      <w:r w:rsidR="002012DB" w:rsidRPr="00F647B7">
        <w:rPr>
          <w:rFonts w:ascii="Sylfaen" w:hAnsi="Sylfaen"/>
          <w:sz w:val="20"/>
          <w:szCs w:val="20"/>
        </w:rPr>
        <w:t xml:space="preserve"> </w:t>
      </w:r>
      <w:r w:rsidR="002012DB">
        <w:rPr>
          <w:rFonts w:ascii="Sylfaen" w:hAnsi="Sylfaen"/>
          <w:sz w:val="20"/>
          <w:szCs w:val="20"/>
        </w:rPr>
        <w:t xml:space="preserve">11 </w:t>
      </w:r>
      <w:proofErr w:type="spellStart"/>
      <w:r w:rsidR="002012DB">
        <w:rPr>
          <w:rFonts w:ascii="Sylfaen" w:hAnsi="Sylfaen"/>
          <w:sz w:val="20"/>
          <w:szCs w:val="20"/>
        </w:rPr>
        <w:t>აპრილის</w:t>
      </w:r>
      <w:proofErr w:type="spellEnd"/>
      <w:r w:rsidR="002012DB">
        <w:rPr>
          <w:rFonts w:ascii="Sylfaen" w:hAnsi="Sylfaen"/>
          <w:sz w:val="20"/>
          <w:szCs w:val="20"/>
        </w:rPr>
        <w:t xml:space="preserve"> </w:t>
      </w:r>
      <w:r w:rsidR="002012DB" w:rsidRPr="00F647B7">
        <w:rPr>
          <w:rFonts w:ascii="Sylfaen" w:hAnsi="Sylfaen"/>
          <w:sz w:val="20"/>
          <w:szCs w:val="20"/>
        </w:rPr>
        <w:t>№</w:t>
      </w:r>
      <w:r w:rsidR="002012DB">
        <w:rPr>
          <w:rFonts w:ascii="Sylfaen" w:hAnsi="Sylfaen"/>
          <w:sz w:val="20"/>
          <w:szCs w:val="20"/>
        </w:rPr>
        <w:t>228</w:t>
      </w:r>
      <w:r w:rsidR="002012DB" w:rsidRPr="00F647B7">
        <w:rPr>
          <w:rFonts w:ascii="Sylfaen" w:hAnsi="Sylfaen"/>
          <w:sz w:val="20"/>
          <w:szCs w:val="20"/>
        </w:rPr>
        <w:t>/</w:t>
      </w:r>
      <w:r w:rsidR="002012DB">
        <w:rPr>
          <w:rFonts w:ascii="Sylfaen" w:hAnsi="Sylfaen"/>
          <w:sz w:val="20"/>
          <w:szCs w:val="20"/>
        </w:rPr>
        <w:t>1</w:t>
      </w:r>
      <w:r w:rsidR="002012DB" w:rsidRPr="00F647B7">
        <w:rPr>
          <w:rFonts w:ascii="Sylfaen" w:hAnsi="Sylfaen"/>
          <w:sz w:val="20"/>
          <w:szCs w:val="20"/>
        </w:rPr>
        <w:t> </w:t>
      </w:r>
      <w:proofErr w:type="spellStart"/>
      <w:r w:rsidR="002012DB" w:rsidRPr="00F647B7">
        <w:rPr>
          <w:rFonts w:ascii="Sylfaen" w:hAnsi="Sylfaen"/>
          <w:sz w:val="20"/>
          <w:szCs w:val="20"/>
        </w:rPr>
        <w:t>გადაწყვეტილების</w:t>
      </w:r>
      <w:proofErr w:type="spellEnd"/>
      <w:r w:rsidR="002012DB" w:rsidRPr="00F647B7">
        <w:rPr>
          <w:rFonts w:ascii="Sylfaen" w:hAnsi="Sylfaen"/>
          <w:sz w:val="20"/>
          <w:szCs w:val="20"/>
        </w:rPr>
        <w:t xml:space="preserve"> </w:t>
      </w:r>
      <w:proofErr w:type="spellStart"/>
      <w:r w:rsidR="002012DB" w:rsidRPr="00F647B7">
        <w:rPr>
          <w:rFonts w:ascii="Sylfaen" w:hAnsi="Sylfaen"/>
          <w:sz w:val="20"/>
          <w:szCs w:val="20"/>
        </w:rPr>
        <w:t>საფუძველზე</w:t>
      </w:r>
      <w:proofErr w:type="spellEnd"/>
      <w:r w:rsidR="002012DB" w:rsidRPr="00F647B7">
        <w:rPr>
          <w:rFonts w:ascii="Sylfaen" w:hAnsi="Sylfaen"/>
          <w:sz w:val="20"/>
          <w:szCs w:val="20"/>
        </w:rPr>
        <w:t xml:space="preserve"> </w:t>
      </w:r>
      <w:proofErr w:type="spellStart"/>
      <w:r w:rsidR="002012DB" w:rsidRPr="00F647B7">
        <w:rPr>
          <w:rFonts w:ascii="Sylfaen" w:hAnsi="Sylfaen"/>
          <w:sz w:val="20"/>
          <w:szCs w:val="20"/>
        </w:rPr>
        <w:t>ფლობს</w:t>
      </w:r>
      <w:proofErr w:type="spellEnd"/>
      <w:r w:rsidR="002012DB">
        <w:rPr>
          <w:rFonts w:ascii="Sylfaen" w:hAnsi="Sylfaen"/>
          <w:b/>
          <w:bCs/>
          <w:sz w:val="20"/>
          <w:szCs w:val="20"/>
        </w:rPr>
        <w:t xml:space="preserve"> 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2012DB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bookmarkStart w:id="2" w:name="_Hlk132107001"/>
      <w:r w:rsidR="002012DB" w:rsidRPr="00E20A1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>BR-506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1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11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2012DB" w:rsidRPr="00E20A10">
        <w:rPr>
          <w:rFonts w:ascii="Sylfaen" w:hAnsi="Sylfaen"/>
          <w:color w:val="000000"/>
          <w:sz w:val="20"/>
          <w:szCs w:val="20"/>
          <w:lang w:val="ka-GE"/>
        </w:rPr>
        <w:t>.2019)</w:t>
      </w:r>
      <w:bookmarkEnd w:id="2"/>
      <w:r w:rsidR="002012D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E20A10">
        <w:rPr>
          <w:rFonts w:ascii="Sylfaen" w:hAnsi="Sylfaen" w:cs="Sylfaen"/>
          <w:sz w:val="20"/>
          <w:szCs w:val="20"/>
          <w:lang w:val="ka-GE"/>
        </w:rPr>
        <w:t>შემდეგი</w:t>
      </w:r>
      <w:r w:rsidR="002012DB" w:rsidRPr="00E20A10">
        <w:rPr>
          <w:rFonts w:ascii="Sylfaen" w:hAnsi="Sylfaen"/>
          <w:sz w:val="20"/>
          <w:szCs w:val="20"/>
          <w:lang w:val="ka-GE"/>
        </w:rPr>
        <w:t xml:space="preserve">  </w:t>
      </w:r>
      <w:r w:rsidR="002012DB" w:rsidRPr="00E20A10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2012DB" w:rsidRPr="00E20A10">
        <w:rPr>
          <w:rFonts w:ascii="Sylfaen" w:hAnsi="Sylfaen"/>
          <w:sz w:val="20"/>
          <w:szCs w:val="20"/>
          <w:lang w:val="ka-GE"/>
        </w:rPr>
        <w:t>:</w:t>
      </w:r>
    </w:p>
    <w:p w14:paraId="40E27D29" w14:textId="77777777" w:rsidR="002012DB" w:rsidRPr="00E20A10" w:rsidRDefault="002012DB" w:rsidP="002012DB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ა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სახე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4BE86629" w14:textId="77777777" w:rsidR="002012DB" w:rsidRPr="00E20A10" w:rsidRDefault="002012DB" w:rsidP="002012DB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ბ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კერძო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2DA40BB0" w14:textId="77777777" w:rsidR="002012DB" w:rsidRPr="00E20A10" w:rsidRDefault="002012DB" w:rsidP="002012DB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გ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proofErr w:type="spellStart"/>
      <w:r w:rsidRPr="000055C6">
        <w:rPr>
          <w:rFonts w:ascii="Sylfaen" w:hAnsi="Sylfaen"/>
          <w:sz w:val="20"/>
          <w:szCs w:val="20"/>
        </w:rPr>
        <w:t>სპეციალიზებული</w:t>
      </w:r>
      <w:proofErr w:type="spellEnd"/>
      <w:r w:rsidRPr="000055C6">
        <w:rPr>
          <w:rFonts w:ascii="Sylfaen" w:hAnsi="Sylfaen"/>
          <w:sz w:val="20"/>
          <w:szCs w:val="20"/>
        </w:rPr>
        <w:t xml:space="preserve"> (</w:t>
      </w:r>
      <w:proofErr w:type="spellStart"/>
      <w:r w:rsidRPr="000055C6">
        <w:rPr>
          <w:rFonts w:ascii="Sylfaen" w:hAnsi="Sylfaen"/>
          <w:sz w:val="20"/>
          <w:szCs w:val="20"/>
        </w:rPr>
        <w:t>ჭადრაკის</w:t>
      </w:r>
      <w:proofErr w:type="spellEnd"/>
      <w:r w:rsidRPr="000055C6">
        <w:rPr>
          <w:rFonts w:ascii="Sylfaen" w:hAnsi="Sylfaen"/>
          <w:sz w:val="20"/>
          <w:szCs w:val="20"/>
        </w:rPr>
        <w:t xml:space="preserve"> </w:t>
      </w:r>
      <w:proofErr w:type="spellStart"/>
      <w:r w:rsidRPr="000055C6">
        <w:rPr>
          <w:rFonts w:ascii="Sylfaen" w:hAnsi="Sylfaen"/>
          <w:sz w:val="20"/>
          <w:szCs w:val="20"/>
        </w:rPr>
        <w:t>თემატიკა</w:t>
      </w:r>
      <w:proofErr w:type="spellEnd"/>
      <w:r w:rsidRPr="000055C6">
        <w:rPr>
          <w:rFonts w:ascii="Sylfaen" w:hAnsi="Sylfaen"/>
          <w:sz w:val="20"/>
          <w:szCs w:val="20"/>
        </w:rPr>
        <w:t xml:space="preserve">) </w:t>
      </w:r>
      <w:proofErr w:type="spellStart"/>
      <w:r w:rsidRPr="000055C6">
        <w:rPr>
          <w:rFonts w:ascii="Sylfaen" w:hAnsi="Sylfaen"/>
          <w:sz w:val="20"/>
          <w:szCs w:val="20"/>
        </w:rPr>
        <w:t>ტელემაუწყებლობა</w:t>
      </w:r>
      <w:proofErr w:type="spellEnd"/>
      <w:r w:rsidRPr="000055C6">
        <w:rPr>
          <w:rFonts w:ascii="Sylfaen" w:hAnsi="Sylfaen"/>
          <w:sz w:val="20"/>
          <w:szCs w:val="20"/>
        </w:rPr>
        <w:t>;</w:t>
      </w:r>
    </w:p>
    <w:p w14:paraId="09611BC8" w14:textId="77777777" w:rsidR="002012DB" w:rsidRPr="00E20A10" w:rsidRDefault="002012DB" w:rsidP="002012DB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დ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ენა</w:t>
      </w:r>
      <w:r w:rsidRPr="00E20A10">
        <w:rPr>
          <w:rFonts w:ascii="Sylfaen" w:hAnsi="Sylfaen"/>
          <w:sz w:val="20"/>
          <w:szCs w:val="20"/>
          <w:lang w:val="ka-GE"/>
        </w:rPr>
        <w:t>/</w:t>
      </w:r>
      <w:r w:rsidRPr="00E20A10">
        <w:rPr>
          <w:rFonts w:ascii="Sylfaen" w:hAnsi="Sylfaen" w:cs="Sylfaen"/>
          <w:sz w:val="20"/>
          <w:szCs w:val="20"/>
          <w:lang w:val="ka-GE"/>
        </w:rPr>
        <w:t>ენები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 w:rsidRPr="00E20A10">
        <w:rPr>
          <w:rFonts w:ascii="Sylfaen" w:hAnsi="Sylfaen" w:cs="Sylfaen"/>
          <w:sz w:val="20"/>
          <w:szCs w:val="20"/>
          <w:lang w:val="ka-GE"/>
        </w:rPr>
        <w:t>ქართული</w:t>
      </w:r>
      <w:r>
        <w:rPr>
          <w:rFonts w:ascii="Sylfaen" w:hAnsi="Sylfaen" w:cs="Sylfaen"/>
          <w:sz w:val="20"/>
          <w:szCs w:val="20"/>
          <w:lang w:val="ka-GE"/>
        </w:rPr>
        <w:t>, რუსული, ინგლისური</w:t>
      </w:r>
      <w:r w:rsidRPr="00E20A10">
        <w:rPr>
          <w:rFonts w:ascii="Sylfaen" w:hAnsi="Sylfaen" w:cs="Sylfaen"/>
          <w:sz w:val="20"/>
          <w:szCs w:val="20"/>
          <w:lang w:val="ka-GE"/>
        </w:rPr>
        <w:t>;</w:t>
      </w:r>
    </w:p>
    <w:p w14:paraId="6D738E03" w14:textId="77777777" w:rsidR="002012DB" w:rsidRPr="00E20A10" w:rsidRDefault="002012DB" w:rsidP="002012DB">
      <w:pPr>
        <w:jc w:val="both"/>
        <w:rPr>
          <w:rFonts w:ascii="Sylfaen" w:hAnsi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ე</w:t>
      </w:r>
      <w:r w:rsidRPr="00E20A10">
        <w:rPr>
          <w:rFonts w:ascii="Sylfaen" w:hAnsi="Sylfaen"/>
          <w:sz w:val="20"/>
          <w:szCs w:val="20"/>
          <w:lang w:val="ka-GE"/>
        </w:rPr>
        <w:t xml:space="preserve">) </w:t>
      </w:r>
      <w:r w:rsidRPr="00E20A1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დღე</w:t>
      </w:r>
      <w:r w:rsidRPr="00E20A10">
        <w:rPr>
          <w:rFonts w:ascii="Sylfaen" w:hAnsi="Sylfaen"/>
          <w:sz w:val="20"/>
          <w:szCs w:val="20"/>
          <w:lang w:val="ka-GE"/>
        </w:rPr>
        <w:t>-</w:t>
      </w:r>
      <w:r w:rsidRPr="00E20A10">
        <w:rPr>
          <w:rFonts w:ascii="Sylfaen" w:hAnsi="Sylfaen" w:cs="Sylfaen"/>
          <w:sz w:val="20"/>
          <w:szCs w:val="20"/>
          <w:lang w:val="ka-GE"/>
        </w:rPr>
        <w:t>ღამის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E20A10"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/>
          <w:sz w:val="20"/>
          <w:szCs w:val="20"/>
          <w:lang w:val="ka-GE"/>
        </w:rPr>
        <w:t>12</w:t>
      </w:r>
      <w:r w:rsidRPr="00E20A10"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 w:cs="Sylfaen"/>
          <w:sz w:val="20"/>
          <w:szCs w:val="20"/>
          <w:lang w:val="ka-GE"/>
        </w:rPr>
        <w:t>საათი</w:t>
      </w:r>
      <w:r w:rsidRPr="00E20A10">
        <w:rPr>
          <w:rFonts w:ascii="Sylfaen" w:hAnsi="Sylfaen"/>
          <w:sz w:val="20"/>
          <w:szCs w:val="20"/>
          <w:lang w:val="ka-GE"/>
        </w:rPr>
        <w:t>;</w:t>
      </w:r>
    </w:p>
    <w:p w14:paraId="051BF870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ვ) მაუწყებლობის გავრცელების ტექნოლოგია და აღნიშნულის შესაბამისად მაუწყებლობის</w:t>
      </w:r>
    </w:p>
    <w:p w14:paraId="1D16912B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გავრცელების გეოგრაფიული არეალი:</w:t>
      </w:r>
    </w:p>
    <w:p w14:paraId="05CBE61B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ვ.ა) ინტერნეტი (საქართველო);</w:t>
      </w:r>
    </w:p>
    <w:p w14:paraId="7A475838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ვ.ბ) მაუწყებლობის გავრცელების სხვა ტექნოლოგიები (საქართველო);</w:t>
      </w:r>
    </w:p>
    <w:p w14:paraId="1E106850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767E8439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ზ.ა) ინტერნეტი - უფასო;</w:t>
      </w:r>
    </w:p>
    <w:p w14:paraId="6EA383A1" w14:textId="77777777" w:rsidR="002012DB" w:rsidRPr="00E20A10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>ზ.ბ) მაუწყებლობის გავრცელების სხვა ტექნოლოგიები - უფასო;</w:t>
      </w:r>
    </w:p>
    <w:p w14:paraId="11FD9A52" w14:textId="77777777" w:rsidR="002012DB" w:rsidRPr="00C6578C" w:rsidRDefault="002012DB" w:rsidP="002012D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20A10">
        <w:rPr>
          <w:rFonts w:ascii="Sylfaen" w:hAnsi="Sylfaen" w:cs="Sylfaen"/>
          <w:sz w:val="20"/>
          <w:szCs w:val="20"/>
          <w:lang w:val="ka-GE"/>
        </w:rPr>
        <w:t xml:space="preserve">თ) მაუწყებლობის დაწყების ვადა: 2019 წლის </w:t>
      </w:r>
      <w:r>
        <w:rPr>
          <w:rFonts w:ascii="Sylfaen" w:hAnsi="Sylfaen" w:cs="Sylfaen"/>
          <w:sz w:val="20"/>
          <w:szCs w:val="20"/>
          <w:lang w:val="ka-GE"/>
        </w:rPr>
        <w:t>პირველი მაისი</w:t>
      </w:r>
      <w:r w:rsidRPr="00E20A10">
        <w:rPr>
          <w:rFonts w:ascii="Sylfaen" w:hAnsi="Sylfaen" w:cs="Sylfaen"/>
          <w:sz w:val="20"/>
          <w:szCs w:val="20"/>
          <w:lang w:val="ka-GE"/>
        </w:rPr>
        <w:t>.</w:t>
      </w:r>
    </w:p>
    <w:p w14:paraId="183C4E51" w14:textId="77777777" w:rsidR="002D7B2C" w:rsidRDefault="002D7B2C" w:rsidP="002D7B2C">
      <w:pPr>
        <w:jc w:val="both"/>
        <w:rPr>
          <w:rFonts w:ascii="Sylfaen" w:hAnsi="Sylfaen"/>
          <w:sz w:val="20"/>
          <w:szCs w:val="20"/>
          <w:lang w:val="ka-GE"/>
        </w:rPr>
      </w:pPr>
    </w:p>
    <w:p w14:paraId="35214961" w14:textId="6C816229" w:rsidR="002D7B2C" w:rsidRPr="002D7B2C" w:rsidRDefault="002D7B2C" w:rsidP="002D7B2C">
      <w:pPr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2012DB">
        <w:rPr>
          <w:rFonts w:ascii="Sylfaen" w:hAnsi="Sylfaen"/>
          <w:b/>
          <w:bCs/>
          <w:sz w:val="20"/>
          <w:szCs w:val="20"/>
          <w:lang w:val="ka-GE"/>
        </w:rPr>
        <w:t>2. სამართლებრივი შეფასება</w:t>
      </w:r>
    </w:p>
    <w:p w14:paraId="00FAEA2F" w14:textId="77777777" w:rsidR="008126F6" w:rsidRDefault="008126F6" w:rsidP="008126F6">
      <w:pPr>
        <w:jc w:val="both"/>
        <w:rPr>
          <w:rFonts w:ascii="Sylfaen" w:hAnsi="Sylfaen"/>
          <w:bCs/>
          <w:sz w:val="20"/>
          <w:szCs w:val="20"/>
          <w:highlight w:val="green"/>
          <w:lang w:val="ka-GE"/>
        </w:rPr>
      </w:pPr>
    </w:p>
    <w:p w14:paraId="126AC93F" w14:textId="46C8B1C2" w:rsidR="00E20A10" w:rsidRPr="00C6578C" w:rsidRDefault="00F729B2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10</w:t>
      </w:r>
      <w:r w:rsidR="00E20A10"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E20A10" w:rsidRPr="00C6578C">
        <w:rPr>
          <w:rFonts w:ascii="Sylfaen" w:hAnsi="Sylfaen" w:cs="Sylfaen"/>
          <w:sz w:val="20"/>
          <w:szCs w:val="20"/>
          <w:lang w:val="ka-GE"/>
        </w:rPr>
        <w:t>”მაუწყებლობის შესახებ” საქართველოს კანონის 45</w:t>
      </w:r>
      <w:r w:rsidR="00E20A10" w:rsidRPr="00C6578C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="00E20A10" w:rsidRPr="00C6578C">
        <w:rPr>
          <w:rFonts w:ascii="Sylfaen" w:hAnsi="Sylfaen" w:cs="Sylfaen"/>
          <w:sz w:val="20"/>
          <w:szCs w:val="20"/>
          <w:lang w:val="ka-GE"/>
        </w:rPr>
        <w:t xml:space="preserve"> მუხლის მე-14 პუნქტის შესაბამისად კომისია უფლებამოსილია შეაჩეროს ავტორიზაცია საკუთარი ინიციატივით, თუ ავტორიზებული პირი ერთ წელზე მეტი ხნის განმავლობაში, ერთობლივად: </w:t>
      </w:r>
    </w:p>
    <w:p w14:paraId="25B729F7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lastRenderedPageBreak/>
        <w:t xml:space="preserve">ა) არ ახორციელებს ავტორიზებულ საქმიანობას; </w:t>
      </w:r>
    </w:p>
    <w:p w14:paraId="7ED1A56B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t xml:space="preserve">ბ) არ წარუდგენს კომისიას რეგულირების საფასურის გაანგარიშებებს ან წარუდგენს ნულოვან გაანგარიშებას; </w:t>
      </w:r>
    </w:p>
    <w:p w14:paraId="4BC3FF05" w14:textId="77777777" w:rsidR="00E20A10" w:rsidRPr="00C6578C" w:rsidRDefault="00E20A10" w:rsidP="00E20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ka-GE"/>
        </w:rPr>
      </w:pPr>
      <w:r w:rsidRPr="00C6578C">
        <w:rPr>
          <w:rFonts w:ascii="Sylfaen" w:hAnsi="Sylfaen" w:cs="Sylfaen"/>
          <w:sz w:val="20"/>
          <w:szCs w:val="20"/>
          <w:lang w:val="ka-GE"/>
        </w:rPr>
        <w:t xml:space="preserve">გ) არ იხდის რეგულირების საფასურს; </w:t>
      </w:r>
    </w:p>
    <w:p w14:paraId="391B341D" w14:textId="77777777" w:rsidR="00E20A10" w:rsidRPr="002012DB" w:rsidRDefault="00E20A10" w:rsidP="00E20A10">
      <w:pPr>
        <w:shd w:val="clear" w:color="auto" w:fill="FFFFFF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0525BC5F" w14:textId="23326379" w:rsidR="00090AF0" w:rsidRDefault="00F729B2" w:rsidP="00090AF0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11. </w:t>
      </w:r>
      <w:r w:rsidR="00483151">
        <w:rPr>
          <w:rFonts w:ascii="Sylfaen" w:hAnsi="Sylfaen"/>
          <w:color w:val="000000"/>
          <w:sz w:val="20"/>
          <w:szCs w:val="20"/>
          <w:lang w:val="ka-GE"/>
        </w:rPr>
        <w:t xml:space="preserve">კომისიის ზეპირი მოსმენის </w:t>
      </w:r>
      <w:r w:rsidR="00513A0E" w:rsidRPr="00C6578C">
        <w:rPr>
          <w:rFonts w:ascii="Sylfaen" w:hAnsi="Sylfaen"/>
          <w:color w:val="000000"/>
          <w:sz w:val="20"/>
          <w:szCs w:val="20"/>
          <w:lang w:val="ka-GE"/>
        </w:rPr>
        <w:t xml:space="preserve">სხდომაზე აღინიშნა, რომ </w:t>
      </w:r>
      <w:r w:rsidR="002E4FA0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სახეზეა 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42920" w:rsidRPr="00C6578C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="00042920" w:rsidRPr="00C6578C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>-1</w:t>
      </w:r>
      <w:r w:rsidR="003058EA" w:rsidRPr="00C6578C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="00042920" w:rsidRPr="00C6578C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042920" w:rsidRPr="00C6578C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ქვეპუნქტით გათვალისწინებული შემთხვევა</w:t>
      </w:r>
      <w:r w:rsidR="00840665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კერძოდ კომპანია ერთ წელზე მეტი ხნის განმავლობაში არ ახორციელებს ავტორიზებულ საქმიანობას, </w:t>
      </w:r>
      <w:r w:rsidRPr="00C6578C">
        <w:rPr>
          <w:rFonts w:ascii="Sylfaen" w:hAnsi="Sylfaen" w:cs="Sylfaen"/>
          <w:sz w:val="20"/>
          <w:szCs w:val="20"/>
          <w:lang w:val="ka-GE"/>
        </w:rPr>
        <w:t xml:space="preserve">წარუდგენს კომისიას რეგულირების საფასურის </w:t>
      </w:r>
      <w:r w:rsidR="002012DB">
        <w:rPr>
          <w:rFonts w:ascii="Sylfaen" w:hAnsi="Sylfaen" w:cs="Sylfaen"/>
          <w:sz w:val="20"/>
          <w:szCs w:val="20"/>
          <w:lang w:val="ka-GE"/>
        </w:rPr>
        <w:t xml:space="preserve">ნულოვან </w:t>
      </w:r>
      <w:r w:rsidRPr="00C6578C">
        <w:rPr>
          <w:rFonts w:ascii="Sylfaen" w:hAnsi="Sylfaen" w:cs="Sylfaen"/>
          <w:sz w:val="20"/>
          <w:szCs w:val="20"/>
          <w:lang w:val="ka-GE"/>
        </w:rPr>
        <w:t>გაანგარიშებებს</w:t>
      </w:r>
      <w:r>
        <w:rPr>
          <w:rFonts w:ascii="Sylfaen" w:hAnsi="Sylfaen" w:cs="Sylfaen"/>
          <w:sz w:val="20"/>
          <w:szCs w:val="20"/>
          <w:lang w:val="ka-GE"/>
        </w:rPr>
        <w:t>, არ იხდის რეგულირების საფასურს.</w:t>
      </w:r>
      <w:r w:rsidRPr="00C6578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90AF0" w:rsidRPr="003278D2">
        <w:rPr>
          <w:rFonts w:ascii="Sylfaen" w:hAnsi="Sylfaen" w:cs="Sylfaen"/>
          <w:sz w:val="20"/>
          <w:szCs w:val="20"/>
          <w:lang w:val="ka-GE"/>
        </w:rPr>
        <w:t>კომისიის ზეპირი მოსმენის სხდომაზე კომისიამ ზეპირი მოსმენა დასრულებულად ჩათვალა და საკითხთან დაკავშირებით გადაწყვეტილების</w:t>
      </w:r>
      <w:r w:rsidR="00090AF0" w:rsidRPr="003278D2">
        <w:rPr>
          <w:rFonts w:ascii="Sylfaen" w:hAnsi="Sylfaen"/>
          <w:sz w:val="20"/>
          <w:szCs w:val="20"/>
          <w:lang w:val="ka-GE"/>
        </w:rPr>
        <w:t xml:space="preserve"> </w:t>
      </w:r>
      <w:r w:rsidR="00090AF0" w:rsidRPr="003278D2">
        <w:rPr>
          <w:rFonts w:ascii="Sylfaen" w:hAnsi="Sylfaen" w:cs="Sylfaen"/>
          <w:sz w:val="20"/>
          <w:szCs w:val="20"/>
          <w:lang w:val="ka-GE"/>
        </w:rPr>
        <w:t xml:space="preserve">მიღება მიზანშეწონილად მიიჩნია </w:t>
      </w:r>
      <w:r w:rsidR="00090AF0" w:rsidRPr="00FB6234">
        <w:rPr>
          <w:rFonts w:ascii="Sylfaen" w:hAnsi="Sylfaen" w:cs="Sylfaen"/>
          <w:sz w:val="20"/>
          <w:szCs w:val="20"/>
          <w:lang w:val="ka-GE"/>
        </w:rPr>
        <w:t xml:space="preserve">იმავე დღეს ძირითად სხდომაზე.  </w:t>
      </w:r>
      <w:r w:rsidR="00090AF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90AF0" w:rsidRPr="003278D2">
        <w:rPr>
          <w:rFonts w:ascii="Sylfaen" w:hAnsi="Sylfaen"/>
          <w:sz w:val="20"/>
          <w:szCs w:val="20"/>
          <w:lang w:val="ka-GE"/>
        </w:rPr>
        <w:t xml:space="preserve"> </w:t>
      </w:r>
    </w:p>
    <w:p w14:paraId="1BA25AAF" w14:textId="77777777" w:rsidR="00090AF0" w:rsidRDefault="00090AF0" w:rsidP="00090AF0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6E0D092C" w14:textId="3C2DE924" w:rsidR="00090AF0" w:rsidRPr="00AE7B5C" w:rsidRDefault="00090AF0" w:rsidP="00315780">
      <w:pPr>
        <w:shd w:val="clear" w:color="auto" w:fill="FFFFFF"/>
        <w:spacing w:line="240" w:lineRule="atLeast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278D2">
        <w:rPr>
          <w:rFonts w:ascii="Sylfaen" w:hAnsi="Sylfaen" w:cs="Sylfaen"/>
          <w:color w:val="000000"/>
          <w:sz w:val="20"/>
          <w:szCs w:val="20"/>
          <w:lang w:val="ka-GE"/>
        </w:rPr>
        <w:t>1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2</w:t>
      </w:r>
      <w:r w:rsidRPr="003278D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5426B3">
        <w:rPr>
          <w:rFonts w:ascii="Sylfaen" w:hAnsi="Sylfaen" w:cs="Sylfaen"/>
          <w:bCs/>
          <w:color w:val="000000"/>
          <w:sz w:val="20"/>
          <w:szCs w:val="20"/>
          <w:lang w:val="ka-GE"/>
        </w:rPr>
        <w:t>კომისიის 202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>6</w:t>
      </w:r>
      <w:r w:rsidRPr="005426B3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წლის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2 აპრილის </w:t>
      </w:r>
      <w:r w:rsidRPr="005426B3">
        <w:rPr>
          <w:rFonts w:ascii="Sylfaen" w:hAnsi="Sylfaen" w:cs="Sylfaen"/>
          <w:bCs/>
          <w:color w:val="000000"/>
          <w:sz w:val="20"/>
          <w:szCs w:val="20"/>
          <w:lang w:val="ka-GE"/>
        </w:rPr>
        <w:t>სხდომას ესწრებოდა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შპს </w:t>
      </w:r>
      <w:r w:rsidRPr="00090AF0"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/>
          <w:sz w:val="20"/>
          <w:szCs w:val="20"/>
          <w:lang w:val="ka-GE"/>
        </w:rPr>
        <w:t>ჭადრაკი ტვ</w:t>
      </w:r>
      <w:r w:rsidRPr="00090AF0">
        <w:rPr>
          <w:rFonts w:ascii="Sylfaen" w:hAnsi="Sylfaen" w:cs="Cambria"/>
          <w:sz w:val="20"/>
          <w:szCs w:val="20"/>
          <w:lang w:val="ka-GE"/>
        </w:rPr>
        <w:t>“</w:t>
      </w:r>
      <w:r>
        <w:rPr>
          <w:rFonts w:ascii="Sylfaen" w:hAnsi="Sylfaen" w:cs="Cambria"/>
          <w:sz w:val="20"/>
          <w:szCs w:val="20"/>
          <w:lang w:val="ka-GE"/>
        </w:rPr>
        <w:t>-ის</w:t>
      </w:r>
      <w:r w:rsidRPr="00090AF0">
        <w:rPr>
          <w:rFonts w:ascii="Sylfaen" w:hAnsi="Sylfaen" w:cs="Cambria"/>
          <w:sz w:val="20"/>
          <w:szCs w:val="20"/>
          <w:lang w:val="ka-GE"/>
        </w:rPr>
        <w:t xml:space="preserve"> </w:t>
      </w:r>
      <w:r w:rsidRPr="00407772">
        <w:rPr>
          <w:rFonts w:ascii="Sylfaen" w:hAnsi="Sylfaen"/>
          <w:sz w:val="20"/>
          <w:szCs w:val="20"/>
          <w:lang w:val="ka-GE"/>
        </w:rPr>
        <w:t>წარმომადგენელი</w:t>
      </w:r>
      <w:r>
        <w:rPr>
          <w:rFonts w:ascii="Sylfaen" w:hAnsi="Sylfaen"/>
          <w:sz w:val="20"/>
          <w:szCs w:val="20"/>
          <w:lang w:val="ka-GE"/>
        </w:rPr>
        <w:t xml:space="preserve"> ....... </w:t>
      </w:r>
      <w:r w:rsidRPr="00407772">
        <w:rPr>
          <w:rFonts w:ascii="Sylfaen" w:hAnsi="Sylfaen" w:cs="Sylfaen"/>
          <w:color w:val="000000"/>
          <w:sz w:val="20"/>
          <w:szCs w:val="20"/>
          <w:lang w:val="ka-GE"/>
        </w:rPr>
        <w:t xml:space="preserve">კომისიის 2026 წლის </w:t>
      </w:r>
      <w:r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2 აპრილის </w:t>
      </w:r>
      <w:r w:rsidRPr="00407772">
        <w:rPr>
          <w:rFonts w:ascii="Sylfaen" w:hAnsi="Sylfaen" w:cs="Sylfaen"/>
          <w:color w:val="000000"/>
          <w:sz w:val="20"/>
          <w:szCs w:val="20"/>
          <w:lang w:val="ka-GE"/>
        </w:rPr>
        <w:t>სხდომაზე აღინიშნა</w:t>
      </w:r>
      <w:r w:rsidRPr="00407772">
        <w:rPr>
          <w:rFonts w:ascii="Sylfaen" w:hAnsi="Sylfaen"/>
          <w:sz w:val="20"/>
          <w:szCs w:val="20"/>
          <w:lang w:val="ka-GE"/>
        </w:rPr>
        <w:t xml:space="preserve">, </w:t>
      </w:r>
      <w:r w:rsidRPr="00407772">
        <w:rPr>
          <w:rFonts w:ascii="Sylfaen" w:hAnsi="Sylfaen" w:cs="Sylfaen"/>
          <w:sz w:val="20"/>
          <w:szCs w:val="20"/>
          <w:lang w:val="ka-GE"/>
        </w:rPr>
        <w:t>რომ</w:t>
      </w:r>
      <w:r w:rsidRPr="00407772">
        <w:rPr>
          <w:rFonts w:ascii="Sylfaen" w:hAnsi="Sylfaen"/>
          <w:sz w:val="20"/>
          <w:szCs w:val="20"/>
          <w:lang w:val="ka-GE"/>
        </w:rPr>
        <w:t xml:space="preserve"> საჯარო </w:t>
      </w:r>
      <w:r w:rsidRPr="00407772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407772">
        <w:rPr>
          <w:rFonts w:ascii="Sylfaen" w:hAnsi="Sylfaen"/>
          <w:sz w:val="20"/>
          <w:szCs w:val="20"/>
          <w:lang w:val="ka-GE"/>
        </w:rPr>
        <w:t xml:space="preserve"> </w:t>
      </w:r>
      <w:r w:rsidRPr="00407772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407772">
        <w:rPr>
          <w:rFonts w:ascii="Sylfaen" w:hAnsi="Sylfaen"/>
          <w:sz w:val="20"/>
          <w:szCs w:val="20"/>
          <w:lang w:val="ka-GE"/>
        </w:rPr>
        <w:t xml:space="preserve"> </w:t>
      </w:r>
      <w:r w:rsidRPr="00407772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407772">
        <w:rPr>
          <w:rFonts w:ascii="Sylfaen" w:hAnsi="Sylfaen"/>
          <w:sz w:val="20"/>
          <w:szCs w:val="20"/>
          <w:lang w:val="ka-GE"/>
        </w:rPr>
        <w:t xml:space="preserve"> </w:t>
      </w:r>
      <w:r w:rsidRPr="00407772">
        <w:rPr>
          <w:rFonts w:ascii="Sylfaen" w:hAnsi="Sylfaen" w:cs="Sylfaen"/>
          <w:sz w:val="20"/>
          <w:szCs w:val="20"/>
          <w:lang w:val="ka-GE"/>
        </w:rPr>
        <w:t>არ</w:t>
      </w:r>
      <w:r w:rsidRPr="00407772">
        <w:rPr>
          <w:rFonts w:ascii="Sylfaen" w:hAnsi="Sylfaen"/>
          <w:sz w:val="20"/>
          <w:szCs w:val="20"/>
          <w:lang w:val="ka-GE"/>
        </w:rPr>
        <w:t xml:space="preserve"> </w:t>
      </w:r>
      <w:r w:rsidRPr="00407772">
        <w:rPr>
          <w:rFonts w:ascii="Sylfaen" w:hAnsi="Sylfaen" w:cs="Sylfaen"/>
          <w:sz w:val="20"/>
          <w:szCs w:val="20"/>
          <w:lang w:val="ka-GE"/>
        </w:rPr>
        <w:t xml:space="preserve">გამოვლენილა </w:t>
      </w:r>
      <w:r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Pr="00C6578C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Cs/>
          <w:sz w:val="20"/>
          <w:szCs w:val="20"/>
          <w:lang w:val="ka-GE"/>
        </w:rPr>
        <w:t>-ის</w:t>
      </w:r>
      <w:r w:rsidRPr="00C6578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6578C">
        <w:rPr>
          <w:rFonts w:ascii="Sylfaen" w:hAnsi="Sylfaen"/>
          <w:sz w:val="20"/>
          <w:szCs w:val="20"/>
          <w:lang w:val="ka-GE"/>
        </w:rPr>
        <w:t xml:space="preserve">ავტორიზაციის შეჩერების </w:t>
      </w:r>
      <w:r w:rsidRPr="003278D2">
        <w:rPr>
          <w:rFonts w:ascii="Sylfaen" w:hAnsi="Sylfaen" w:cs="Sylfaen"/>
          <w:sz w:val="20"/>
          <w:szCs w:val="20"/>
          <w:lang w:val="ka-GE"/>
        </w:rPr>
        <w:t>დამაბრკოლებელი</w:t>
      </w:r>
      <w:r w:rsidRPr="003278D2">
        <w:rPr>
          <w:rFonts w:ascii="Sylfaen" w:hAnsi="Sylfaen"/>
          <w:sz w:val="20"/>
          <w:szCs w:val="20"/>
          <w:lang w:val="ka-GE"/>
        </w:rPr>
        <w:t xml:space="preserve"> </w:t>
      </w:r>
      <w:r w:rsidRPr="003278D2">
        <w:rPr>
          <w:rFonts w:ascii="Sylfaen" w:hAnsi="Sylfaen" w:cs="Sylfaen"/>
          <w:sz w:val="20"/>
          <w:szCs w:val="20"/>
          <w:lang w:val="ka-GE"/>
        </w:rPr>
        <w:t>გარემოებები</w:t>
      </w:r>
      <w:r w:rsidRPr="003278D2">
        <w:rPr>
          <w:rFonts w:ascii="Sylfaen" w:hAnsi="Sylfaen"/>
          <w:sz w:val="20"/>
          <w:szCs w:val="20"/>
          <w:lang w:val="ka-GE"/>
        </w:rPr>
        <w:t xml:space="preserve">. </w:t>
      </w:r>
      <w:r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შესაბამისად კომისია უფლებამოსილია </w:t>
      </w:r>
      <w:r w:rsidRPr="00AE7B5C">
        <w:rPr>
          <w:rFonts w:ascii="Sylfaen" w:hAnsi="Sylfaen" w:cs="Sylfaen"/>
          <w:color w:val="000000"/>
          <w:sz w:val="20"/>
          <w:szCs w:val="20"/>
          <w:lang w:val="ka-GE"/>
        </w:rPr>
        <w:t>მიიღოს გადაწყვეტილება მ</w:t>
      </w:r>
      <w:r w:rsidRPr="00AE7B5C">
        <w:rPr>
          <w:rFonts w:ascii="Sylfaen" w:hAnsi="Sylfaen"/>
          <w:sz w:val="20"/>
          <w:szCs w:val="20"/>
          <w:lang w:val="ka-GE"/>
        </w:rPr>
        <w:t>აუწყებლობის სფეროში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20A10">
        <w:rPr>
          <w:rFonts w:ascii="Sylfaen" w:hAnsi="Sylfaen"/>
          <w:bCs/>
          <w:sz w:val="20"/>
          <w:szCs w:val="20"/>
          <w:lang w:val="ka-GE"/>
        </w:rPr>
        <w:t>შპს „</w:t>
      </w:r>
      <w:r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Pr="00E20A10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Cs/>
          <w:sz w:val="20"/>
          <w:szCs w:val="20"/>
          <w:lang w:val="ka-GE"/>
        </w:rPr>
        <w:t>-ის</w:t>
      </w:r>
      <w:r w:rsidRPr="00E20A1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E7B5C">
        <w:rPr>
          <w:rFonts w:ascii="Sylfaen" w:hAnsi="Sylfaen"/>
          <w:sz w:val="20"/>
          <w:szCs w:val="20"/>
          <w:lang w:val="ka-GE"/>
        </w:rPr>
        <w:t>ავტორიზაციის შეჩერების თაობაზე.</w:t>
      </w:r>
    </w:p>
    <w:p w14:paraId="086ABF1A" w14:textId="77777777" w:rsidR="00E20A10" w:rsidRDefault="00E20A10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4384BC8" w14:textId="038C63B6" w:rsidR="00E20A10" w:rsidRPr="00E20A10" w:rsidRDefault="00E20A10" w:rsidP="00E20A10">
      <w:pPr>
        <w:shd w:val="clear" w:color="auto" w:fill="FFFFFF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C630A4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IV. სარეზოლუციო ნაწილი</w:t>
      </w:r>
    </w:p>
    <w:p w14:paraId="0FAB1DCE" w14:textId="77777777" w:rsidR="00C6578C" w:rsidRDefault="00C6578C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6B4C174E" w14:textId="6E7EC07B" w:rsidR="00617642" w:rsidRDefault="00617642" w:rsidP="00C6578C">
      <w:pPr>
        <w:shd w:val="clear" w:color="auto" w:fill="FFFFFF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1951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511951" w:rsidRPr="00511951">
        <w:rPr>
          <w:rFonts w:ascii="Sylfaen" w:hAnsi="Sylfaen"/>
          <w:color w:val="000000"/>
          <w:sz w:val="20"/>
          <w:szCs w:val="20"/>
          <w:lang w:val="ka-GE"/>
        </w:rPr>
        <w:t>38</w:t>
      </w:r>
      <w:r w:rsidR="00511951" w:rsidRPr="00511951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="00511951" w:rsidRPr="00511951">
        <w:rPr>
          <w:rFonts w:ascii="Sylfaen" w:hAnsi="Sylfaen"/>
          <w:color w:val="000000"/>
          <w:sz w:val="20"/>
          <w:szCs w:val="20"/>
          <w:lang w:val="ka-GE"/>
        </w:rPr>
        <w:t xml:space="preserve"> მუხლის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</w:t>
      </w:r>
      <w:r w:rsidR="00B24051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-1</w:t>
      </w:r>
      <w:r w:rsidR="00B24051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814EC7">
        <w:rPr>
          <w:rFonts w:ascii="Sylfaen" w:hAnsi="Sylfaen"/>
          <w:color w:val="000000"/>
          <w:sz w:val="20"/>
          <w:szCs w:val="20"/>
          <w:lang w:val="ka-GE"/>
        </w:rPr>
        <w:t>სა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91AC2" w:rsidRPr="002A4207">
        <w:rPr>
          <w:rFonts w:ascii="Sylfaen" w:hAnsi="Sylfaen"/>
          <w:color w:val="000000"/>
          <w:sz w:val="20"/>
          <w:szCs w:val="20"/>
          <w:lang w:val="ka-GE"/>
        </w:rPr>
        <w:t>95-</w:t>
      </w:r>
      <w:r w:rsidR="00891AC2">
        <w:rPr>
          <w:rFonts w:ascii="Sylfaen" w:hAnsi="Sylfaen"/>
          <w:color w:val="000000"/>
          <w:sz w:val="20"/>
          <w:szCs w:val="20"/>
          <w:lang w:val="ka-GE"/>
        </w:rPr>
        <w:t xml:space="preserve">ე, 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814EC7">
        <w:rPr>
          <w:rFonts w:ascii="Sylfaen" w:hAnsi="Sylfaen" w:cs="Sylfaen"/>
          <w:color w:val="000000"/>
          <w:sz w:val="20"/>
          <w:szCs w:val="20"/>
          <w:lang w:val="ka-GE"/>
        </w:rPr>
        <w:t xml:space="preserve"> მუხლების, </w:t>
      </w:r>
      <w:r w:rsidR="00814EC7">
        <w:rPr>
          <w:rFonts w:ascii="Sylfaen" w:hAnsi="Sylfaen"/>
          <w:sz w:val="20"/>
          <w:szCs w:val="20"/>
          <w:lang w:val="ka-GE"/>
        </w:rPr>
        <w:t>177-</w:t>
      </w:r>
      <w:r w:rsidR="00814EC7">
        <w:rPr>
          <w:rFonts w:ascii="Sylfaen" w:hAnsi="Sylfaen" w:cs="Sylfaen"/>
          <w:sz w:val="20"/>
          <w:szCs w:val="20"/>
          <w:lang w:val="ka-GE"/>
        </w:rPr>
        <w:t>ე</w:t>
      </w:r>
      <w:r w:rsidR="00814EC7">
        <w:rPr>
          <w:rFonts w:ascii="Sylfaen" w:hAnsi="Sylfaen"/>
          <w:sz w:val="20"/>
          <w:szCs w:val="20"/>
          <w:lang w:val="ka-GE"/>
        </w:rPr>
        <w:t xml:space="preserve">  </w:t>
      </w:r>
      <w:r w:rsidR="00814EC7">
        <w:rPr>
          <w:rFonts w:ascii="Sylfaen" w:hAnsi="Sylfaen" w:cs="Sylfaen"/>
          <w:sz w:val="20"/>
          <w:szCs w:val="20"/>
          <w:lang w:val="ka-GE"/>
        </w:rPr>
        <w:t>მუხლის</w:t>
      </w:r>
      <w:r w:rsidR="00814EC7">
        <w:rPr>
          <w:rFonts w:ascii="Sylfaen" w:hAnsi="Sylfaen"/>
          <w:sz w:val="20"/>
          <w:szCs w:val="20"/>
          <w:lang w:val="ka-GE"/>
        </w:rPr>
        <w:t xml:space="preserve"> </w:t>
      </w:r>
      <w:r w:rsidR="00814EC7">
        <w:rPr>
          <w:rFonts w:ascii="Sylfaen" w:hAnsi="Sylfaen" w:cs="Sylfaen"/>
          <w:sz w:val="20"/>
          <w:szCs w:val="20"/>
          <w:lang w:val="ka-GE"/>
        </w:rPr>
        <w:t>მე</w:t>
      </w:r>
      <w:r w:rsidR="00814EC7">
        <w:rPr>
          <w:rFonts w:ascii="Sylfaen" w:hAnsi="Sylfaen"/>
          <w:sz w:val="20"/>
          <w:szCs w:val="20"/>
          <w:lang w:val="ka-GE"/>
        </w:rPr>
        <w:t xml:space="preserve">-4 </w:t>
      </w:r>
      <w:r w:rsidR="00814EC7">
        <w:rPr>
          <w:rFonts w:ascii="Sylfaen" w:hAnsi="Sylfaen" w:cs="Sylfaen"/>
          <w:sz w:val="20"/>
          <w:szCs w:val="20"/>
          <w:lang w:val="ka-GE"/>
        </w:rPr>
        <w:t xml:space="preserve">ნაწილის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156D0E07" w14:textId="77777777" w:rsidR="00C630A4" w:rsidRPr="00042920" w:rsidRDefault="00C630A4" w:rsidP="00744378">
      <w:pPr>
        <w:shd w:val="clear" w:color="auto" w:fill="FFFFFF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6126F6DB" w14:textId="77777777" w:rsidR="00617642" w:rsidRDefault="00617642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042920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3EC5675F" w14:textId="77777777" w:rsidR="00C630A4" w:rsidRDefault="00C630A4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3D0FD468" w14:textId="03FFA696" w:rsidR="00C630A4" w:rsidRPr="000E047A" w:rsidRDefault="00C630A4" w:rsidP="00CE4556">
      <w:pPr>
        <w:shd w:val="clear" w:color="auto" w:fill="FFFFFF"/>
        <w:spacing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1.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შეუჩერდეს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C6578C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2012DB" w:rsidRPr="00C6578C">
        <w:rPr>
          <w:rFonts w:ascii="Sylfaen" w:hAnsi="Sylfaen"/>
          <w:bCs/>
          <w:sz w:val="20"/>
          <w:szCs w:val="20"/>
          <w:lang w:val="ka-GE"/>
        </w:rPr>
        <w:t>“</w:t>
      </w:r>
      <w:r w:rsidR="002012DB" w:rsidRPr="00C6578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012DB" w:rsidRPr="00C6578C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2012DB" w:rsidRPr="00C6578C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2012DB" w:rsidRPr="00C6578C">
        <w:rPr>
          <w:rFonts w:ascii="Sylfaen" w:hAnsi="Sylfaen"/>
          <w:color w:val="000000"/>
          <w:sz w:val="20"/>
          <w:szCs w:val="20"/>
          <w:lang w:val="ka-GE"/>
        </w:rPr>
        <w:t>/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ნ</w:t>
      </w:r>
      <w:r w:rsidR="002012DB" w:rsidRPr="00C6578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2012DB" w:rsidRPr="00090AF0">
        <w:rPr>
          <w:rFonts w:ascii="Sylfaen" w:hAnsi="Sylfaen" w:cs="Sylfaen"/>
          <w:color w:val="000000"/>
          <w:sz w:val="20"/>
          <w:szCs w:val="20"/>
          <w:lang w:val="ka-GE"/>
        </w:rPr>
        <w:t>405327463</w:t>
      </w:r>
      <w:r w:rsidR="002012DB" w:rsidRPr="00C6578C">
        <w:rPr>
          <w:rFonts w:ascii="Sylfaen" w:hAnsi="Sylfaen"/>
          <w:sz w:val="20"/>
          <w:szCs w:val="20"/>
          <w:lang w:val="ka-GE"/>
        </w:rPr>
        <w:t>)</w:t>
      </w:r>
      <w:r w:rsidR="002012DB">
        <w:rPr>
          <w:rFonts w:ascii="Sylfaen" w:hAnsi="Sylfaen"/>
          <w:sz w:val="20"/>
          <w:szCs w:val="20"/>
          <w:lang w:val="ka-GE"/>
        </w:rPr>
        <w:t xml:space="preserve"> 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>BR-506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1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11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2012DB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6A4040">
        <w:rPr>
          <w:rFonts w:ascii="Sylfaen" w:hAnsi="Sylfaen"/>
          <w:color w:val="000000"/>
          <w:sz w:val="20"/>
          <w:szCs w:val="20"/>
          <w:lang w:val="ka-GE"/>
        </w:rPr>
        <w:t xml:space="preserve">.2019)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წარდგენამდე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35469CF" w14:textId="21B414A6" w:rsidR="00C630A4" w:rsidRPr="005158CF" w:rsidRDefault="00C630A4" w:rsidP="00CE4556">
      <w:pPr>
        <w:shd w:val="clear" w:color="auto" w:fill="FFFFFF"/>
        <w:spacing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განემარტო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="002012DB">
        <w:rPr>
          <w:rFonts w:ascii="Sylfaen" w:hAnsi="Sylfaen"/>
          <w:bCs/>
          <w:sz w:val="20"/>
          <w:szCs w:val="20"/>
          <w:lang w:val="ka-GE"/>
        </w:rPr>
        <w:t>-ს</w:t>
      </w:r>
      <w:r>
        <w:rPr>
          <w:rFonts w:ascii="Sylfaen" w:hAnsi="Sylfaen"/>
          <w:bCs/>
          <w:sz w:val="20"/>
          <w:szCs w:val="20"/>
          <w:lang w:val="ka-GE"/>
        </w:rPr>
        <w:t>,</w:t>
      </w:r>
      <w:r w:rsidRPr="006A40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შეჩერებისას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ხდება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უწყებრივ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გატარების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გაგზავნისა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მიღებიდან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3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აქტის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გამოცემის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786BDD5F" w14:textId="5E379CD0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="002012DB">
        <w:rPr>
          <w:rFonts w:ascii="Sylfaen" w:hAnsi="Sylfaen"/>
          <w:bCs/>
          <w:sz w:val="20"/>
          <w:szCs w:val="20"/>
          <w:lang w:val="ka-GE"/>
        </w:rPr>
        <w:t>-ს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</w:t>
      </w:r>
      <w:r w:rsidRPr="000E047A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მაუწყებლობის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D188809" w14:textId="3A0B5857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(ბ. გასვიანი):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1127AB4C" w14:textId="41E1139B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sz w:val="20"/>
          <w:szCs w:val="20"/>
          <w:lang w:val="ka-GE"/>
        </w:rPr>
      </w:pPr>
      <w:r w:rsidRPr="00E44070">
        <w:rPr>
          <w:rFonts w:ascii="Sylfaen" w:hAnsi="Sylfaen" w:cs="Sylfaen"/>
          <w:sz w:val="20"/>
          <w:szCs w:val="20"/>
          <w:lang w:val="ka-GE"/>
        </w:rPr>
        <w:t>ა) აღ</w:t>
      </w:r>
      <w:r w:rsidRPr="006F24EF">
        <w:rPr>
          <w:rFonts w:ascii="Sylfaen" w:hAnsi="Sylfaen" w:cs="Sylfaen"/>
          <w:sz w:val="20"/>
          <w:szCs w:val="20"/>
          <w:lang w:val="ka-GE"/>
        </w:rPr>
        <w:t>ნიშნული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="002012DB">
        <w:rPr>
          <w:rFonts w:ascii="Sylfaen" w:hAnsi="Sylfaen"/>
          <w:bCs/>
          <w:sz w:val="20"/>
          <w:szCs w:val="20"/>
          <w:lang w:val="ka-GE"/>
        </w:rPr>
        <w:t xml:space="preserve">-სთვის </w:t>
      </w:r>
      <w:r w:rsidRPr="006F24EF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6F24EF">
        <w:rPr>
          <w:rFonts w:ascii="Sylfaen" w:hAnsi="Sylfaen"/>
          <w:sz w:val="20"/>
          <w:szCs w:val="20"/>
          <w:lang w:val="ka-GE"/>
        </w:rPr>
        <w:t>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39E336E9" w14:textId="35B7FD5A" w:rsidR="00C630A4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sz w:val="20"/>
          <w:szCs w:val="20"/>
          <w:lang w:val="ka-GE"/>
        </w:rPr>
      </w:pPr>
      <w:r w:rsidRPr="006F24EF">
        <w:rPr>
          <w:rFonts w:ascii="Sylfaen" w:hAnsi="Sylfaen" w:cs="Sylfaen"/>
          <w:sz w:val="20"/>
          <w:szCs w:val="20"/>
          <w:lang w:val="ka-GE"/>
        </w:rPr>
        <w:t>ბ</w:t>
      </w:r>
      <w:r w:rsidRPr="006F24EF">
        <w:rPr>
          <w:rFonts w:ascii="Sylfaen" w:hAnsi="Sylfaen"/>
          <w:sz w:val="20"/>
          <w:szCs w:val="20"/>
          <w:lang w:val="ka-GE"/>
        </w:rPr>
        <w:t xml:space="preserve">) </w:t>
      </w:r>
      <w:r w:rsidRPr="006F24E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6F24EF">
        <w:rPr>
          <w:rFonts w:ascii="Sylfaen" w:hAnsi="Sylfaen"/>
          <w:sz w:val="20"/>
          <w:szCs w:val="20"/>
          <w:lang w:val="ka-GE"/>
        </w:rPr>
        <w:t> 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CBE5A3D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იურიდიული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D98CEF3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</w:t>
      </w:r>
      <w:r>
        <w:rPr>
          <w:rFonts w:ascii="Sylfaen" w:hAnsi="Sylfaen" w:cs="Sylfaen"/>
          <w:sz w:val="20"/>
          <w:szCs w:val="20"/>
          <w:lang w:val="ka-GE"/>
        </w:rPr>
        <w:t>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3A47EC43" w14:textId="326D670B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90AF0">
        <w:rPr>
          <w:rFonts w:ascii="Sylfaen" w:hAnsi="Sylfaen"/>
          <w:color w:val="000000"/>
          <w:sz w:val="20"/>
          <w:szCs w:val="20"/>
          <w:lang w:val="ka-GE"/>
        </w:rPr>
        <w:t>№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6</w:t>
      </w: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F96571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შპს „</w:t>
      </w:r>
      <w:r w:rsidR="002012DB">
        <w:rPr>
          <w:rFonts w:ascii="Sylfaen" w:hAnsi="Sylfaen"/>
          <w:bCs/>
          <w:sz w:val="20"/>
          <w:szCs w:val="20"/>
          <w:lang w:val="ka-GE"/>
        </w:rPr>
        <w:t>ჭადრაკი ტვ</w:t>
      </w:r>
      <w:r w:rsidR="002012DB" w:rsidRPr="006A4040">
        <w:rPr>
          <w:rFonts w:ascii="Sylfaen" w:hAnsi="Sylfaen"/>
          <w:bCs/>
          <w:sz w:val="20"/>
          <w:szCs w:val="20"/>
          <w:lang w:val="ka-GE"/>
        </w:rPr>
        <w:t>“</w:t>
      </w:r>
      <w:r w:rsidR="002012DB">
        <w:rPr>
          <w:rFonts w:ascii="Sylfaen" w:hAnsi="Sylfaen"/>
          <w:bCs/>
          <w:sz w:val="20"/>
          <w:szCs w:val="20"/>
          <w:lang w:val="ka-GE"/>
        </w:rPr>
        <w:t xml:space="preserve">-სთვის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ჩაბარებიდან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43F91B7" w14:textId="77777777" w:rsidR="00C630A4" w:rsidRPr="005158CF" w:rsidRDefault="00C630A4" w:rsidP="00CE4556">
      <w:pPr>
        <w:pStyle w:val="NormalWeb"/>
        <w:shd w:val="clear" w:color="auto" w:fill="FFFFFF"/>
        <w:spacing w:after="0" w:line="240" w:lineRule="atLeast"/>
        <w:ind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იურიდიული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45C60F58" w14:textId="77777777" w:rsidR="00C630A4" w:rsidRDefault="00C630A4" w:rsidP="00C630A4">
      <w:pPr>
        <w:shd w:val="clear" w:color="auto" w:fill="FFFFFF"/>
        <w:spacing w:after="315" w:line="345" w:lineRule="atLeast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55FF453B" w14:textId="77777777" w:rsidR="00C630A4" w:rsidRDefault="00C630A4" w:rsidP="00744378">
      <w:pPr>
        <w:shd w:val="clear" w:color="auto" w:fill="FFFFFF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55EAA48E" w14:textId="77777777" w:rsidR="00D12B36" w:rsidRPr="00042920" w:rsidRDefault="00D12B36" w:rsidP="00744378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sectPr w:rsidR="00D12B36" w:rsidRPr="00042920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F30A" w14:textId="77777777" w:rsidR="009B7407" w:rsidRDefault="009B7407" w:rsidP="00360AA4">
      <w:r>
        <w:separator/>
      </w:r>
    </w:p>
  </w:endnote>
  <w:endnote w:type="continuationSeparator" w:id="0">
    <w:p w14:paraId="642A33C2" w14:textId="77777777" w:rsidR="009B7407" w:rsidRDefault="009B7407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8D8C" w14:textId="77777777" w:rsidR="009B7407" w:rsidRDefault="009B7407" w:rsidP="00360AA4">
      <w:r>
        <w:separator/>
      </w:r>
    </w:p>
  </w:footnote>
  <w:footnote w:type="continuationSeparator" w:id="0">
    <w:p w14:paraId="71E42A0B" w14:textId="77777777" w:rsidR="009B7407" w:rsidRDefault="009B7407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D17DF"/>
    <w:multiLevelType w:val="hybridMultilevel"/>
    <w:tmpl w:val="3DA43606"/>
    <w:lvl w:ilvl="0" w:tplc="C2AAA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73D3B"/>
    <w:multiLevelType w:val="hybridMultilevel"/>
    <w:tmpl w:val="C546B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 w16cid:durableId="298263854">
    <w:abstractNumId w:val="15"/>
  </w:num>
  <w:num w:numId="2" w16cid:durableId="1581525109">
    <w:abstractNumId w:val="33"/>
  </w:num>
  <w:num w:numId="3" w16cid:durableId="1129710629">
    <w:abstractNumId w:val="21"/>
  </w:num>
  <w:num w:numId="4" w16cid:durableId="745109870">
    <w:abstractNumId w:val="26"/>
  </w:num>
  <w:num w:numId="5" w16cid:durableId="1255700545">
    <w:abstractNumId w:val="16"/>
  </w:num>
  <w:num w:numId="6" w16cid:durableId="526480282">
    <w:abstractNumId w:val="18"/>
  </w:num>
  <w:num w:numId="7" w16cid:durableId="1270115659">
    <w:abstractNumId w:val="9"/>
  </w:num>
  <w:num w:numId="8" w16cid:durableId="1944529811">
    <w:abstractNumId w:val="19"/>
  </w:num>
  <w:num w:numId="9" w16cid:durableId="18358739">
    <w:abstractNumId w:val="23"/>
  </w:num>
  <w:num w:numId="10" w16cid:durableId="537547278">
    <w:abstractNumId w:val="2"/>
  </w:num>
  <w:num w:numId="11" w16cid:durableId="242952227">
    <w:abstractNumId w:val="34"/>
  </w:num>
  <w:num w:numId="12" w16cid:durableId="1172990611">
    <w:abstractNumId w:val="1"/>
  </w:num>
  <w:num w:numId="13" w16cid:durableId="342825960">
    <w:abstractNumId w:val="30"/>
  </w:num>
  <w:num w:numId="14" w16cid:durableId="974943693">
    <w:abstractNumId w:val="12"/>
  </w:num>
  <w:num w:numId="15" w16cid:durableId="1667896011">
    <w:abstractNumId w:val="6"/>
  </w:num>
  <w:num w:numId="16" w16cid:durableId="1306936085">
    <w:abstractNumId w:val="29"/>
  </w:num>
  <w:num w:numId="17" w16cid:durableId="10636785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621877">
    <w:abstractNumId w:val="4"/>
  </w:num>
  <w:num w:numId="19" w16cid:durableId="775052569">
    <w:abstractNumId w:val="28"/>
  </w:num>
  <w:num w:numId="20" w16cid:durableId="2020157093">
    <w:abstractNumId w:val="22"/>
  </w:num>
  <w:num w:numId="21" w16cid:durableId="1750882202">
    <w:abstractNumId w:val="0"/>
  </w:num>
  <w:num w:numId="22" w16cid:durableId="838036958">
    <w:abstractNumId w:val="17"/>
  </w:num>
  <w:num w:numId="23" w16cid:durableId="8002695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3376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351181">
    <w:abstractNumId w:val="20"/>
  </w:num>
  <w:num w:numId="26" w16cid:durableId="1866400974">
    <w:abstractNumId w:val="11"/>
  </w:num>
  <w:num w:numId="27" w16cid:durableId="1430389924">
    <w:abstractNumId w:val="3"/>
  </w:num>
  <w:num w:numId="28" w16cid:durableId="1159661681">
    <w:abstractNumId w:val="13"/>
  </w:num>
  <w:num w:numId="29" w16cid:durableId="7234555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459273">
    <w:abstractNumId w:val="31"/>
  </w:num>
  <w:num w:numId="31" w16cid:durableId="49111058">
    <w:abstractNumId w:val="10"/>
  </w:num>
  <w:num w:numId="32" w16cid:durableId="14334286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3204120">
    <w:abstractNumId w:val="5"/>
  </w:num>
  <w:num w:numId="34" w16cid:durableId="1140802039">
    <w:abstractNumId w:val="8"/>
  </w:num>
  <w:num w:numId="35" w16cid:durableId="1655648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4C4F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0D51"/>
    <w:rsid w:val="0008292F"/>
    <w:rsid w:val="000829EE"/>
    <w:rsid w:val="000835CC"/>
    <w:rsid w:val="00083A01"/>
    <w:rsid w:val="00085A35"/>
    <w:rsid w:val="00087648"/>
    <w:rsid w:val="000908C3"/>
    <w:rsid w:val="00090AF0"/>
    <w:rsid w:val="00090CC3"/>
    <w:rsid w:val="00092277"/>
    <w:rsid w:val="000925E7"/>
    <w:rsid w:val="00092610"/>
    <w:rsid w:val="00092967"/>
    <w:rsid w:val="00094F3F"/>
    <w:rsid w:val="00096EB2"/>
    <w:rsid w:val="00097D45"/>
    <w:rsid w:val="000A0711"/>
    <w:rsid w:val="000A1AFA"/>
    <w:rsid w:val="000A2745"/>
    <w:rsid w:val="000A2942"/>
    <w:rsid w:val="000A35C9"/>
    <w:rsid w:val="000A386F"/>
    <w:rsid w:val="000B0629"/>
    <w:rsid w:val="000B4799"/>
    <w:rsid w:val="000B71DF"/>
    <w:rsid w:val="000C305B"/>
    <w:rsid w:val="000C35C2"/>
    <w:rsid w:val="000C3BBF"/>
    <w:rsid w:val="000C3D97"/>
    <w:rsid w:val="000C56D5"/>
    <w:rsid w:val="000C5BD7"/>
    <w:rsid w:val="000C5F18"/>
    <w:rsid w:val="000C7064"/>
    <w:rsid w:val="000D1C75"/>
    <w:rsid w:val="000D242B"/>
    <w:rsid w:val="000D334E"/>
    <w:rsid w:val="000D37D7"/>
    <w:rsid w:val="000D6621"/>
    <w:rsid w:val="000E2066"/>
    <w:rsid w:val="000E3B95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418B"/>
    <w:rsid w:val="001253D3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009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089F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1ADC"/>
    <w:rsid w:val="001F3344"/>
    <w:rsid w:val="001F6EAA"/>
    <w:rsid w:val="001F7525"/>
    <w:rsid w:val="001F77C6"/>
    <w:rsid w:val="002012DB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862F1"/>
    <w:rsid w:val="00291F7F"/>
    <w:rsid w:val="00292B4E"/>
    <w:rsid w:val="00292D11"/>
    <w:rsid w:val="002937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215A"/>
    <w:rsid w:val="002B33C1"/>
    <w:rsid w:val="002B3643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1BD0"/>
    <w:rsid w:val="002D42EB"/>
    <w:rsid w:val="002D4C15"/>
    <w:rsid w:val="002D5450"/>
    <w:rsid w:val="002D637E"/>
    <w:rsid w:val="002D76EE"/>
    <w:rsid w:val="002D7B2C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58EA"/>
    <w:rsid w:val="003075EA"/>
    <w:rsid w:val="00307C22"/>
    <w:rsid w:val="003103CE"/>
    <w:rsid w:val="00313DB2"/>
    <w:rsid w:val="003146CF"/>
    <w:rsid w:val="00315780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3319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5D5F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BFF"/>
    <w:rsid w:val="00407FFA"/>
    <w:rsid w:val="00410BD1"/>
    <w:rsid w:val="00412D07"/>
    <w:rsid w:val="00417872"/>
    <w:rsid w:val="004258E5"/>
    <w:rsid w:val="00425B8E"/>
    <w:rsid w:val="00430161"/>
    <w:rsid w:val="00431071"/>
    <w:rsid w:val="00432669"/>
    <w:rsid w:val="00432E5E"/>
    <w:rsid w:val="004353CE"/>
    <w:rsid w:val="00437FBA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315"/>
    <w:rsid w:val="00464541"/>
    <w:rsid w:val="00466786"/>
    <w:rsid w:val="00466B60"/>
    <w:rsid w:val="00466F78"/>
    <w:rsid w:val="004676C0"/>
    <w:rsid w:val="00470F54"/>
    <w:rsid w:val="00472822"/>
    <w:rsid w:val="00474D02"/>
    <w:rsid w:val="00483151"/>
    <w:rsid w:val="00486ACF"/>
    <w:rsid w:val="004951A9"/>
    <w:rsid w:val="00495482"/>
    <w:rsid w:val="00495C94"/>
    <w:rsid w:val="004A34C7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0CB2"/>
    <w:rsid w:val="004D399B"/>
    <w:rsid w:val="004D434A"/>
    <w:rsid w:val="004D4442"/>
    <w:rsid w:val="004D4D81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1951"/>
    <w:rsid w:val="00512923"/>
    <w:rsid w:val="0051361C"/>
    <w:rsid w:val="00513A0E"/>
    <w:rsid w:val="0051411B"/>
    <w:rsid w:val="00514448"/>
    <w:rsid w:val="00514779"/>
    <w:rsid w:val="00514A20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08DE"/>
    <w:rsid w:val="00542D6D"/>
    <w:rsid w:val="0054790E"/>
    <w:rsid w:val="00547C34"/>
    <w:rsid w:val="00547FFA"/>
    <w:rsid w:val="005500FE"/>
    <w:rsid w:val="005510BA"/>
    <w:rsid w:val="00552CEE"/>
    <w:rsid w:val="00562587"/>
    <w:rsid w:val="0056304C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0BC"/>
    <w:rsid w:val="00591761"/>
    <w:rsid w:val="005919C3"/>
    <w:rsid w:val="00595AC8"/>
    <w:rsid w:val="005A34B4"/>
    <w:rsid w:val="005B2696"/>
    <w:rsid w:val="005B31E6"/>
    <w:rsid w:val="005B3D27"/>
    <w:rsid w:val="005B3D7B"/>
    <w:rsid w:val="005B48B5"/>
    <w:rsid w:val="005B70A4"/>
    <w:rsid w:val="005C0599"/>
    <w:rsid w:val="005C0AE0"/>
    <w:rsid w:val="005C1882"/>
    <w:rsid w:val="005C66CC"/>
    <w:rsid w:val="005C7BC2"/>
    <w:rsid w:val="005D2C3C"/>
    <w:rsid w:val="005D2F31"/>
    <w:rsid w:val="005D37AC"/>
    <w:rsid w:val="005D4095"/>
    <w:rsid w:val="005D69BC"/>
    <w:rsid w:val="005E06F3"/>
    <w:rsid w:val="005E1269"/>
    <w:rsid w:val="005E13BB"/>
    <w:rsid w:val="005E297E"/>
    <w:rsid w:val="005E3438"/>
    <w:rsid w:val="005E5ADF"/>
    <w:rsid w:val="005F0F19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2945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1CD1"/>
    <w:rsid w:val="00647C3B"/>
    <w:rsid w:val="00652819"/>
    <w:rsid w:val="006573C1"/>
    <w:rsid w:val="006574A4"/>
    <w:rsid w:val="006639EB"/>
    <w:rsid w:val="00663D28"/>
    <w:rsid w:val="0066459F"/>
    <w:rsid w:val="00667622"/>
    <w:rsid w:val="0067022F"/>
    <w:rsid w:val="00670280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040"/>
    <w:rsid w:val="006A47F4"/>
    <w:rsid w:val="006A48BD"/>
    <w:rsid w:val="006A4E23"/>
    <w:rsid w:val="006A59F6"/>
    <w:rsid w:val="006A781E"/>
    <w:rsid w:val="006B0217"/>
    <w:rsid w:val="006B071E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4F6C"/>
    <w:rsid w:val="006C7EB3"/>
    <w:rsid w:val="006D1610"/>
    <w:rsid w:val="006D2B7A"/>
    <w:rsid w:val="006D339F"/>
    <w:rsid w:val="006D3831"/>
    <w:rsid w:val="006D525F"/>
    <w:rsid w:val="006D5663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378"/>
    <w:rsid w:val="00744A6A"/>
    <w:rsid w:val="00746552"/>
    <w:rsid w:val="00746A61"/>
    <w:rsid w:val="007511AD"/>
    <w:rsid w:val="007512CA"/>
    <w:rsid w:val="00752593"/>
    <w:rsid w:val="007526AE"/>
    <w:rsid w:val="00752EFF"/>
    <w:rsid w:val="00753338"/>
    <w:rsid w:val="00756441"/>
    <w:rsid w:val="00756D61"/>
    <w:rsid w:val="0076123B"/>
    <w:rsid w:val="0076183A"/>
    <w:rsid w:val="0076265B"/>
    <w:rsid w:val="00762998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47C7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A6B99"/>
    <w:rsid w:val="007B06DE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D7497"/>
    <w:rsid w:val="007E0DE0"/>
    <w:rsid w:val="007E3688"/>
    <w:rsid w:val="007E4110"/>
    <w:rsid w:val="007E6E79"/>
    <w:rsid w:val="007F06F0"/>
    <w:rsid w:val="007F0DF4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26F6"/>
    <w:rsid w:val="0081366D"/>
    <w:rsid w:val="00814EC7"/>
    <w:rsid w:val="008158A0"/>
    <w:rsid w:val="00815996"/>
    <w:rsid w:val="008162FE"/>
    <w:rsid w:val="008177B0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3C85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26E8"/>
    <w:rsid w:val="008C293C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900"/>
    <w:rsid w:val="00931A95"/>
    <w:rsid w:val="00932FDC"/>
    <w:rsid w:val="009331B8"/>
    <w:rsid w:val="009347F4"/>
    <w:rsid w:val="0093521D"/>
    <w:rsid w:val="00936264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12E8"/>
    <w:rsid w:val="0096237F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B7407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01C1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360E"/>
    <w:rsid w:val="00A645F4"/>
    <w:rsid w:val="00A65EB9"/>
    <w:rsid w:val="00A65F0A"/>
    <w:rsid w:val="00A71277"/>
    <w:rsid w:val="00A714FA"/>
    <w:rsid w:val="00A72FE2"/>
    <w:rsid w:val="00A76BEA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29E4"/>
    <w:rsid w:val="00AA3999"/>
    <w:rsid w:val="00AA4E15"/>
    <w:rsid w:val="00AA5840"/>
    <w:rsid w:val="00AA6441"/>
    <w:rsid w:val="00AA735B"/>
    <w:rsid w:val="00AB4596"/>
    <w:rsid w:val="00AB489C"/>
    <w:rsid w:val="00AB67FC"/>
    <w:rsid w:val="00AB6AD6"/>
    <w:rsid w:val="00AB736F"/>
    <w:rsid w:val="00AB7B6E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1AE2"/>
    <w:rsid w:val="00AE2312"/>
    <w:rsid w:val="00AE35E5"/>
    <w:rsid w:val="00AE6C54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4051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03E"/>
    <w:rsid w:val="00BC2AFF"/>
    <w:rsid w:val="00BC2FC6"/>
    <w:rsid w:val="00BC33FC"/>
    <w:rsid w:val="00BC4DEA"/>
    <w:rsid w:val="00BD1339"/>
    <w:rsid w:val="00BD2AEE"/>
    <w:rsid w:val="00BD36C6"/>
    <w:rsid w:val="00BD49A1"/>
    <w:rsid w:val="00BD71D1"/>
    <w:rsid w:val="00BD779F"/>
    <w:rsid w:val="00BE295E"/>
    <w:rsid w:val="00BE438B"/>
    <w:rsid w:val="00BE47D8"/>
    <w:rsid w:val="00BE5D31"/>
    <w:rsid w:val="00BE6593"/>
    <w:rsid w:val="00BE7E04"/>
    <w:rsid w:val="00BF4F1B"/>
    <w:rsid w:val="00BF5124"/>
    <w:rsid w:val="00BF6471"/>
    <w:rsid w:val="00BF783B"/>
    <w:rsid w:val="00C005EE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4240"/>
    <w:rsid w:val="00C25C73"/>
    <w:rsid w:val="00C26EE8"/>
    <w:rsid w:val="00C32891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3AE"/>
    <w:rsid w:val="00C45BD9"/>
    <w:rsid w:val="00C47207"/>
    <w:rsid w:val="00C53E6B"/>
    <w:rsid w:val="00C567E0"/>
    <w:rsid w:val="00C56EFD"/>
    <w:rsid w:val="00C572F0"/>
    <w:rsid w:val="00C618A3"/>
    <w:rsid w:val="00C630A4"/>
    <w:rsid w:val="00C6578C"/>
    <w:rsid w:val="00C678A7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779A"/>
    <w:rsid w:val="00CE4556"/>
    <w:rsid w:val="00CE4735"/>
    <w:rsid w:val="00CE538D"/>
    <w:rsid w:val="00CE5393"/>
    <w:rsid w:val="00CE601B"/>
    <w:rsid w:val="00CF120B"/>
    <w:rsid w:val="00CF1CC2"/>
    <w:rsid w:val="00CF4B26"/>
    <w:rsid w:val="00CF6987"/>
    <w:rsid w:val="00CF6FC1"/>
    <w:rsid w:val="00D00B9B"/>
    <w:rsid w:val="00D03033"/>
    <w:rsid w:val="00D04801"/>
    <w:rsid w:val="00D0715D"/>
    <w:rsid w:val="00D0770A"/>
    <w:rsid w:val="00D10ED4"/>
    <w:rsid w:val="00D11C3E"/>
    <w:rsid w:val="00D12B36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4DD7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765FF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0358"/>
    <w:rsid w:val="00DA1A38"/>
    <w:rsid w:val="00DA1ADF"/>
    <w:rsid w:val="00DA2F67"/>
    <w:rsid w:val="00DA5865"/>
    <w:rsid w:val="00DA648E"/>
    <w:rsid w:val="00DA69D7"/>
    <w:rsid w:val="00DA6C8E"/>
    <w:rsid w:val="00DA738B"/>
    <w:rsid w:val="00DA77B3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0A10"/>
    <w:rsid w:val="00E21651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684"/>
    <w:rsid w:val="00E52B97"/>
    <w:rsid w:val="00E53103"/>
    <w:rsid w:val="00E552A0"/>
    <w:rsid w:val="00E562C0"/>
    <w:rsid w:val="00E56722"/>
    <w:rsid w:val="00E57243"/>
    <w:rsid w:val="00E60607"/>
    <w:rsid w:val="00E61FB5"/>
    <w:rsid w:val="00E653DC"/>
    <w:rsid w:val="00E70128"/>
    <w:rsid w:val="00E7340E"/>
    <w:rsid w:val="00E7435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C75"/>
    <w:rsid w:val="00EA6D5E"/>
    <w:rsid w:val="00EB0798"/>
    <w:rsid w:val="00EB2C36"/>
    <w:rsid w:val="00EB5C0E"/>
    <w:rsid w:val="00EB76ED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16940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1E45"/>
    <w:rsid w:val="00F6256B"/>
    <w:rsid w:val="00F62DAA"/>
    <w:rsid w:val="00F647B7"/>
    <w:rsid w:val="00F71210"/>
    <w:rsid w:val="00F729B2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49A"/>
    <w:rsid w:val="00FD3A12"/>
    <w:rsid w:val="00FD3EEE"/>
    <w:rsid w:val="00FD3F90"/>
    <w:rsid w:val="00FE1C1D"/>
    <w:rsid w:val="00FE2DE6"/>
    <w:rsid w:val="00FE32C6"/>
    <w:rsid w:val="00FE3E94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uiPriority w:val="99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745-0E7A-4B51-AF28-411C86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1009</Words>
  <Characters>7985</Characters>
  <Application>Microsoft Office Word</Application>
  <DocSecurity>0</DocSecurity>
  <Lines>152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8986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5</cp:revision>
  <cp:lastPrinted>2019-03-04T09:13:00Z</cp:lastPrinted>
  <dcterms:created xsi:type="dcterms:W3CDTF">2026-03-04T11:52:00Z</dcterms:created>
  <dcterms:modified xsi:type="dcterms:W3CDTF">2026-03-04T11:54:00Z</dcterms:modified>
</cp:coreProperties>
</file>