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0C030" w14:textId="7C6B460D" w:rsidR="00CD0511" w:rsidRPr="00C160B0" w:rsidRDefault="00CD0511" w:rsidP="00500B2F">
      <w:pPr>
        <w:spacing w:after="200"/>
        <w:jc w:val="both"/>
      </w:pPr>
    </w:p>
    <w:sdt>
      <w:sdtPr>
        <w:id w:val="-1468813821"/>
        <w:docPartObj>
          <w:docPartGallery w:val="Cover Pages"/>
        </w:docPartObj>
      </w:sdtPr>
      <w:sdtContent>
        <w:p w14:paraId="3DCAA342" w14:textId="77777777" w:rsidR="00C23160" w:rsidRPr="008C14A2" w:rsidRDefault="00EC5C2F" w:rsidP="00500B2F">
          <w:pPr>
            <w:spacing w:after="200"/>
            <w:jc w:val="both"/>
          </w:pPr>
          <w:r w:rsidRPr="002A0656">
            <w:rPr>
              <w:noProof/>
              <w:lang w:eastAsia="it-IT"/>
            </w:rPr>
            <mc:AlternateContent>
              <mc:Choice Requires="wps">
                <w:drawing>
                  <wp:anchor distT="0" distB="0" distL="114300" distR="114300" simplePos="0" relativeHeight="251658242" behindDoc="0" locked="0" layoutInCell="1" allowOverlap="1" wp14:anchorId="3BB73D2B" wp14:editId="7FB26745">
                    <wp:simplePos x="0" y="0"/>
                    <wp:positionH relativeFrom="margin">
                      <wp:posOffset>-63500</wp:posOffset>
                    </wp:positionH>
                    <wp:positionV relativeFrom="paragraph">
                      <wp:posOffset>-133350</wp:posOffset>
                    </wp:positionV>
                    <wp:extent cx="6051550" cy="50927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51550" cy="5092700"/>
                            </a:xfrm>
                            <a:prstGeom prst="rect">
                              <a:avLst/>
                            </a:prstGeom>
                            <a:noFill/>
                            <a:ln w="6350">
                              <a:noFill/>
                            </a:ln>
                          </wps:spPr>
                          <wps:txbx>
                            <w:txbxContent>
                              <w:p w14:paraId="73806CD3" w14:textId="504B92DF" w:rsidR="00915EC0" w:rsidRPr="00CB371D" w:rsidRDefault="00915EC0" w:rsidP="001D1B45">
                                <w:pPr>
                                  <w:pStyle w:val="Title"/>
                                </w:pPr>
                                <w:r>
                                  <w:t xml:space="preserve">The WACC for </w:t>
                                </w:r>
                                <w:r w:rsidR="00552B38">
                                  <w:t xml:space="preserve">Regulated Telecoms Services </w:t>
                                </w:r>
                                <w:r w:rsidR="00331F10">
                                  <w:t>in Georgia</w:t>
                                </w:r>
                              </w:p>
                              <w:p w14:paraId="20DBDED4" w14:textId="0CE65D12" w:rsidR="00915EC0" w:rsidRPr="00CB371D" w:rsidRDefault="00915EC0" w:rsidP="00342361">
                                <w:pPr>
                                  <w:pStyle w:val="Subtitle"/>
                                </w:pPr>
                              </w:p>
                              <w:p w14:paraId="2E002E61" w14:textId="77777777" w:rsidR="00915EC0" w:rsidRPr="00CB371D" w:rsidRDefault="00915EC0" w:rsidP="009606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76"/>
                                  <w:gridCol w:w="4276"/>
                                </w:tblGrid>
                                <w:tr w:rsidR="00915EC0" w:rsidRPr="00CB371D" w14:paraId="7AF71BF7" w14:textId="77777777" w:rsidTr="00FB46B9">
                                  <w:tc>
                                    <w:tcPr>
                                      <w:tcW w:w="4276" w:type="dxa"/>
                                    </w:tcPr>
                                    <w:p w14:paraId="57FFFE07" w14:textId="77777777" w:rsidR="00915EC0" w:rsidRPr="00574800" w:rsidRDefault="00915EC0" w:rsidP="00181D3C">
                                      <w:pPr>
                                        <w:rPr>
                                          <w:rFonts w:ascii="Calibri" w:eastAsia="MS Gothic" w:hAnsi="Calibri"/>
                                          <w:b/>
                                          <w:caps/>
                                          <w:color w:val="98DFEA" w:themeColor="accent2" w:themeTint="66"/>
                                          <w:spacing w:val="6"/>
                                        </w:rPr>
                                      </w:pPr>
                                      <w:r w:rsidRPr="00574800">
                                        <w:rPr>
                                          <w:rFonts w:ascii="Calibri" w:eastAsia="MS Gothic" w:hAnsi="Calibri"/>
                                          <w:b/>
                                          <w:caps/>
                                          <w:color w:val="98DFEA" w:themeColor="accent2" w:themeTint="66"/>
                                          <w:spacing w:val="6"/>
                                        </w:rPr>
                                        <w:t>Prepared By</w:t>
                                      </w:r>
                                    </w:p>
                                    <w:p w14:paraId="12C134A1" w14:textId="77777777" w:rsidR="00915EC0" w:rsidRPr="001A4D4D" w:rsidRDefault="00915EC0" w:rsidP="00C23310">
                                      <w:pPr>
                                        <w:pStyle w:val="CompanyAuthorName"/>
                                        <w:rPr>
                                          <w:color w:val="FFFFFF" w:themeColor="background1"/>
                                        </w:rPr>
                                      </w:pPr>
                                      <w:r w:rsidRPr="001A4D4D">
                                        <w:rPr>
                                          <w:color w:val="FFFFFF" w:themeColor="background1"/>
                                        </w:rPr>
                                        <w:t>Dan Harris</w:t>
                                      </w:r>
                                    </w:p>
                                    <w:p w14:paraId="190CAF0D" w14:textId="77777777" w:rsidR="00915EC0" w:rsidRPr="001A4D4D" w:rsidRDefault="00915EC0" w:rsidP="00CB371D">
                                      <w:pPr>
                                        <w:pStyle w:val="CompanyAuthorName"/>
                                        <w:rPr>
                                          <w:color w:val="FFFFFF" w:themeColor="background1"/>
                                        </w:rPr>
                                      </w:pPr>
                                      <w:r w:rsidRPr="001A4D4D">
                                        <w:rPr>
                                          <w:color w:val="FFFFFF" w:themeColor="background1"/>
                                        </w:rPr>
                                        <w:t>Lucrezio Figurelli</w:t>
                                      </w:r>
                                    </w:p>
                                    <w:p w14:paraId="6F41834B" w14:textId="49D77521" w:rsidR="00915EC0" w:rsidRPr="004969F0" w:rsidRDefault="00426C90" w:rsidP="00F44841">
                                      <w:pPr>
                                        <w:pStyle w:val="CoverDate"/>
                                      </w:pPr>
                                      <w:r>
                                        <w:t>1</w:t>
                                      </w:r>
                                      <w:r w:rsidR="007B1FB8">
                                        <w:t>9</w:t>
                                      </w:r>
                                      <w:r w:rsidR="00915EC0" w:rsidRPr="00F44841">
                                        <w:t xml:space="preserve"> </w:t>
                                      </w:r>
                                      <w:r w:rsidR="007F093A">
                                        <w:t>January</w:t>
                                      </w:r>
                                      <w:r w:rsidR="00915EC0" w:rsidRPr="00F44841">
                                        <w:t xml:space="preserve"> 202</w:t>
                                      </w:r>
                                      <w:r w:rsidR="007F093A">
                                        <w:t>6</w:t>
                                      </w:r>
                                    </w:p>
                                  </w:tc>
                                  <w:tc>
                                    <w:tcPr>
                                      <w:tcW w:w="4276" w:type="dxa"/>
                                    </w:tcPr>
                                    <w:p w14:paraId="3F56C371" w14:textId="77777777" w:rsidR="00915EC0" w:rsidRPr="00574800" w:rsidRDefault="00915EC0" w:rsidP="00181D3C">
                                      <w:pPr>
                                        <w:rPr>
                                          <w:rFonts w:ascii="Calibri" w:eastAsia="MS Gothic" w:hAnsi="Calibri"/>
                                          <w:b/>
                                          <w:caps/>
                                          <w:color w:val="98DFEA" w:themeColor="accent2" w:themeTint="66"/>
                                          <w:spacing w:val="6"/>
                                        </w:rPr>
                                      </w:pPr>
                                      <w:r w:rsidRPr="00574800">
                                        <w:rPr>
                                          <w:rFonts w:ascii="Calibri" w:eastAsia="MS Gothic" w:hAnsi="Calibri"/>
                                          <w:b/>
                                          <w:caps/>
                                          <w:color w:val="98DFEA" w:themeColor="accent2" w:themeTint="66"/>
                                          <w:spacing w:val="6"/>
                                        </w:rPr>
                                        <w:t>Prepared For</w:t>
                                      </w:r>
                                    </w:p>
                                    <w:p w14:paraId="0ECFF5EA" w14:textId="721D67BE" w:rsidR="00331F10" w:rsidRPr="001A4D4D" w:rsidRDefault="00331F10" w:rsidP="00FB46B9">
                                      <w:pPr>
                                        <w:pStyle w:val="CompanyAuthorName"/>
                                        <w:rPr>
                                          <w:color w:val="FFFFFF" w:themeColor="background1"/>
                                        </w:rPr>
                                      </w:pPr>
                                      <w:r w:rsidRPr="001A4D4D">
                                        <w:rPr>
                                          <w:color w:val="FFFFFF" w:themeColor="background1"/>
                                        </w:rPr>
                                        <w:t>Georgian National Communications Commission (ComCom)</w:t>
                                      </w:r>
                                    </w:p>
                                    <w:p w14:paraId="24375CFD" w14:textId="77777777" w:rsidR="00915EC0" w:rsidRPr="00CB371D" w:rsidRDefault="00915EC0" w:rsidP="00342361"/>
                                  </w:tc>
                                </w:tr>
                              </w:tbl>
                              <w:p w14:paraId="74F8CC90" w14:textId="153DD995" w:rsidR="00915EC0" w:rsidRPr="00CB371D" w:rsidRDefault="00915EC0" w:rsidP="00F44841">
                                <w:pPr>
                                  <w:pStyle w:val="CoverDat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73D2B" id="_x0000_t202" coordsize="21600,21600" o:spt="202" path="m,l,21600r21600,l21600,xe">
                    <v:stroke joinstyle="miter"/>
                    <v:path gradientshapeok="t" o:connecttype="rect"/>
                  </v:shapetype>
                  <v:shape id="Text Box 12" o:spid="_x0000_s1026" type="#_x0000_t202" style="position:absolute;left:0;text-align:left;margin-left:-5pt;margin-top:-10.5pt;width:476.5pt;height:401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" filled="f" stroked="f" strokeweight=".5pt">
                    <v:textbox>
                      <w:txbxContent>
                        <w:p w14:paraId="73806CD3" w14:textId="504B92DF" w:rsidR="00915EC0" w:rsidRPr="00CB371D" w:rsidRDefault="00915EC0" w:rsidP="001D1B45">
                          <w:pPr>
                            <w:pStyle w:val="Title"/>
                          </w:pPr>
                          <w:r>
                            <w:t xml:space="preserve">The WACC for </w:t>
                          </w:r>
                          <w:r w:rsidR="00552B38">
                            <w:t xml:space="preserve">Regulated Telecoms Services </w:t>
                          </w:r>
                          <w:r w:rsidR="00331F10">
                            <w:t>in Georgia</w:t>
                          </w:r>
                        </w:p>
                        <w:p w14:paraId="20DBDED4" w14:textId="0CE65D12" w:rsidR="00915EC0" w:rsidRPr="00CB371D" w:rsidRDefault="00915EC0" w:rsidP="00342361">
                          <w:pPr>
                            <w:pStyle w:val="Subtitle"/>
                          </w:pPr>
                        </w:p>
                        <w:p w14:paraId="2E002E61" w14:textId="77777777" w:rsidR="00915EC0" w:rsidRPr="00CB371D" w:rsidRDefault="00915EC0" w:rsidP="009606D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76"/>
                            <w:gridCol w:w="4276"/>
                          </w:tblGrid>
                          <w:tr w:rsidR="00915EC0" w:rsidRPr="00CB371D" w14:paraId="7AF71BF7" w14:textId="77777777" w:rsidTr="00FB46B9">
                            <w:tc>
                              <w:tcPr>
                                <w:tcW w:w="4276" w:type="dxa"/>
                              </w:tcPr>
                              <w:p w14:paraId="57FFFE07" w14:textId="77777777" w:rsidR="00915EC0" w:rsidRPr="00574800" w:rsidRDefault="00915EC0" w:rsidP="00181D3C">
                                <w:pPr>
                                  <w:rPr>
                                    <w:rFonts w:ascii="Calibri" w:eastAsia="MS Gothic" w:hAnsi="Calibri"/>
                                    <w:b/>
                                    <w:caps/>
                                    <w:color w:val="98DFEA" w:themeColor="accent2" w:themeTint="66"/>
                                    <w:spacing w:val="6"/>
                                  </w:rPr>
                                </w:pPr>
                                <w:r w:rsidRPr="00574800">
                                  <w:rPr>
                                    <w:rFonts w:ascii="Calibri" w:eastAsia="MS Gothic" w:hAnsi="Calibri"/>
                                    <w:b/>
                                    <w:caps/>
                                    <w:color w:val="98DFEA" w:themeColor="accent2" w:themeTint="66"/>
                                    <w:spacing w:val="6"/>
                                  </w:rPr>
                                  <w:t>Prepared By</w:t>
                                </w:r>
                              </w:p>
                              <w:p w14:paraId="12C134A1" w14:textId="77777777" w:rsidR="00915EC0" w:rsidRPr="001A4D4D" w:rsidRDefault="00915EC0" w:rsidP="00C23310">
                                <w:pPr>
                                  <w:pStyle w:val="CompanyAuthorName"/>
                                  <w:rPr>
                                    <w:color w:val="FFFFFF" w:themeColor="background1"/>
                                  </w:rPr>
                                </w:pPr>
                                <w:r w:rsidRPr="001A4D4D">
                                  <w:rPr>
                                    <w:color w:val="FFFFFF" w:themeColor="background1"/>
                                  </w:rPr>
                                  <w:t>Dan Harris</w:t>
                                </w:r>
                              </w:p>
                              <w:p w14:paraId="190CAF0D" w14:textId="77777777" w:rsidR="00915EC0" w:rsidRPr="001A4D4D" w:rsidRDefault="00915EC0" w:rsidP="00CB371D">
                                <w:pPr>
                                  <w:pStyle w:val="CompanyAuthorName"/>
                                  <w:rPr>
                                    <w:color w:val="FFFFFF" w:themeColor="background1"/>
                                  </w:rPr>
                                </w:pPr>
                                <w:r w:rsidRPr="001A4D4D">
                                  <w:rPr>
                                    <w:color w:val="FFFFFF" w:themeColor="background1"/>
                                  </w:rPr>
                                  <w:t>Lucrezio Figurelli</w:t>
                                </w:r>
                              </w:p>
                              <w:p w14:paraId="6F41834B" w14:textId="49D77521" w:rsidR="00915EC0" w:rsidRPr="004969F0" w:rsidRDefault="00426C90" w:rsidP="00F44841">
                                <w:pPr>
                                  <w:pStyle w:val="CoverDate"/>
                                </w:pPr>
                                <w:r>
                                  <w:t>1</w:t>
                                </w:r>
                                <w:r w:rsidR="007B1FB8">
                                  <w:t>9</w:t>
                                </w:r>
                                <w:r w:rsidR="00915EC0" w:rsidRPr="00F44841">
                                  <w:t xml:space="preserve"> </w:t>
                                </w:r>
                                <w:r w:rsidR="007F093A">
                                  <w:t>January</w:t>
                                </w:r>
                                <w:r w:rsidR="00915EC0" w:rsidRPr="00F44841">
                                  <w:t xml:space="preserve"> 202</w:t>
                                </w:r>
                                <w:r w:rsidR="007F093A">
                                  <w:t>6</w:t>
                                </w:r>
                              </w:p>
                            </w:tc>
                            <w:tc>
                              <w:tcPr>
                                <w:tcW w:w="4276" w:type="dxa"/>
                              </w:tcPr>
                              <w:p w14:paraId="3F56C371" w14:textId="77777777" w:rsidR="00915EC0" w:rsidRPr="00574800" w:rsidRDefault="00915EC0" w:rsidP="00181D3C">
                                <w:pPr>
                                  <w:rPr>
                                    <w:rFonts w:ascii="Calibri" w:eastAsia="MS Gothic" w:hAnsi="Calibri"/>
                                    <w:b/>
                                    <w:caps/>
                                    <w:color w:val="98DFEA" w:themeColor="accent2" w:themeTint="66"/>
                                    <w:spacing w:val="6"/>
                                  </w:rPr>
                                </w:pPr>
                                <w:r w:rsidRPr="00574800">
                                  <w:rPr>
                                    <w:rFonts w:ascii="Calibri" w:eastAsia="MS Gothic" w:hAnsi="Calibri"/>
                                    <w:b/>
                                    <w:caps/>
                                    <w:color w:val="98DFEA" w:themeColor="accent2" w:themeTint="66"/>
                                    <w:spacing w:val="6"/>
                                  </w:rPr>
                                  <w:t>Prepared For</w:t>
                                </w:r>
                              </w:p>
                              <w:p w14:paraId="0ECFF5EA" w14:textId="721D67BE" w:rsidR="00331F10" w:rsidRPr="001A4D4D" w:rsidRDefault="00331F10" w:rsidP="00FB46B9">
                                <w:pPr>
                                  <w:pStyle w:val="CompanyAuthorName"/>
                                  <w:rPr>
                                    <w:color w:val="FFFFFF" w:themeColor="background1"/>
                                  </w:rPr>
                                </w:pPr>
                                <w:r w:rsidRPr="001A4D4D">
                                  <w:rPr>
                                    <w:color w:val="FFFFFF" w:themeColor="background1"/>
                                  </w:rPr>
                                  <w:t>Georgian National Communications Commission (ComCom)</w:t>
                                </w:r>
                              </w:p>
                              <w:p w14:paraId="24375CFD" w14:textId="77777777" w:rsidR="00915EC0" w:rsidRPr="00CB371D" w:rsidRDefault="00915EC0" w:rsidP="00342361"/>
                            </w:tc>
                          </w:tr>
                        </w:tbl>
                        <w:p w14:paraId="74F8CC90" w14:textId="153DD995" w:rsidR="00915EC0" w:rsidRPr="00CB371D" w:rsidRDefault="00915EC0" w:rsidP="00F44841">
                          <w:pPr>
                            <w:pStyle w:val="CoverDate"/>
                          </w:pPr>
                        </w:p>
                      </w:txbxContent>
                    </v:textbox>
                    <w10:wrap anchorx="margin"/>
                  </v:shape>
                </w:pict>
              </mc:Fallback>
            </mc:AlternateContent>
          </w:r>
          <w:r w:rsidR="00C23160" w:rsidRPr="002A0656">
            <w:rPr>
              <w:noProof/>
              <w:lang w:eastAsia="it-IT"/>
            </w:rPr>
            <mc:AlternateContent>
              <mc:Choice Requires="wps">
                <w:drawing>
                  <wp:anchor distT="0" distB="0" distL="114300" distR="114300" simplePos="0" relativeHeight="251658244" behindDoc="1" locked="0" layoutInCell="1" allowOverlap="1" wp14:anchorId="7A30BB4C" wp14:editId="3A8E4EEB">
                    <wp:simplePos x="0" y="0"/>
                    <wp:positionH relativeFrom="page">
                      <wp:posOffset>-90434</wp:posOffset>
                    </wp:positionH>
                    <wp:positionV relativeFrom="page">
                      <wp:posOffset>-90435</wp:posOffset>
                    </wp:positionV>
                    <wp:extent cx="7958294" cy="6191250"/>
                    <wp:effectExtent l="57150" t="57150" r="81280" b="76200"/>
                    <wp:wrapNone/>
                    <wp:docPr id="2" name="Right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958294" cy="6191250"/>
                            </a:xfrm>
                            <a:custGeom>
                              <a:avLst/>
                              <a:gdLst>
                                <a:gd name="connsiteX0" fmla="*/ 0 w 7790688"/>
                                <a:gd name="connsiteY0" fmla="*/ 10140696 h 10140696"/>
                                <a:gd name="connsiteX1" fmla="*/ 0 w 7790688"/>
                                <a:gd name="connsiteY1" fmla="*/ 0 h 10140696"/>
                                <a:gd name="connsiteX2" fmla="*/ 7790688 w 7790688"/>
                                <a:gd name="connsiteY2" fmla="*/ 10140696 h 10140696"/>
                                <a:gd name="connsiteX3" fmla="*/ 0 w 7790688"/>
                                <a:gd name="connsiteY3" fmla="*/ 10140696 h 10140696"/>
                                <a:gd name="connsiteX0" fmla="*/ 0 w 7790688"/>
                                <a:gd name="connsiteY0" fmla="*/ 10140696 h 10140696"/>
                                <a:gd name="connsiteX1" fmla="*/ 0 w 7790688"/>
                                <a:gd name="connsiteY1" fmla="*/ 0 h 10140696"/>
                                <a:gd name="connsiteX2" fmla="*/ 3995057 w 7790688"/>
                                <a:gd name="connsiteY2" fmla="*/ 5209086 h 10140696"/>
                                <a:gd name="connsiteX3" fmla="*/ 7790688 w 7790688"/>
                                <a:gd name="connsiteY3" fmla="*/ 10140696 h 10140696"/>
                                <a:gd name="connsiteX4" fmla="*/ 0 w 7790688"/>
                                <a:gd name="connsiteY4" fmla="*/ 10140696 h 10140696"/>
                                <a:gd name="connsiteX0" fmla="*/ 0 w 7794679"/>
                                <a:gd name="connsiteY0" fmla="*/ 10140696 h 10140696"/>
                                <a:gd name="connsiteX1" fmla="*/ 0 w 7794679"/>
                                <a:gd name="connsiteY1" fmla="*/ 0 h 10140696"/>
                                <a:gd name="connsiteX2" fmla="*/ 7794679 w 7794679"/>
                                <a:gd name="connsiteY2" fmla="*/ 4882503 h 10140696"/>
                                <a:gd name="connsiteX3" fmla="*/ 7790688 w 7794679"/>
                                <a:gd name="connsiteY3" fmla="*/ 10140696 h 10140696"/>
                                <a:gd name="connsiteX4" fmla="*/ 0 w 7794679"/>
                                <a:gd name="connsiteY4" fmla="*/ 10140696 h 10140696"/>
                                <a:gd name="connsiteX0" fmla="*/ 0 w 7794679"/>
                                <a:gd name="connsiteY0" fmla="*/ 7800179 h 7800179"/>
                                <a:gd name="connsiteX1" fmla="*/ 0 w 7794679"/>
                                <a:gd name="connsiteY1" fmla="*/ 0 h 7800179"/>
                                <a:gd name="connsiteX2" fmla="*/ 7794679 w 7794679"/>
                                <a:gd name="connsiteY2" fmla="*/ 2541986 h 7800179"/>
                                <a:gd name="connsiteX3" fmla="*/ 7790688 w 7794679"/>
                                <a:gd name="connsiteY3" fmla="*/ 7800179 h 7800179"/>
                                <a:gd name="connsiteX4" fmla="*/ 0 w 7794679"/>
                                <a:gd name="connsiteY4" fmla="*/ 7800179 h 7800179"/>
                                <a:gd name="connsiteX0" fmla="*/ 0 w 7794679"/>
                                <a:gd name="connsiteY0" fmla="*/ 7800179 h 7800179"/>
                                <a:gd name="connsiteX1" fmla="*/ 0 w 7794679"/>
                                <a:gd name="connsiteY1" fmla="*/ 0 h 7800179"/>
                                <a:gd name="connsiteX2" fmla="*/ 7794679 w 7794679"/>
                                <a:gd name="connsiteY2" fmla="*/ 3224254 h 7800179"/>
                                <a:gd name="connsiteX3" fmla="*/ 7790688 w 7794679"/>
                                <a:gd name="connsiteY3" fmla="*/ 7800179 h 7800179"/>
                                <a:gd name="connsiteX4" fmla="*/ 0 w 7794679"/>
                                <a:gd name="connsiteY4" fmla="*/ 7800179 h 7800179"/>
                                <a:gd name="connsiteX0" fmla="*/ 0 w 7794679"/>
                                <a:gd name="connsiteY0" fmla="*/ 7800179 h 7800179"/>
                                <a:gd name="connsiteX1" fmla="*/ 0 w 7794679"/>
                                <a:gd name="connsiteY1" fmla="*/ 0 h 7800179"/>
                                <a:gd name="connsiteX2" fmla="*/ 7794679 w 7794679"/>
                                <a:gd name="connsiteY2" fmla="*/ 3224254 h 7800179"/>
                                <a:gd name="connsiteX3" fmla="*/ 7790688 w 7794679"/>
                                <a:gd name="connsiteY3" fmla="*/ 7800179 h 7800179"/>
                                <a:gd name="connsiteX4" fmla="*/ 0 w 7794679"/>
                                <a:gd name="connsiteY4" fmla="*/ 7800179 h 7800179"/>
                                <a:gd name="connsiteX0" fmla="*/ 0 w 7794679"/>
                                <a:gd name="connsiteY0" fmla="*/ 7800179 h 7800179"/>
                                <a:gd name="connsiteX1" fmla="*/ 0 w 7794679"/>
                                <a:gd name="connsiteY1" fmla="*/ 0 h 7800179"/>
                                <a:gd name="connsiteX2" fmla="*/ 7794679 w 7794679"/>
                                <a:gd name="connsiteY2" fmla="*/ 3224254 h 7800179"/>
                                <a:gd name="connsiteX3" fmla="*/ 7790688 w 7794679"/>
                                <a:gd name="connsiteY3" fmla="*/ 7800179 h 7800179"/>
                                <a:gd name="connsiteX4" fmla="*/ 0 w 7794679"/>
                                <a:gd name="connsiteY4" fmla="*/ 7800179 h 78001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4679" h="7800179">
                                  <a:moveTo>
                                    <a:pt x="0" y="7800179"/>
                                  </a:moveTo>
                                  <a:lnTo>
                                    <a:pt x="0" y="0"/>
                                  </a:lnTo>
                                  <a:cubicBezTo>
                                    <a:pt x="38674" y="10498"/>
                                    <a:pt x="7797288" y="3247907"/>
                                    <a:pt x="7794679" y="3224254"/>
                                  </a:cubicBezTo>
                                  <a:cubicBezTo>
                                    <a:pt x="7793349" y="4976985"/>
                                    <a:pt x="7792018" y="6047448"/>
                                    <a:pt x="7790688" y="7800179"/>
                                  </a:cubicBezTo>
                                  <a:lnTo>
                                    <a:pt x="0" y="7800179"/>
                                  </a:lnTo>
                                  <a:close/>
                                </a:path>
                              </a:pathLst>
                            </a:custGeom>
                            <a:blipFill dpi="0" rotWithShape="0">
                              <a:blip r:embed="rId9"/>
                              <a:srcRect/>
                              <a:tile tx="0" ty="0" sx="45000" sy="45000" flip="none" algn="tl"/>
                            </a:blipFill>
                            <a:ln w="1270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CDE60" id="Right Triangle 14" o:spid="_x0000_s1026" style="position:absolute;margin-left:-7.1pt;margin-top:-7.1pt;width:626.65pt;height:487.5pt;flip:y;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794679,7800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" path="m,7800179l,c38674,10498,7797288,3247907,7794679,3224254v-1330,1752731,-2661,2823194,-3991,4575925l,7800179xe" strokecolor="white [3212]" strokeweight="10pt">
                    <v:fill r:id="rId14" o:title="" recolor="t" type="tile"/>
                    <v:path arrowok="t" o:connecttype="custom" o:connectlocs="0,6191250;0,0;7958294,2559193;7954219,6191250;0,6191250" o:connectangles="0,0,0,0,0"/>
                    <w10:wrap anchorx="page" anchory="page"/>
                  </v:shape>
                </w:pict>
              </mc:Fallback>
            </mc:AlternateContent>
          </w:r>
          <w:r w:rsidR="00C23160" w:rsidRPr="002A0656">
            <w:rPr>
              <w:noProof/>
              <w:lang w:eastAsia="it-IT"/>
            </w:rPr>
            <mc:AlternateContent>
              <mc:Choice Requires="wps">
                <w:drawing>
                  <wp:anchor distT="0" distB="0" distL="114300" distR="114300" simplePos="0" relativeHeight="251658240" behindDoc="1" locked="0" layoutInCell="1" allowOverlap="1" wp14:anchorId="00764E0A" wp14:editId="559C7FBE">
                    <wp:simplePos x="0" y="0"/>
                    <wp:positionH relativeFrom="column">
                      <wp:posOffset>-944245</wp:posOffset>
                    </wp:positionH>
                    <wp:positionV relativeFrom="paragraph">
                      <wp:posOffset>341630</wp:posOffset>
                    </wp:positionV>
                    <wp:extent cx="7827010" cy="6492240"/>
                    <wp:effectExtent l="0" t="0" r="2540" b="3810"/>
                    <wp:wrapNone/>
                    <wp:docPr id="9" name="Text Box 9"/>
                    <wp:cNvGraphicFramePr/>
                    <a:graphic xmlns:a="http://schemas.openxmlformats.org/drawingml/2006/main">
                      <a:graphicData uri="http://schemas.microsoft.com/office/word/2010/wordprocessingShape">
                        <wps:wsp>
                          <wps:cNvSpPr txBox="1"/>
                          <wps:spPr>
                            <a:xfrm>
                              <a:off x="0" y="0"/>
                              <a:ext cx="7827010" cy="6492240"/>
                            </a:xfrm>
                            <a:prstGeom prst="rect">
                              <a:avLst/>
                            </a:prstGeom>
                            <a:noFill/>
                            <a:ln w="6350">
                              <a:noFill/>
                            </a:ln>
                          </wps:spPr>
                          <wps:txbx>
                            <w:txbxContent>
                              <w:p w14:paraId="4EE234A3" w14:textId="77777777" w:rsidR="00915EC0" w:rsidRDefault="00915EC0" w:rsidP="00A94255">
                                <w:pPr>
                                  <w:tabs>
                                    <w:tab w:val="left" w:pos="540"/>
                                  </w:tab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64E0A" id="Text Box 9" o:spid="_x0000_s1027" type="#_x0000_t202" style="position:absolute;left:0;text-align:left;margin-left:-74.35pt;margin-top:26.9pt;width:616.3pt;height:51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" filled="f" stroked="f" strokeweight=".5pt">
                    <v:textbox inset="0,0,0,0">
                      <w:txbxContent>
                        <w:p w14:paraId="4EE234A3" w14:textId="77777777" w:rsidR="00915EC0" w:rsidRDefault="00915EC0" w:rsidP="00A94255">
                          <w:pPr>
                            <w:tabs>
                              <w:tab w:val="left" w:pos="540"/>
                            </w:tabs>
                          </w:pPr>
                        </w:p>
                      </w:txbxContent>
                    </v:textbox>
                  </v:shape>
                </w:pict>
              </mc:Fallback>
            </mc:AlternateContent>
          </w:r>
        </w:p>
        <w:p w14:paraId="21E5DDE4" w14:textId="2FA6BF15" w:rsidR="003D4180" w:rsidRPr="008C14A2" w:rsidRDefault="00C23160" w:rsidP="00500B2F">
          <w:pPr>
            <w:jc w:val="both"/>
          </w:pPr>
          <w:r w:rsidRPr="002A0656">
            <w:rPr>
              <w:rFonts w:ascii="Century Gothic" w:hAnsi="Century Gothic" w:cs="CenturyGothic"/>
              <w:caps/>
              <w:noProof/>
              <w:color w:val="00467F"/>
              <w:sz w:val="38"/>
              <w:szCs w:val="38"/>
              <w:lang w:eastAsia="it-IT"/>
            </w:rPr>
            <w:drawing>
              <wp:anchor distT="0" distB="0" distL="114300" distR="114300" simplePos="0" relativeHeight="251658243" behindDoc="0" locked="1" layoutInCell="1" allowOverlap="1" wp14:anchorId="6FDD7902" wp14:editId="1E7836FE">
                <wp:simplePos x="0" y="0"/>
                <wp:positionH relativeFrom="margin">
                  <wp:posOffset>-274320</wp:posOffset>
                </wp:positionH>
                <wp:positionV relativeFrom="margin">
                  <wp:align>bottom</wp:align>
                </wp:positionV>
                <wp:extent cx="1783080" cy="17830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783080" cy="1783080"/>
                        </a:xfrm>
                        <a:prstGeom prst="rect">
                          <a:avLst/>
                        </a:prstGeom>
                      </pic:spPr>
                    </pic:pic>
                  </a:graphicData>
                </a:graphic>
                <wp14:sizeRelH relativeFrom="margin">
                  <wp14:pctWidth>0</wp14:pctWidth>
                </wp14:sizeRelH>
                <wp14:sizeRelV relativeFrom="margin">
                  <wp14:pctHeight>0</wp14:pctHeight>
                </wp14:sizeRelV>
              </wp:anchor>
            </w:drawing>
          </w:r>
          <w:r w:rsidRPr="002A0656">
            <w:rPr>
              <w:rFonts w:ascii="Century Gothic" w:hAnsi="Century Gothic" w:cs="CenturyGothic"/>
              <w:caps/>
              <w:noProof/>
              <w:color w:val="00467F"/>
              <w:sz w:val="38"/>
              <w:szCs w:val="38"/>
              <w:lang w:eastAsia="it-IT"/>
            </w:rPr>
            <mc:AlternateContent>
              <mc:Choice Requires="wps">
                <w:drawing>
                  <wp:anchor distT="0" distB="0" distL="114300" distR="114300" simplePos="0" relativeHeight="251658241" behindDoc="0" locked="1" layoutInCell="1" allowOverlap="1" wp14:anchorId="04E26C18" wp14:editId="7D598292">
                    <wp:simplePos x="0" y="0"/>
                    <wp:positionH relativeFrom="page">
                      <wp:posOffset>-25400</wp:posOffset>
                    </wp:positionH>
                    <wp:positionV relativeFrom="page">
                      <wp:posOffset>8258810</wp:posOffset>
                    </wp:positionV>
                    <wp:extent cx="7822565" cy="3007995"/>
                    <wp:effectExtent l="0" t="0" r="6985" b="1905"/>
                    <wp:wrapNone/>
                    <wp:docPr id="14" name="Rectangle 14"/>
                    <wp:cNvGraphicFramePr/>
                    <a:graphic xmlns:a="http://schemas.openxmlformats.org/drawingml/2006/main">
                      <a:graphicData uri="http://schemas.microsoft.com/office/word/2010/wordprocessingShape">
                        <wps:wsp>
                          <wps:cNvSpPr/>
                          <wps:spPr>
                            <a:xfrm>
                              <a:off x="0" y="0"/>
                              <a:ext cx="7822565" cy="30079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E34C0" w14:textId="77777777" w:rsidR="00915EC0" w:rsidRDefault="00915EC0" w:rsidP="001523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26C18" id="Rectangle 14" o:spid="_x0000_s1028" style="position:absolute;left:0;text-align:left;margin-left:-2pt;margin-top:650.3pt;width:615.95pt;height:236.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" fillcolor="white [3212]" stroked="f" strokeweight="2pt">
                    <v:textbox>
                      <w:txbxContent>
                        <w:p w14:paraId="3B2E34C0" w14:textId="77777777" w:rsidR="00915EC0" w:rsidRDefault="00915EC0" w:rsidP="001523E4">
                          <w:pPr>
                            <w:jc w:val="center"/>
                          </w:pPr>
                        </w:p>
                      </w:txbxContent>
                    </v:textbox>
                    <w10:wrap anchorx="page" anchory="page"/>
                    <w10:anchorlock/>
                  </v:rect>
                </w:pict>
              </mc:Fallback>
            </mc:AlternateContent>
          </w:r>
          <w:r w:rsidRPr="008C14A2">
            <w:br w:type="page"/>
          </w:r>
        </w:p>
      </w:sdtContent>
    </w:sdt>
    <w:p w14:paraId="0A7E2F2D" w14:textId="77777777" w:rsidR="00A3359A" w:rsidRPr="008C14A2" w:rsidRDefault="341BC336" w:rsidP="00500B2F">
      <w:pPr>
        <w:pStyle w:val="Heading5"/>
        <w:jc w:val="both"/>
      </w:pPr>
      <w:r w:rsidRPr="008C14A2">
        <w:lastRenderedPageBreak/>
        <w:t>Notice</w:t>
      </w:r>
      <w:r w:rsidRPr="008C14A2">
        <w:rPr>
          <w:sz w:val="16"/>
          <w:szCs w:val="16"/>
        </w:rPr>
        <w:t xml:space="preserve"> </w:t>
      </w:r>
    </w:p>
    <w:p w14:paraId="25E47F6E" w14:textId="505A7935" w:rsidR="001D1B45" w:rsidRPr="008C14A2" w:rsidRDefault="341BC336" w:rsidP="00500B2F">
      <w:pPr>
        <w:jc w:val="both"/>
        <w:rPr>
          <w:rFonts w:eastAsiaTheme="minorEastAsia"/>
          <w:color w:val="000000" w:themeColor="text1"/>
          <w:lang w:eastAsia="en-US"/>
        </w:rPr>
      </w:pPr>
      <w:r w:rsidRPr="008C14A2">
        <w:rPr>
          <w:rFonts w:eastAsiaTheme="minorEastAsia"/>
          <w:color w:val="000000" w:themeColor="text1"/>
          <w:lang w:eastAsia="en-US"/>
        </w:rPr>
        <w:t xml:space="preserve">This report was prepared for </w:t>
      </w:r>
      <w:r w:rsidR="004252E2">
        <w:rPr>
          <w:rFonts w:eastAsiaTheme="minorEastAsia"/>
          <w:color w:val="000000" w:themeColor="text1"/>
          <w:lang w:eastAsia="en-US"/>
        </w:rPr>
        <w:t>Communications Commission</w:t>
      </w:r>
      <w:r w:rsidRPr="008C14A2">
        <w:rPr>
          <w:rFonts w:eastAsiaTheme="minorEastAsia"/>
          <w:color w:val="000000" w:themeColor="text1"/>
          <w:lang w:eastAsia="en-US"/>
        </w:rPr>
        <w:t xml:space="preserve">, in accordance with The Brattle Group’s engagement terms, and is intended to be read and used as a whole and not in parts. </w:t>
      </w:r>
    </w:p>
    <w:p w14:paraId="49F96DA3" w14:textId="77777777" w:rsidR="001D1B45" w:rsidRPr="006D1998" w:rsidRDefault="001D1B45" w:rsidP="00500B2F">
      <w:pPr>
        <w:jc w:val="both"/>
        <w:rPr>
          <w:rFonts w:cstheme="minorHAnsi"/>
          <w:color w:val="000000"/>
          <w:lang w:eastAsia="en-US"/>
        </w:rPr>
      </w:pPr>
    </w:p>
    <w:p w14:paraId="00EFD56B" w14:textId="77777777" w:rsidR="001D1B45" w:rsidRPr="008C14A2" w:rsidRDefault="341BC336" w:rsidP="00500B2F">
      <w:pPr>
        <w:jc w:val="both"/>
        <w:rPr>
          <w:rFonts w:eastAsiaTheme="minorEastAsia"/>
          <w:color w:val="000000" w:themeColor="text1"/>
          <w:lang w:eastAsia="en-US"/>
        </w:rPr>
      </w:pPr>
      <w:r w:rsidRPr="008C14A2">
        <w:rPr>
          <w:rFonts w:eastAsiaTheme="minorEastAsia"/>
          <w:color w:val="000000" w:themeColor="text1"/>
          <w:lang w:eastAsia="en-US"/>
        </w:rPr>
        <w:t>The report reflects the analyses and opinions of the authors and does not necessarily reflect those of The Brattle Group’s clients or other consultants.</w:t>
      </w:r>
    </w:p>
    <w:p w14:paraId="0BDB1D20" w14:textId="77777777" w:rsidR="001D1B45" w:rsidRPr="008C14A2" w:rsidRDefault="001D1B45" w:rsidP="00500B2F">
      <w:pPr>
        <w:jc w:val="both"/>
        <w:rPr>
          <w:rFonts w:cstheme="minorHAnsi"/>
          <w:color w:val="000000"/>
          <w:lang w:eastAsia="en-US"/>
        </w:rPr>
      </w:pPr>
    </w:p>
    <w:p w14:paraId="6FF91164" w14:textId="2CE2EA6A" w:rsidR="003D4180" w:rsidRPr="00602A14" w:rsidRDefault="341BC336" w:rsidP="00500B2F">
      <w:pPr>
        <w:jc w:val="both"/>
        <w:rPr>
          <w:rFonts w:eastAsiaTheme="minorEastAsia"/>
          <w:color w:val="000000" w:themeColor="text1"/>
          <w:lang w:eastAsia="en-US"/>
        </w:rPr>
      </w:pPr>
      <w:r w:rsidRPr="008C14A2">
        <w:rPr>
          <w:rFonts w:eastAsiaTheme="minorEastAsia"/>
          <w:color w:val="000000" w:themeColor="text1"/>
          <w:lang w:eastAsia="en-US"/>
        </w:rPr>
        <w:t xml:space="preserve">There are no </w:t>
      </w:r>
      <w:r w:rsidR="006348A8" w:rsidRPr="008C14A2">
        <w:rPr>
          <w:rFonts w:eastAsiaTheme="minorEastAsia"/>
          <w:color w:val="000000" w:themeColor="text1"/>
          <w:lang w:eastAsia="en-US"/>
        </w:rPr>
        <w:t>third-party</w:t>
      </w:r>
      <w:r w:rsidRPr="008C14A2">
        <w:rPr>
          <w:rFonts w:eastAsiaTheme="minorEastAsia"/>
          <w:color w:val="000000" w:themeColor="text1"/>
          <w:lang w:eastAsia="en-US"/>
        </w:rPr>
        <w:t xml:space="preserve"> beneficiaries with respect to this report, and The Brattle Group does not accept any liability to any third party in respect of the contents of this report or any actions taken or decisions made as a consequence of the information set forth herein.</w:t>
      </w:r>
    </w:p>
    <w:p w14:paraId="411D1A95" w14:textId="77777777" w:rsidR="001D1B45" w:rsidRPr="002A0656" w:rsidRDefault="001D1B45" w:rsidP="00500B2F">
      <w:pPr>
        <w:jc w:val="both"/>
      </w:pPr>
    </w:p>
    <w:p w14:paraId="1491A1EB" w14:textId="0495B078" w:rsidR="00A3359A" w:rsidRPr="008C14A2" w:rsidRDefault="00A3359A" w:rsidP="00500B2F">
      <w:pPr>
        <w:spacing w:after="200"/>
        <w:jc w:val="both"/>
        <w:rPr>
          <w:i/>
          <w:iCs/>
        </w:rPr>
      </w:pPr>
      <w:r w:rsidRPr="008C14A2">
        <w:t xml:space="preserve">© </w:t>
      </w:r>
      <w:r w:rsidR="00AA18C9" w:rsidRPr="008C14A2">
        <w:fldChar w:fldCharType="begin"/>
      </w:r>
      <w:r w:rsidR="00AA18C9" w:rsidRPr="008C14A2">
        <w:instrText xml:space="preserve"> DATE  \@ "yyyy" </w:instrText>
      </w:r>
      <w:r w:rsidR="00AA18C9" w:rsidRPr="008C14A2">
        <w:fldChar w:fldCharType="separate"/>
      </w:r>
      <w:r w:rsidR="00465408">
        <w:rPr>
          <w:noProof/>
        </w:rPr>
        <w:t>2026</w:t>
      </w:r>
      <w:r w:rsidR="00AA18C9" w:rsidRPr="008C14A2">
        <w:fldChar w:fldCharType="end"/>
      </w:r>
      <w:r w:rsidR="009B1B5A" w:rsidRPr="008C14A2">
        <w:t xml:space="preserve"> The Brattle Group</w:t>
      </w:r>
    </w:p>
    <w:p w14:paraId="31FD7B68" w14:textId="77777777" w:rsidR="00445A55" w:rsidRPr="008C14A2" w:rsidRDefault="00445A55" w:rsidP="00500B2F">
      <w:pPr>
        <w:jc w:val="both"/>
      </w:pPr>
    </w:p>
    <w:p w14:paraId="6473FFBF" w14:textId="77777777" w:rsidR="00445A55" w:rsidRPr="002A0656" w:rsidRDefault="00445A55" w:rsidP="00500B2F">
      <w:pPr>
        <w:spacing w:after="200"/>
        <w:jc w:val="both"/>
        <w:rPr>
          <w:rFonts w:asciiTheme="majorHAnsi" w:eastAsia="PMingLiU" w:hAnsiTheme="majorHAnsi"/>
          <w:color w:val="37BA95" w:themeColor="accent3"/>
          <w:sz w:val="28"/>
          <w:szCs w:val="28"/>
        </w:rPr>
      </w:pPr>
      <w:r w:rsidRPr="008C14A2">
        <w:br w:type="page"/>
      </w:r>
    </w:p>
    <w:p w14:paraId="512740B7" w14:textId="77777777" w:rsidR="00E339D3" w:rsidRPr="008C14A2" w:rsidRDefault="341BC336" w:rsidP="00500B2F">
      <w:pPr>
        <w:pStyle w:val="TOCHeading"/>
        <w:jc w:val="both"/>
      </w:pPr>
      <w:r w:rsidRPr="008C14A2">
        <w:lastRenderedPageBreak/>
        <w:t>Table of Contents</w:t>
      </w:r>
    </w:p>
    <w:p w14:paraId="0AC169DB" w14:textId="78F649D3" w:rsidR="00EA70AF" w:rsidRDefault="00F434CA">
      <w:pPr>
        <w:pStyle w:val="TOC1"/>
        <w:rPr>
          <w:color w:val="auto"/>
          <w:kern w:val="2"/>
          <w:sz w:val="24"/>
          <w:szCs w:val="24"/>
          <w:lang w:val="en-GB" w:eastAsia="en-GB"/>
          <w14:ligatures w14:val="standardContextual"/>
        </w:rPr>
      </w:pPr>
      <w:r w:rsidRPr="008C14A2">
        <w:rPr>
          <w:noProof w:val="0"/>
        </w:rPr>
        <w:fldChar w:fldCharType="begin"/>
      </w:r>
      <w:r w:rsidRPr="008C14A2">
        <w:rPr>
          <w:noProof w:val="0"/>
        </w:rPr>
        <w:instrText xml:space="preserve"> TOC \o "1-3" \h \z \u </w:instrText>
      </w:r>
      <w:r w:rsidRPr="008C14A2">
        <w:rPr>
          <w:noProof w:val="0"/>
        </w:rPr>
        <w:fldChar w:fldCharType="separate"/>
      </w:r>
      <w:hyperlink w:anchor="_Toc219739754" w:history="1">
        <w:r w:rsidR="00EA70AF" w:rsidRPr="000F00A0">
          <w:rPr>
            <w:rStyle w:val="Hyperlink"/>
            <w:rFonts w:ascii="Calibri" w:hAnsi="Calibri" w:cs="Calibri"/>
            <w:lang w:val="en-CA"/>
          </w:rPr>
          <w:t>I.</w:t>
        </w:r>
        <w:r w:rsidR="00EA70AF">
          <w:rPr>
            <w:color w:val="auto"/>
            <w:kern w:val="2"/>
            <w:sz w:val="24"/>
            <w:szCs w:val="24"/>
            <w:lang w:val="en-GB" w:eastAsia="en-GB"/>
            <w14:ligatures w14:val="standardContextual"/>
          </w:rPr>
          <w:tab/>
        </w:r>
        <w:r w:rsidR="00EA70AF" w:rsidRPr="000F00A0">
          <w:rPr>
            <w:rStyle w:val="Hyperlink"/>
          </w:rPr>
          <w:t>Introduction</w:t>
        </w:r>
        <w:r w:rsidR="00EA70AF">
          <w:rPr>
            <w:webHidden/>
          </w:rPr>
          <w:tab/>
        </w:r>
        <w:r w:rsidR="00EA70AF">
          <w:rPr>
            <w:webHidden/>
          </w:rPr>
          <w:fldChar w:fldCharType="begin"/>
        </w:r>
        <w:r w:rsidR="00EA70AF">
          <w:rPr>
            <w:webHidden/>
          </w:rPr>
          <w:instrText xml:space="preserve"> PAGEREF _Toc219739754 \h </w:instrText>
        </w:r>
        <w:r w:rsidR="00EA70AF">
          <w:rPr>
            <w:webHidden/>
          </w:rPr>
        </w:r>
        <w:r w:rsidR="00EA70AF">
          <w:rPr>
            <w:webHidden/>
          </w:rPr>
          <w:fldChar w:fldCharType="separate"/>
        </w:r>
        <w:r w:rsidR="007F093A">
          <w:rPr>
            <w:webHidden/>
          </w:rPr>
          <w:t>1</w:t>
        </w:r>
        <w:r w:rsidR="00EA70AF">
          <w:rPr>
            <w:webHidden/>
          </w:rPr>
          <w:fldChar w:fldCharType="end"/>
        </w:r>
      </w:hyperlink>
    </w:p>
    <w:p w14:paraId="3906BD11" w14:textId="0C62E8A2" w:rsidR="00EA70AF" w:rsidRDefault="00EA70AF">
      <w:pPr>
        <w:pStyle w:val="TOC1"/>
        <w:rPr>
          <w:color w:val="auto"/>
          <w:kern w:val="2"/>
          <w:sz w:val="24"/>
          <w:szCs w:val="24"/>
          <w:lang w:val="en-GB" w:eastAsia="en-GB"/>
          <w14:ligatures w14:val="standardContextual"/>
        </w:rPr>
      </w:pPr>
      <w:hyperlink w:anchor="_Toc219739755" w:history="1">
        <w:r w:rsidRPr="000F00A0">
          <w:rPr>
            <w:rStyle w:val="Hyperlink"/>
            <w:rFonts w:ascii="Calibri" w:hAnsi="Calibri" w:cs="Calibri"/>
            <w:lang w:val="en-CA"/>
          </w:rPr>
          <w:t>II.</w:t>
        </w:r>
        <w:r>
          <w:rPr>
            <w:color w:val="auto"/>
            <w:kern w:val="2"/>
            <w:sz w:val="24"/>
            <w:szCs w:val="24"/>
            <w:lang w:val="en-GB" w:eastAsia="en-GB"/>
            <w14:ligatures w14:val="standardContextual"/>
          </w:rPr>
          <w:tab/>
        </w:r>
        <w:r w:rsidRPr="000F00A0">
          <w:rPr>
            <w:rStyle w:val="Hyperlink"/>
          </w:rPr>
          <w:t>Summary</w:t>
        </w:r>
        <w:r>
          <w:rPr>
            <w:webHidden/>
          </w:rPr>
          <w:tab/>
        </w:r>
        <w:r>
          <w:rPr>
            <w:webHidden/>
          </w:rPr>
          <w:fldChar w:fldCharType="begin"/>
        </w:r>
        <w:r>
          <w:rPr>
            <w:webHidden/>
          </w:rPr>
          <w:instrText xml:space="preserve"> PAGEREF _Toc219739755 \h </w:instrText>
        </w:r>
        <w:r>
          <w:rPr>
            <w:webHidden/>
          </w:rPr>
        </w:r>
        <w:r>
          <w:rPr>
            <w:webHidden/>
          </w:rPr>
          <w:fldChar w:fldCharType="separate"/>
        </w:r>
        <w:r w:rsidR="007F093A">
          <w:rPr>
            <w:webHidden/>
          </w:rPr>
          <w:t>3</w:t>
        </w:r>
        <w:r>
          <w:rPr>
            <w:webHidden/>
          </w:rPr>
          <w:fldChar w:fldCharType="end"/>
        </w:r>
      </w:hyperlink>
    </w:p>
    <w:p w14:paraId="52900C17" w14:textId="4AB70C25" w:rsidR="00EA70AF" w:rsidRDefault="00EA70AF">
      <w:pPr>
        <w:pStyle w:val="TOC2"/>
        <w:tabs>
          <w:tab w:val="left" w:pos="1296"/>
        </w:tabs>
        <w:rPr>
          <w:color w:val="auto"/>
          <w:kern w:val="2"/>
          <w:lang w:val="en-GB" w:eastAsia="en-GB"/>
          <w14:ligatures w14:val="standardContextual"/>
        </w:rPr>
      </w:pPr>
      <w:hyperlink w:anchor="_Toc219739756" w:history="1">
        <w:r w:rsidRPr="000F00A0">
          <w:rPr>
            <w:rStyle w:val="Hyperlink"/>
            <w:rFonts w:ascii="Calibri" w:hAnsi="Calibri" w:cs="Calibri"/>
          </w:rPr>
          <w:t>II.A.</w:t>
        </w:r>
        <w:r>
          <w:rPr>
            <w:color w:val="auto"/>
            <w:kern w:val="2"/>
            <w:lang w:val="en-GB" w:eastAsia="en-GB"/>
            <w14:ligatures w14:val="standardContextual"/>
          </w:rPr>
          <w:tab/>
        </w:r>
        <w:r w:rsidRPr="000F00A0">
          <w:rPr>
            <w:rStyle w:val="Hyperlink"/>
          </w:rPr>
          <w:t>Cost of equity</w:t>
        </w:r>
        <w:r>
          <w:rPr>
            <w:webHidden/>
          </w:rPr>
          <w:tab/>
        </w:r>
        <w:r>
          <w:rPr>
            <w:webHidden/>
          </w:rPr>
          <w:fldChar w:fldCharType="begin"/>
        </w:r>
        <w:r>
          <w:rPr>
            <w:webHidden/>
          </w:rPr>
          <w:instrText xml:space="preserve"> PAGEREF _Toc219739756 \h </w:instrText>
        </w:r>
        <w:r>
          <w:rPr>
            <w:webHidden/>
          </w:rPr>
        </w:r>
        <w:r>
          <w:rPr>
            <w:webHidden/>
          </w:rPr>
          <w:fldChar w:fldCharType="separate"/>
        </w:r>
        <w:r w:rsidR="007F093A">
          <w:rPr>
            <w:webHidden/>
          </w:rPr>
          <w:t>3</w:t>
        </w:r>
        <w:r>
          <w:rPr>
            <w:webHidden/>
          </w:rPr>
          <w:fldChar w:fldCharType="end"/>
        </w:r>
      </w:hyperlink>
    </w:p>
    <w:p w14:paraId="7B2CC32A" w14:textId="6ED707A0" w:rsidR="00EA70AF" w:rsidRDefault="00EA70AF">
      <w:pPr>
        <w:pStyle w:val="TOC3"/>
        <w:tabs>
          <w:tab w:val="left" w:pos="2160"/>
        </w:tabs>
        <w:rPr>
          <w:kern w:val="2"/>
          <w:szCs w:val="24"/>
          <w:lang w:val="en-GB" w:eastAsia="en-GB"/>
          <w14:ligatures w14:val="standardContextual"/>
        </w:rPr>
      </w:pPr>
      <w:hyperlink w:anchor="_Toc219739757" w:history="1">
        <w:r w:rsidRPr="000F00A0">
          <w:rPr>
            <w:rStyle w:val="Hyperlink"/>
            <w:rFonts w:ascii="Calibri" w:hAnsi="Calibri" w:cs="Calibri"/>
          </w:rPr>
          <w:t>II.A.1.</w:t>
        </w:r>
        <w:r>
          <w:rPr>
            <w:kern w:val="2"/>
            <w:szCs w:val="24"/>
            <w:lang w:val="en-GB" w:eastAsia="en-GB"/>
            <w14:ligatures w14:val="standardContextual"/>
          </w:rPr>
          <w:tab/>
        </w:r>
        <w:r w:rsidRPr="000F00A0">
          <w:rPr>
            <w:rStyle w:val="Hyperlink"/>
          </w:rPr>
          <w:t>Risk-free rate</w:t>
        </w:r>
        <w:r>
          <w:rPr>
            <w:webHidden/>
          </w:rPr>
          <w:tab/>
        </w:r>
        <w:r>
          <w:rPr>
            <w:webHidden/>
          </w:rPr>
          <w:fldChar w:fldCharType="begin"/>
        </w:r>
        <w:r>
          <w:rPr>
            <w:webHidden/>
          </w:rPr>
          <w:instrText xml:space="preserve"> PAGEREF _Toc219739757 \h </w:instrText>
        </w:r>
        <w:r>
          <w:rPr>
            <w:webHidden/>
          </w:rPr>
        </w:r>
        <w:r>
          <w:rPr>
            <w:webHidden/>
          </w:rPr>
          <w:fldChar w:fldCharType="separate"/>
        </w:r>
        <w:r w:rsidR="007F093A">
          <w:rPr>
            <w:webHidden/>
          </w:rPr>
          <w:t>3</w:t>
        </w:r>
        <w:r>
          <w:rPr>
            <w:webHidden/>
          </w:rPr>
          <w:fldChar w:fldCharType="end"/>
        </w:r>
      </w:hyperlink>
    </w:p>
    <w:p w14:paraId="7F482946" w14:textId="72EECCEB" w:rsidR="00EA70AF" w:rsidRDefault="00EA70AF">
      <w:pPr>
        <w:pStyle w:val="TOC3"/>
        <w:tabs>
          <w:tab w:val="left" w:pos="2160"/>
        </w:tabs>
        <w:rPr>
          <w:kern w:val="2"/>
          <w:szCs w:val="24"/>
          <w:lang w:val="en-GB" w:eastAsia="en-GB"/>
          <w14:ligatures w14:val="standardContextual"/>
        </w:rPr>
      </w:pPr>
      <w:hyperlink w:anchor="_Toc219739758" w:history="1">
        <w:r w:rsidRPr="000F00A0">
          <w:rPr>
            <w:rStyle w:val="Hyperlink"/>
            <w:rFonts w:ascii="Calibri" w:hAnsi="Calibri" w:cs="Calibri"/>
          </w:rPr>
          <w:t>II.A.2.</w:t>
        </w:r>
        <w:r>
          <w:rPr>
            <w:kern w:val="2"/>
            <w:szCs w:val="24"/>
            <w:lang w:val="en-GB" w:eastAsia="en-GB"/>
            <w14:ligatures w14:val="standardContextual"/>
          </w:rPr>
          <w:tab/>
        </w:r>
        <w:r w:rsidRPr="000F00A0">
          <w:rPr>
            <w:rStyle w:val="Hyperlink"/>
          </w:rPr>
          <w:t>Equity Risk Premium (ERP)</w:t>
        </w:r>
        <w:r>
          <w:rPr>
            <w:webHidden/>
          </w:rPr>
          <w:tab/>
        </w:r>
        <w:r>
          <w:rPr>
            <w:webHidden/>
          </w:rPr>
          <w:fldChar w:fldCharType="begin"/>
        </w:r>
        <w:r>
          <w:rPr>
            <w:webHidden/>
          </w:rPr>
          <w:instrText xml:space="preserve"> PAGEREF _Toc219739758 \h </w:instrText>
        </w:r>
        <w:r>
          <w:rPr>
            <w:webHidden/>
          </w:rPr>
        </w:r>
        <w:r>
          <w:rPr>
            <w:webHidden/>
          </w:rPr>
          <w:fldChar w:fldCharType="separate"/>
        </w:r>
        <w:r w:rsidR="007F093A">
          <w:rPr>
            <w:webHidden/>
          </w:rPr>
          <w:t>4</w:t>
        </w:r>
        <w:r>
          <w:rPr>
            <w:webHidden/>
          </w:rPr>
          <w:fldChar w:fldCharType="end"/>
        </w:r>
      </w:hyperlink>
    </w:p>
    <w:p w14:paraId="0E646EEC" w14:textId="5F084176" w:rsidR="00EA70AF" w:rsidRDefault="00EA70AF">
      <w:pPr>
        <w:pStyle w:val="TOC3"/>
        <w:tabs>
          <w:tab w:val="left" w:pos="2160"/>
        </w:tabs>
        <w:rPr>
          <w:kern w:val="2"/>
          <w:szCs w:val="24"/>
          <w:lang w:val="en-GB" w:eastAsia="en-GB"/>
          <w14:ligatures w14:val="standardContextual"/>
        </w:rPr>
      </w:pPr>
      <w:hyperlink w:anchor="_Toc219739759" w:history="1">
        <w:r w:rsidRPr="000F00A0">
          <w:rPr>
            <w:rStyle w:val="Hyperlink"/>
            <w:rFonts w:ascii="Calibri" w:hAnsi="Calibri" w:cs="Calibri"/>
          </w:rPr>
          <w:t>II.A.3.</w:t>
        </w:r>
        <w:r>
          <w:rPr>
            <w:kern w:val="2"/>
            <w:szCs w:val="24"/>
            <w:lang w:val="en-GB" w:eastAsia="en-GB"/>
            <w14:ligatures w14:val="standardContextual"/>
          </w:rPr>
          <w:tab/>
        </w:r>
        <w:r w:rsidRPr="000F00A0">
          <w:rPr>
            <w:rStyle w:val="Hyperlink"/>
          </w:rPr>
          <w:t>Selection of the peer group</w:t>
        </w:r>
        <w:r>
          <w:rPr>
            <w:webHidden/>
          </w:rPr>
          <w:tab/>
        </w:r>
        <w:r>
          <w:rPr>
            <w:webHidden/>
          </w:rPr>
          <w:fldChar w:fldCharType="begin"/>
        </w:r>
        <w:r>
          <w:rPr>
            <w:webHidden/>
          </w:rPr>
          <w:instrText xml:space="preserve"> PAGEREF _Toc219739759 \h </w:instrText>
        </w:r>
        <w:r>
          <w:rPr>
            <w:webHidden/>
          </w:rPr>
        </w:r>
        <w:r>
          <w:rPr>
            <w:webHidden/>
          </w:rPr>
          <w:fldChar w:fldCharType="separate"/>
        </w:r>
        <w:r w:rsidR="007F093A">
          <w:rPr>
            <w:webHidden/>
          </w:rPr>
          <w:t>5</w:t>
        </w:r>
        <w:r>
          <w:rPr>
            <w:webHidden/>
          </w:rPr>
          <w:fldChar w:fldCharType="end"/>
        </w:r>
      </w:hyperlink>
    </w:p>
    <w:p w14:paraId="3E001D64" w14:textId="31AB0525" w:rsidR="00EA70AF" w:rsidRDefault="00EA70AF">
      <w:pPr>
        <w:pStyle w:val="TOC3"/>
        <w:tabs>
          <w:tab w:val="left" w:pos="2160"/>
        </w:tabs>
        <w:rPr>
          <w:kern w:val="2"/>
          <w:szCs w:val="24"/>
          <w:lang w:val="en-GB" w:eastAsia="en-GB"/>
          <w14:ligatures w14:val="standardContextual"/>
        </w:rPr>
      </w:pPr>
      <w:hyperlink w:anchor="_Toc219739760" w:history="1">
        <w:r w:rsidRPr="000F00A0">
          <w:rPr>
            <w:rStyle w:val="Hyperlink"/>
            <w:rFonts w:ascii="Calibri" w:hAnsi="Calibri" w:cs="Calibri"/>
          </w:rPr>
          <w:t>II.A.4.</w:t>
        </w:r>
        <w:r>
          <w:rPr>
            <w:kern w:val="2"/>
            <w:szCs w:val="24"/>
            <w:lang w:val="en-GB" w:eastAsia="en-GB"/>
            <w14:ligatures w14:val="standardContextual"/>
          </w:rPr>
          <w:tab/>
        </w:r>
        <w:r w:rsidRPr="000F00A0">
          <w:rPr>
            <w:rStyle w:val="Hyperlink"/>
          </w:rPr>
          <w:t>Beta and gearing</w:t>
        </w:r>
        <w:r>
          <w:rPr>
            <w:webHidden/>
          </w:rPr>
          <w:tab/>
        </w:r>
        <w:r>
          <w:rPr>
            <w:webHidden/>
          </w:rPr>
          <w:fldChar w:fldCharType="begin"/>
        </w:r>
        <w:r>
          <w:rPr>
            <w:webHidden/>
          </w:rPr>
          <w:instrText xml:space="preserve"> PAGEREF _Toc219739760 \h </w:instrText>
        </w:r>
        <w:r>
          <w:rPr>
            <w:webHidden/>
          </w:rPr>
        </w:r>
        <w:r>
          <w:rPr>
            <w:webHidden/>
          </w:rPr>
          <w:fldChar w:fldCharType="separate"/>
        </w:r>
        <w:r w:rsidR="007F093A">
          <w:rPr>
            <w:webHidden/>
          </w:rPr>
          <w:t>6</w:t>
        </w:r>
        <w:r>
          <w:rPr>
            <w:webHidden/>
          </w:rPr>
          <w:fldChar w:fldCharType="end"/>
        </w:r>
      </w:hyperlink>
    </w:p>
    <w:p w14:paraId="25744E03" w14:textId="2463CBE1" w:rsidR="00EA70AF" w:rsidRDefault="00EA70AF">
      <w:pPr>
        <w:pStyle w:val="TOC2"/>
        <w:tabs>
          <w:tab w:val="left" w:pos="1296"/>
        </w:tabs>
        <w:rPr>
          <w:color w:val="auto"/>
          <w:kern w:val="2"/>
          <w:lang w:val="en-GB" w:eastAsia="en-GB"/>
          <w14:ligatures w14:val="standardContextual"/>
        </w:rPr>
      </w:pPr>
      <w:hyperlink w:anchor="_Toc219739761" w:history="1">
        <w:r w:rsidRPr="000F00A0">
          <w:rPr>
            <w:rStyle w:val="Hyperlink"/>
            <w:rFonts w:ascii="Calibri" w:hAnsi="Calibri" w:cs="Calibri"/>
          </w:rPr>
          <w:t>II.B.</w:t>
        </w:r>
        <w:r>
          <w:rPr>
            <w:color w:val="auto"/>
            <w:kern w:val="2"/>
            <w:lang w:val="en-GB" w:eastAsia="en-GB"/>
            <w14:ligatures w14:val="standardContextual"/>
          </w:rPr>
          <w:tab/>
        </w:r>
        <w:r w:rsidRPr="000F00A0">
          <w:rPr>
            <w:rStyle w:val="Hyperlink"/>
          </w:rPr>
          <w:t>Cost of debt</w:t>
        </w:r>
        <w:r>
          <w:rPr>
            <w:webHidden/>
          </w:rPr>
          <w:tab/>
        </w:r>
        <w:r>
          <w:rPr>
            <w:webHidden/>
          </w:rPr>
          <w:fldChar w:fldCharType="begin"/>
        </w:r>
        <w:r>
          <w:rPr>
            <w:webHidden/>
          </w:rPr>
          <w:instrText xml:space="preserve"> PAGEREF _Toc219739761 \h </w:instrText>
        </w:r>
        <w:r>
          <w:rPr>
            <w:webHidden/>
          </w:rPr>
        </w:r>
        <w:r>
          <w:rPr>
            <w:webHidden/>
          </w:rPr>
          <w:fldChar w:fldCharType="separate"/>
        </w:r>
        <w:r w:rsidR="007F093A">
          <w:rPr>
            <w:webHidden/>
          </w:rPr>
          <w:t>7</w:t>
        </w:r>
        <w:r>
          <w:rPr>
            <w:webHidden/>
          </w:rPr>
          <w:fldChar w:fldCharType="end"/>
        </w:r>
      </w:hyperlink>
    </w:p>
    <w:p w14:paraId="79E183E8" w14:textId="16464C8A" w:rsidR="00EA70AF" w:rsidRDefault="00EA70AF">
      <w:pPr>
        <w:pStyle w:val="TOC2"/>
        <w:tabs>
          <w:tab w:val="left" w:pos="1296"/>
        </w:tabs>
        <w:rPr>
          <w:color w:val="auto"/>
          <w:kern w:val="2"/>
          <w:lang w:val="en-GB" w:eastAsia="en-GB"/>
          <w14:ligatures w14:val="standardContextual"/>
        </w:rPr>
      </w:pPr>
      <w:hyperlink w:anchor="_Toc219739762" w:history="1">
        <w:r w:rsidRPr="000F00A0">
          <w:rPr>
            <w:rStyle w:val="Hyperlink"/>
            <w:rFonts w:ascii="Calibri" w:hAnsi="Calibri" w:cs="Calibri"/>
          </w:rPr>
          <w:t>II.C.</w:t>
        </w:r>
        <w:r>
          <w:rPr>
            <w:color w:val="auto"/>
            <w:kern w:val="2"/>
            <w:lang w:val="en-GB" w:eastAsia="en-GB"/>
            <w14:ligatures w14:val="standardContextual"/>
          </w:rPr>
          <w:tab/>
        </w:r>
        <w:r w:rsidRPr="000F00A0">
          <w:rPr>
            <w:rStyle w:val="Hyperlink"/>
          </w:rPr>
          <w:t>Relevance of an NGA premium</w:t>
        </w:r>
        <w:r>
          <w:rPr>
            <w:webHidden/>
          </w:rPr>
          <w:tab/>
        </w:r>
        <w:r>
          <w:rPr>
            <w:webHidden/>
          </w:rPr>
          <w:fldChar w:fldCharType="begin"/>
        </w:r>
        <w:r>
          <w:rPr>
            <w:webHidden/>
          </w:rPr>
          <w:instrText xml:space="preserve"> PAGEREF _Toc219739762 \h </w:instrText>
        </w:r>
        <w:r>
          <w:rPr>
            <w:webHidden/>
          </w:rPr>
        </w:r>
        <w:r>
          <w:rPr>
            <w:webHidden/>
          </w:rPr>
          <w:fldChar w:fldCharType="separate"/>
        </w:r>
        <w:r w:rsidR="007F093A">
          <w:rPr>
            <w:webHidden/>
          </w:rPr>
          <w:t>9</w:t>
        </w:r>
        <w:r>
          <w:rPr>
            <w:webHidden/>
          </w:rPr>
          <w:fldChar w:fldCharType="end"/>
        </w:r>
      </w:hyperlink>
    </w:p>
    <w:p w14:paraId="5B8E4BAC" w14:textId="02E0F0DF" w:rsidR="00EA70AF" w:rsidRDefault="00EA70AF">
      <w:pPr>
        <w:pStyle w:val="TOC2"/>
        <w:tabs>
          <w:tab w:val="left" w:pos="1296"/>
        </w:tabs>
        <w:rPr>
          <w:color w:val="auto"/>
          <w:kern w:val="2"/>
          <w:lang w:val="en-GB" w:eastAsia="en-GB"/>
          <w14:ligatures w14:val="standardContextual"/>
        </w:rPr>
      </w:pPr>
      <w:hyperlink w:anchor="_Toc219739763" w:history="1">
        <w:r w:rsidRPr="000F00A0">
          <w:rPr>
            <w:rStyle w:val="Hyperlink"/>
            <w:rFonts w:ascii="Calibri" w:hAnsi="Calibri" w:cs="Calibri"/>
          </w:rPr>
          <w:t>II.D.</w:t>
        </w:r>
        <w:r>
          <w:rPr>
            <w:color w:val="auto"/>
            <w:kern w:val="2"/>
            <w:lang w:val="en-GB" w:eastAsia="en-GB"/>
            <w14:ligatures w14:val="standardContextual"/>
          </w:rPr>
          <w:tab/>
        </w:r>
        <w:r w:rsidRPr="000F00A0">
          <w:rPr>
            <w:rStyle w:val="Hyperlink"/>
          </w:rPr>
          <w:t>Application of a different WACC for mobile and fixed Telecommunications operators</w:t>
        </w:r>
        <w:r>
          <w:rPr>
            <w:webHidden/>
          </w:rPr>
          <w:tab/>
        </w:r>
        <w:r>
          <w:rPr>
            <w:webHidden/>
          </w:rPr>
          <w:fldChar w:fldCharType="begin"/>
        </w:r>
        <w:r>
          <w:rPr>
            <w:webHidden/>
          </w:rPr>
          <w:instrText xml:space="preserve"> PAGEREF _Toc219739763 \h </w:instrText>
        </w:r>
        <w:r>
          <w:rPr>
            <w:webHidden/>
          </w:rPr>
        </w:r>
        <w:r>
          <w:rPr>
            <w:webHidden/>
          </w:rPr>
          <w:fldChar w:fldCharType="separate"/>
        </w:r>
        <w:r w:rsidR="007F093A">
          <w:rPr>
            <w:webHidden/>
          </w:rPr>
          <w:t>12</w:t>
        </w:r>
        <w:r>
          <w:rPr>
            <w:webHidden/>
          </w:rPr>
          <w:fldChar w:fldCharType="end"/>
        </w:r>
      </w:hyperlink>
    </w:p>
    <w:p w14:paraId="7CF9F101" w14:textId="38C77013" w:rsidR="00EA70AF" w:rsidRDefault="00EA70AF">
      <w:pPr>
        <w:pStyle w:val="TOC2"/>
        <w:tabs>
          <w:tab w:val="left" w:pos="1296"/>
        </w:tabs>
        <w:rPr>
          <w:color w:val="auto"/>
          <w:kern w:val="2"/>
          <w:lang w:val="en-GB" w:eastAsia="en-GB"/>
          <w14:ligatures w14:val="standardContextual"/>
        </w:rPr>
      </w:pPr>
      <w:hyperlink w:anchor="_Toc219739764" w:history="1">
        <w:r w:rsidRPr="000F00A0">
          <w:rPr>
            <w:rStyle w:val="Hyperlink"/>
            <w:rFonts w:ascii="Calibri" w:hAnsi="Calibri" w:cs="Calibri"/>
          </w:rPr>
          <w:t>II.E.</w:t>
        </w:r>
        <w:r>
          <w:rPr>
            <w:color w:val="auto"/>
            <w:kern w:val="2"/>
            <w:lang w:val="en-GB" w:eastAsia="en-GB"/>
            <w14:ligatures w14:val="standardContextual"/>
          </w:rPr>
          <w:tab/>
        </w:r>
        <w:r w:rsidRPr="000F00A0">
          <w:rPr>
            <w:rStyle w:val="Hyperlink"/>
          </w:rPr>
          <w:t>WACC of the Telecommunications Sector in Georgia</w:t>
        </w:r>
        <w:r>
          <w:rPr>
            <w:webHidden/>
          </w:rPr>
          <w:tab/>
        </w:r>
        <w:r>
          <w:rPr>
            <w:webHidden/>
          </w:rPr>
          <w:fldChar w:fldCharType="begin"/>
        </w:r>
        <w:r>
          <w:rPr>
            <w:webHidden/>
          </w:rPr>
          <w:instrText xml:space="preserve"> PAGEREF _Toc219739764 \h </w:instrText>
        </w:r>
        <w:r>
          <w:rPr>
            <w:webHidden/>
          </w:rPr>
        </w:r>
        <w:r>
          <w:rPr>
            <w:webHidden/>
          </w:rPr>
          <w:fldChar w:fldCharType="separate"/>
        </w:r>
        <w:r w:rsidR="007F093A">
          <w:rPr>
            <w:webHidden/>
          </w:rPr>
          <w:t>12</w:t>
        </w:r>
        <w:r>
          <w:rPr>
            <w:webHidden/>
          </w:rPr>
          <w:fldChar w:fldCharType="end"/>
        </w:r>
      </w:hyperlink>
    </w:p>
    <w:p w14:paraId="1B9FA64E" w14:textId="25649623" w:rsidR="00EA70AF" w:rsidRDefault="00EA70AF">
      <w:pPr>
        <w:pStyle w:val="TOC1"/>
        <w:rPr>
          <w:color w:val="auto"/>
          <w:kern w:val="2"/>
          <w:sz w:val="24"/>
          <w:szCs w:val="24"/>
          <w:lang w:val="en-GB" w:eastAsia="en-GB"/>
          <w14:ligatures w14:val="standardContextual"/>
        </w:rPr>
      </w:pPr>
      <w:hyperlink w:anchor="_Toc219739765" w:history="1">
        <w:r w:rsidRPr="000F00A0">
          <w:rPr>
            <w:rStyle w:val="Hyperlink"/>
            <w:rFonts w:ascii="Calibri" w:hAnsi="Calibri" w:cs="Calibri"/>
            <w:lang w:val="en-CA"/>
          </w:rPr>
          <w:t>III.</w:t>
        </w:r>
        <w:r>
          <w:rPr>
            <w:color w:val="auto"/>
            <w:kern w:val="2"/>
            <w:sz w:val="24"/>
            <w:szCs w:val="24"/>
            <w:lang w:val="en-GB" w:eastAsia="en-GB"/>
            <w14:ligatures w14:val="standardContextual"/>
          </w:rPr>
          <w:tab/>
        </w:r>
        <w:r w:rsidRPr="000F00A0">
          <w:rPr>
            <w:rStyle w:val="Hyperlink"/>
          </w:rPr>
          <w:t>The Risk-Free Rate</w:t>
        </w:r>
        <w:r>
          <w:rPr>
            <w:webHidden/>
          </w:rPr>
          <w:tab/>
        </w:r>
        <w:r>
          <w:rPr>
            <w:webHidden/>
          </w:rPr>
          <w:fldChar w:fldCharType="begin"/>
        </w:r>
        <w:r>
          <w:rPr>
            <w:webHidden/>
          </w:rPr>
          <w:instrText xml:space="preserve"> PAGEREF _Toc219739765 \h </w:instrText>
        </w:r>
        <w:r>
          <w:rPr>
            <w:webHidden/>
          </w:rPr>
        </w:r>
        <w:r>
          <w:rPr>
            <w:webHidden/>
          </w:rPr>
          <w:fldChar w:fldCharType="separate"/>
        </w:r>
        <w:r w:rsidR="007F093A">
          <w:rPr>
            <w:webHidden/>
          </w:rPr>
          <w:t>14</w:t>
        </w:r>
        <w:r>
          <w:rPr>
            <w:webHidden/>
          </w:rPr>
          <w:fldChar w:fldCharType="end"/>
        </w:r>
      </w:hyperlink>
    </w:p>
    <w:p w14:paraId="56BBCA63" w14:textId="23D8127E" w:rsidR="00EA70AF" w:rsidRDefault="00EA70AF">
      <w:pPr>
        <w:pStyle w:val="TOC2"/>
        <w:tabs>
          <w:tab w:val="left" w:pos="1296"/>
        </w:tabs>
        <w:rPr>
          <w:color w:val="auto"/>
          <w:kern w:val="2"/>
          <w:lang w:val="en-GB" w:eastAsia="en-GB"/>
          <w14:ligatures w14:val="standardContextual"/>
        </w:rPr>
      </w:pPr>
      <w:hyperlink w:anchor="_Toc219739766" w:history="1">
        <w:r w:rsidRPr="000F00A0">
          <w:rPr>
            <w:rStyle w:val="Hyperlink"/>
            <w:rFonts w:ascii="Calibri" w:hAnsi="Calibri" w:cs="Calibri"/>
          </w:rPr>
          <w:t>III.A.</w:t>
        </w:r>
        <w:r>
          <w:rPr>
            <w:color w:val="auto"/>
            <w:kern w:val="2"/>
            <w:lang w:val="en-GB" w:eastAsia="en-GB"/>
            <w14:ligatures w14:val="standardContextual"/>
          </w:rPr>
          <w:tab/>
        </w:r>
        <w:r w:rsidRPr="000F00A0">
          <w:rPr>
            <w:rStyle w:val="Hyperlink"/>
          </w:rPr>
          <w:t>Reference Country</w:t>
        </w:r>
        <w:r>
          <w:rPr>
            <w:webHidden/>
          </w:rPr>
          <w:tab/>
        </w:r>
        <w:r>
          <w:rPr>
            <w:webHidden/>
          </w:rPr>
          <w:fldChar w:fldCharType="begin"/>
        </w:r>
        <w:r>
          <w:rPr>
            <w:webHidden/>
          </w:rPr>
          <w:instrText xml:space="preserve"> PAGEREF _Toc219739766 \h </w:instrText>
        </w:r>
        <w:r>
          <w:rPr>
            <w:webHidden/>
          </w:rPr>
        </w:r>
        <w:r>
          <w:rPr>
            <w:webHidden/>
          </w:rPr>
          <w:fldChar w:fldCharType="separate"/>
        </w:r>
        <w:r w:rsidR="007F093A">
          <w:rPr>
            <w:webHidden/>
          </w:rPr>
          <w:t>14</w:t>
        </w:r>
        <w:r>
          <w:rPr>
            <w:webHidden/>
          </w:rPr>
          <w:fldChar w:fldCharType="end"/>
        </w:r>
      </w:hyperlink>
    </w:p>
    <w:p w14:paraId="7D501FD0" w14:textId="3EB19F82" w:rsidR="00EA70AF" w:rsidRDefault="00EA70AF">
      <w:pPr>
        <w:pStyle w:val="TOC2"/>
        <w:tabs>
          <w:tab w:val="left" w:pos="1296"/>
        </w:tabs>
        <w:rPr>
          <w:color w:val="auto"/>
          <w:kern w:val="2"/>
          <w:lang w:val="en-GB" w:eastAsia="en-GB"/>
          <w14:ligatures w14:val="standardContextual"/>
        </w:rPr>
      </w:pPr>
      <w:hyperlink w:anchor="_Toc219739767" w:history="1">
        <w:r w:rsidRPr="000F00A0">
          <w:rPr>
            <w:rStyle w:val="Hyperlink"/>
            <w:rFonts w:ascii="Calibri" w:hAnsi="Calibri" w:cs="Calibri"/>
          </w:rPr>
          <w:t>III.B.</w:t>
        </w:r>
        <w:r>
          <w:rPr>
            <w:color w:val="auto"/>
            <w:kern w:val="2"/>
            <w:lang w:val="en-GB" w:eastAsia="en-GB"/>
            <w14:ligatures w14:val="standardContextual"/>
          </w:rPr>
          <w:tab/>
        </w:r>
        <w:r w:rsidRPr="000F00A0">
          <w:rPr>
            <w:rStyle w:val="Hyperlink"/>
          </w:rPr>
          <w:t>Averaging Period</w:t>
        </w:r>
        <w:r>
          <w:rPr>
            <w:webHidden/>
          </w:rPr>
          <w:tab/>
        </w:r>
        <w:r>
          <w:rPr>
            <w:webHidden/>
          </w:rPr>
          <w:fldChar w:fldCharType="begin"/>
        </w:r>
        <w:r>
          <w:rPr>
            <w:webHidden/>
          </w:rPr>
          <w:instrText xml:space="preserve"> PAGEREF _Toc219739767 \h </w:instrText>
        </w:r>
        <w:r>
          <w:rPr>
            <w:webHidden/>
          </w:rPr>
        </w:r>
        <w:r>
          <w:rPr>
            <w:webHidden/>
          </w:rPr>
          <w:fldChar w:fldCharType="separate"/>
        </w:r>
        <w:r w:rsidR="007F093A">
          <w:rPr>
            <w:webHidden/>
          </w:rPr>
          <w:t>15</w:t>
        </w:r>
        <w:r>
          <w:rPr>
            <w:webHidden/>
          </w:rPr>
          <w:fldChar w:fldCharType="end"/>
        </w:r>
      </w:hyperlink>
    </w:p>
    <w:p w14:paraId="05E16554" w14:textId="3D67EB51" w:rsidR="00EA70AF" w:rsidRDefault="00EA70AF">
      <w:pPr>
        <w:pStyle w:val="TOC2"/>
        <w:tabs>
          <w:tab w:val="left" w:pos="1296"/>
        </w:tabs>
        <w:rPr>
          <w:color w:val="auto"/>
          <w:kern w:val="2"/>
          <w:lang w:val="en-GB" w:eastAsia="en-GB"/>
          <w14:ligatures w14:val="standardContextual"/>
        </w:rPr>
      </w:pPr>
      <w:hyperlink w:anchor="_Toc219739768" w:history="1">
        <w:r w:rsidRPr="000F00A0">
          <w:rPr>
            <w:rStyle w:val="Hyperlink"/>
            <w:rFonts w:ascii="Calibri" w:hAnsi="Calibri" w:cs="Calibri"/>
          </w:rPr>
          <w:t>III.C.</w:t>
        </w:r>
        <w:r>
          <w:rPr>
            <w:color w:val="auto"/>
            <w:kern w:val="2"/>
            <w:lang w:val="en-GB" w:eastAsia="en-GB"/>
            <w14:ligatures w14:val="standardContextual"/>
          </w:rPr>
          <w:tab/>
        </w:r>
        <w:r w:rsidRPr="000F00A0">
          <w:rPr>
            <w:rStyle w:val="Hyperlink"/>
          </w:rPr>
          <w:t>Maturity of the Bond</w:t>
        </w:r>
        <w:r>
          <w:rPr>
            <w:webHidden/>
          </w:rPr>
          <w:tab/>
        </w:r>
        <w:r>
          <w:rPr>
            <w:webHidden/>
          </w:rPr>
          <w:fldChar w:fldCharType="begin"/>
        </w:r>
        <w:r>
          <w:rPr>
            <w:webHidden/>
          </w:rPr>
          <w:instrText xml:space="preserve"> PAGEREF _Toc219739768 \h </w:instrText>
        </w:r>
        <w:r>
          <w:rPr>
            <w:webHidden/>
          </w:rPr>
        </w:r>
        <w:r>
          <w:rPr>
            <w:webHidden/>
          </w:rPr>
          <w:fldChar w:fldCharType="separate"/>
        </w:r>
        <w:r w:rsidR="007F093A">
          <w:rPr>
            <w:webHidden/>
          </w:rPr>
          <w:t>17</w:t>
        </w:r>
        <w:r>
          <w:rPr>
            <w:webHidden/>
          </w:rPr>
          <w:fldChar w:fldCharType="end"/>
        </w:r>
      </w:hyperlink>
    </w:p>
    <w:p w14:paraId="32F8F73F" w14:textId="6BC6FA45" w:rsidR="00EA70AF" w:rsidRDefault="00EA70AF">
      <w:pPr>
        <w:pStyle w:val="TOC2"/>
        <w:tabs>
          <w:tab w:val="left" w:pos="1296"/>
        </w:tabs>
        <w:rPr>
          <w:color w:val="auto"/>
          <w:kern w:val="2"/>
          <w:lang w:val="en-GB" w:eastAsia="en-GB"/>
          <w14:ligatures w14:val="standardContextual"/>
        </w:rPr>
      </w:pPr>
      <w:hyperlink w:anchor="_Toc219739769" w:history="1">
        <w:r w:rsidRPr="000F00A0">
          <w:rPr>
            <w:rStyle w:val="Hyperlink"/>
            <w:rFonts w:ascii="Calibri" w:hAnsi="Calibri" w:cs="Calibri"/>
          </w:rPr>
          <w:t>III.D.</w:t>
        </w:r>
        <w:r>
          <w:rPr>
            <w:color w:val="auto"/>
            <w:kern w:val="2"/>
            <w:lang w:val="en-GB" w:eastAsia="en-GB"/>
            <w14:ligatures w14:val="standardContextual"/>
          </w:rPr>
          <w:tab/>
        </w:r>
        <w:r w:rsidRPr="000F00A0">
          <w:rPr>
            <w:rStyle w:val="Hyperlink"/>
          </w:rPr>
          <w:t>Calculation of the Risk-Free Rate for telecoms services in Georgia</w:t>
        </w:r>
        <w:r>
          <w:rPr>
            <w:webHidden/>
          </w:rPr>
          <w:tab/>
        </w:r>
        <w:r>
          <w:rPr>
            <w:webHidden/>
          </w:rPr>
          <w:fldChar w:fldCharType="begin"/>
        </w:r>
        <w:r>
          <w:rPr>
            <w:webHidden/>
          </w:rPr>
          <w:instrText xml:space="preserve"> PAGEREF _Toc219739769 \h </w:instrText>
        </w:r>
        <w:r>
          <w:rPr>
            <w:webHidden/>
          </w:rPr>
        </w:r>
        <w:r>
          <w:rPr>
            <w:webHidden/>
          </w:rPr>
          <w:fldChar w:fldCharType="separate"/>
        </w:r>
        <w:r w:rsidR="007F093A">
          <w:rPr>
            <w:webHidden/>
          </w:rPr>
          <w:t>20</w:t>
        </w:r>
        <w:r>
          <w:rPr>
            <w:webHidden/>
          </w:rPr>
          <w:fldChar w:fldCharType="end"/>
        </w:r>
      </w:hyperlink>
    </w:p>
    <w:p w14:paraId="1431FA6A" w14:textId="748A5659" w:rsidR="00EA70AF" w:rsidRDefault="00EA70AF">
      <w:pPr>
        <w:pStyle w:val="TOC1"/>
        <w:rPr>
          <w:color w:val="auto"/>
          <w:kern w:val="2"/>
          <w:sz w:val="24"/>
          <w:szCs w:val="24"/>
          <w:lang w:val="en-GB" w:eastAsia="en-GB"/>
          <w14:ligatures w14:val="standardContextual"/>
        </w:rPr>
      </w:pPr>
      <w:hyperlink w:anchor="_Toc219739770" w:history="1">
        <w:r w:rsidRPr="000F00A0">
          <w:rPr>
            <w:rStyle w:val="Hyperlink"/>
            <w:rFonts w:ascii="Calibri" w:hAnsi="Calibri" w:cs="Calibri"/>
            <w:lang w:val="en-CA"/>
          </w:rPr>
          <w:t>IV.</w:t>
        </w:r>
        <w:r>
          <w:rPr>
            <w:color w:val="auto"/>
            <w:kern w:val="2"/>
            <w:sz w:val="24"/>
            <w:szCs w:val="24"/>
            <w:lang w:val="en-GB" w:eastAsia="en-GB"/>
            <w14:ligatures w14:val="standardContextual"/>
          </w:rPr>
          <w:tab/>
        </w:r>
        <w:r w:rsidRPr="000F00A0">
          <w:rPr>
            <w:rStyle w:val="Hyperlink"/>
          </w:rPr>
          <w:t>The Equity Risk Premium</w:t>
        </w:r>
        <w:r>
          <w:rPr>
            <w:webHidden/>
          </w:rPr>
          <w:tab/>
        </w:r>
        <w:r>
          <w:rPr>
            <w:webHidden/>
          </w:rPr>
          <w:fldChar w:fldCharType="begin"/>
        </w:r>
        <w:r>
          <w:rPr>
            <w:webHidden/>
          </w:rPr>
          <w:instrText xml:space="preserve"> PAGEREF _Toc219739770 \h </w:instrText>
        </w:r>
        <w:r>
          <w:rPr>
            <w:webHidden/>
          </w:rPr>
        </w:r>
        <w:r>
          <w:rPr>
            <w:webHidden/>
          </w:rPr>
          <w:fldChar w:fldCharType="separate"/>
        </w:r>
        <w:r w:rsidR="007F093A">
          <w:rPr>
            <w:webHidden/>
          </w:rPr>
          <w:t>23</w:t>
        </w:r>
        <w:r>
          <w:rPr>
            <w:webHidden/>
          </w:rPr>
          <w:fldChar w:fldCharType="end"/>
        </w:r>
      </w:hyperlink>
    </w:p>
    <w:p w14:paraId="5C6075C5" w14:textId="2450AE75" w:rsidR="00EA70AF" w:rsidRDefault="00EA70AF">
      <w:pPr>
        <w:pStyle w:val="TOC2"/>
        <w:tabs>
          <w:tab w:val="left" w:pos="1296"/>
        </w:tabs>
        <w:rPr>
          <w:color w:val="auto"/>
          <w:kern w:val="2"/>
          <w:lang w:val="en-GB" w:eastAsia="en-GB"/>
          <w14:ligatures w14:val="standardContextual"/>
        </w:rPr>
      </w:pPr>
      <w:hyperlink w:anchor="_Toc219739771" w:history="1">
        <w:r w:rsidRPr="000F00A0">
          <w:rPr>
            <w:rStyle w:val="Hyperlink"/>
            <w:rFonts w:ascii="Calibri" w:hAnsi="Calibri" w:cs="Calibri"/>
          </w:rPr>
          <w:t>IV.A.</w:t>
        </w:r>
        <w:r>
          <w:rPr>
            <w:color w:val="auto"/>
            <w:kern w:val="2"/>
            <w:lang w:val="en-GB" w:eastAsia="en-GB"/>
            <w14:ligatures w14:val="standardContextual"/>
          </w:rPr>
          <w:tab/>
        </w:r>
        <w:r w:rsidRPr="000F00A0">
          <w:rPr>
            <w:rStyle w:val="Hyperlink"/>
          </w:rPr>
          <w:t>Methodological Considerations</w:t>
        </w:r>
        <w:r>
          <w:rPr>
            <w:webHidden/>
          </w:rPr>
          <w:tab/>
        </w:r>
        <w:r>
          <w:rPr>
            <w:webHidden/>
          </w:rPr>
          <w:fldChar w:fldCharType="begin"/>
        </w:r>
        <w:r>
          <w:rPr>
            <w:webHidden/>
          </w:rPr>
          <w:instrText xml:space="preserve"> PAGEREF _Toc219739771 \h </w:instrText>
        </w:r>
        <w:r>
          <w:rPr>
            <w:webHidden/>
          </w:rPr>
        </w:r>
        <w:r>
          <w:rPr>
            <w:webHidden/>
          </w:rPr>
          <w:fldChar w:fldCharType="separate"/>
        </w:r>
        <w:r w:rsidR="007F093A">
          <w:rPr>
            <w:webHidden/>
          </w:rPr>
          <w:t>23</w:t>
        </w:r>
        <w:r>
          <w:rPr>
            <w:webHidden/>
          </w:rPr>
          <w:fldChar w:fldCharType="end"/>
        </w:r>
      </w:hyperlink>
    </w:p>
    <w:p w14:paraId="7B92E86B" w14:textId="5BC94D4C" w:rsidR="00EA70AF" w:rsidRDefault="00EA70AF">
      <w:pPr>
        <w:pStyle w:val="TOC3"/>
        <w:tabs>
          <w:tab w:val="left" w:pos="3168"/>
        </w:tabs>
        <w:rPr>
          <w:kern w:val="2"/>
          <w:szCs w:val="24"/>
          <w:lang w:val="en-GB" w:eastAsia="en-GB"/>
          <w14:ligatures w14:val="standardContextual"/>
        </w:rPr>
      </w:pPr>
      <w:hyperlink w:anchor="_Toc219739772" w:history="1">
        <w:r w:rsidRPr="000F00A0">
          <w:rPr>
            <w:rStyle w:val="Hyperlink"/>
            <w:rFonts w:ascii="Calibri" w:hAnsi="Calibri" w:cs="Calibri"/>
          </w:rPr>
          <w:t>IV.A.1.</w:t>
        </w:r>
        <w:r>
          <w:rPr>
            <w:kern w:val="2"/>
            <w:szCs w:val="24"/>
            <w:lang w:val="en-GB" w:eastAsia="en-GB"/>
            <w14:ligatures w14:val="standardContextual"/>
          </w:rPr>
          <w:tab/>
        </w:r>
        <w:r w:rsidRPr="000F00A0">
          <w:rPr>
            <w:rStyle w:val="Hyperlink"/>
          </w:rPr>
          <w:t>Methodology for Estimating the ERP</w:t>
        </w:r>
        <w:r>
          <w:rPr>
            <w:webHidden/>
          </w:rPr>
          <w:tab/>
        </w:r>
        <w:r>
          <w:rPr>
            <w:webHidden/>
          </w:rPr>
          <w:fldChar w:fldCharType="begin"/>
        </w:r>
        <w:r>
          <w:rPr>
            <w:webHidden/>
          </w:rPr>
          <w:instrText xml:space="preserve"> PAGEREF _Toc219739772 \h </w:instrText>
        </w:r>
        <w:r>
          <w:rPr>
            <w:webHidden/>
          </w:rPr>
        </w:r>
        <w:r>
          <w:rPr>
            <w:webHidden/>
          </w:rPr>
          <w:fldChar w:fldCharType="separate"/>
        </w:r>
        <w:r w:rsidR="007F093A">
          <w:rPr>
            <w:webHidden/>
          </w:rPr>
          <w:t>23</w:t>
        </w:r>
        <w:r>
          <w:rPr>
            <w:webHidden/>
          </w:rPr>
          <w:fldChar w:fldCharType="end"/>
        </w:r>
      </w:hyperlink>
    </w:p>
    <w:p w14:paraId="4DEB599D" w14:textId="2FB25680" w:rsidR="00EA70AF" w:rsidRDefault="00EA70AF">
      <w:pPr>
        <w:pStyle w:val="TOC3"/>
        <w:tabs>
          <w:tab w:val="left" w:pos="3168"/>
        </w:tabs>
        <w:rPr>
          <w:kern w:val="2"/>
          <w:szCs w:val="24"/>
          <w:lang w:val="en-GB" w:eastAsia="en-GB"/>
          <w14:ligatures w14:val="standardContextual"/>
        </w:rPr>
      </w:pPr>
      <w:hyperlink w:anchor="_Toc219739773" w:history="1">
        <w:r w:rsidRPr="000F00A0">
          <w:rPr>
            <w:rStyle w:val="Hyperlink"/>
            <w:rFonts w:ascii="Calibri" w:hAnsi="Calibri" w:cs="Calibri"/>
          </w:rPr>
          <w:t>IV.A.2.</w:t>
        </w:r>
        <w:r>
          <w:rPr>
            <w:kern w:val="2"/>
            <w:szCs w:val="24"/>
            <w:lang w:val="en-GB" w:eastAsia="en-GB"/>
            <w14:ligatures w14:val="standardContextual"/>
          </w:rPr>
          <w:tab/>
        </w:r>
        <w:r w:rsidRPr="000F00A0">
          <w:rPr>
            <w:rStyle w:val="Hyperlink"/>
          </w:rPr>
          <w:t>Geographic scope of the ERP</w:t>
        </w:r>
        <w:r>
          <w:rPr>
            <w:webHidden/>
          </w:rPr>
          <w:tab/>
        </w:r>
        <w:r>
          <w:rPr>
            <w:webHidden/>
          </w:rPr>
          <w:fldChar w:fldCharType="begin"/>
        </w:r>
        <w:r>
          <w:rPr>
            <w:webHidden/>
          </w:rPr>
          <w:instrText xml:space="preserve"> PAGEREF _Toc219739773 \h </w:instrText>
        </w:r>
        <w:r>
          <w:rPr>
            <w:webHidden/>
          </w:rPr>
        </w:r>
        <w:r>
          <w:rPr>
            <w:webHidden/>
          </w:rPr>
          <w:fldChar w:fldCharType="separate"/>
        </w:r>
        <w:r w:rsidR="007F093A">
          <w:rPr>
            <w:webHidden/>
          </w:rPr>
          <w:t>24</w:t>
        </w:r>
        <w:r>
          <w:rPr>
            <w:webHidden/>
          </w:rPr>
          <w:fldChar w:fldCharType="end"/>
        </w:r>
      </w:hyperlink>
    </w:p>
    <w:p w14:paraId="58D9C8E8" w14:textId="7B0EE4B1" w:rsidR="00EA70AF" w:rsidRDefault="00EA70AF">
      <w:pPr>
        <w:pStyle w:val="TOC2"/>
        <w:tabs>
          <w:tab w:val="left" w:pos="1296"/>
        </w:tabs>
        <w:rPr>
          <w:color w:val="auto"/>
          <w:kern w:val="2"/>
          <w:lang w:val="en-GB" w:eastAsia="en-GB"/>
          <w14:ligatures w14:val="standardContextual"/>
        </w:rPr>
      </w:pPr>
      <w:hyperlink w:anchor="_Toc219739774" w:history="1">
        <w:r w:rsidRPr="000F00A0">
          <w:rPr>
            <w:rStyle w:val="Hyperlink"/>
            <w:rFonts w:ascii="Calibri" w:hAnsi="Calibri" w:cs="Calibri"/>
          </w:rPr>
          <w:t>IV.B.</w:t>
        </w:r>
        <w:r>
          <w:rPr>
            <w:color w:val="auto"/>
            <w:kern w:val="2"/>
            <w:lang w:val="en-GB" w:eastAsia="en-GB"/>
            <w14:ligatures w14:val="standardContextual"/>
          </w:rPr>
          <w:tab/>
        </w:r>
        <w:r w:rsidRPr="000F00A0">
          <w:rPr>
            <w:rStyle w:val="Hyperlink"/>
          </w:rPr>
          <w:t>Evidence on the ERP</w:t>
        </w:r>
        <w:r>
          <w:rPr>
            <w:webHidden/>
          </w:rPr>
          <w:tab/>
        </w:r>
        <w:r>
          <w:rPr>
            <w:webHidden/>
          </w:rPr>
          <w:fldChar w:fldCharType="begin"/>
        </w:r>
        <w:r>
          <w:rPr>
            <w:webHidden/>
          </w:rPr>
          <w:instrText xml:space="preserve"> PAGEREF _Toc219739774 \h </w:instrText>
        </w:r>
        <w:r>
          <w:rPr>
            <w:webHidden/>
          </w:rPr>
        </w:r>
        <w:r>
          <w:rPr>
            <w:webHidden/>
          </w:rPr>
          <w:fldChar w:fldCharType="separate"/>
        </w:r>
        <w:r w:rsidR="007F093A">
          <w:rPr>
            <w:webHidden/>
          </w:rPr>
          <w:t>25</w:t>
        </w:r>
        <w:r>
          <w:rPr>
            <w:webHidden/>
          </w:rPr>
          <w:fldChar w:fldCharType="end"/>
        </w:r>
      </w:hyperlink>
    </w:p>
    <w:p w14:paraId="35FD4333" w14:textId="0E062864" w:rsidR="00EA70AF" w:rsidRDefault="00EA70AF">
      <w:pPr>
        <w:pStyle w:val="TOC1"/>
        <w:rPr>
          <w:color w:val="auto"/>
          <w:kern w:val="2"/>
          <w:sz w:val="24"/>
          <w:szCs w:val="24"/>
          <w:lang w:val="en-GB" w:eastAsia="en-GB"/>
          <w14:ligatures w14:val="standardContextual"/>
        </w:rPr>
      </w:pPr>
      <w:hyperlink w:anchor="_Toc219739775" w:history="1">
        <w:r w:rsidRPr="000F00A0">
          <w:rPr>
            <w:rStyle w:val="Hyperlink"/>
            <w:rFonts w:ascii="Calibri" w:hAnsi="Calibri" w:cs="Calibri"/>
            <w:lang w:val="en-CA"/>
          </w:rPr>
          <w:t>V.</w:t>
        </w:r>
        <w:r>
          <w:rPr>
            <w:color w:val="auto"/>
            <w:kern w:val="2"/>
            <w:sz w:val="24"/>
            <w:szCs w:val="24"/>
            <w:lang w:val="en-GB" w:eastAsia="en-GB"/>
            <w14:ligatures w14:val="standardContextual"/>
          </w:rPr>
          <w:tab/>
        </w:r>
        <w:r w:rsidRPr="000F00A0">
          <w:rPr>
            <w:rStyle w:val="Hyperlink"/>
          </w:rPr>
          <w:t>Selection of the Peer Groups and Screening Tests</w:t>
        </w:r>
        <w:r>
          <w:rPr>
            <w:webHidden/>
          </w:rPr>
          <w:tab/>
        </w:r>
        <w:r>
          <w:rPr>
            <w:webHidden/>
          </w:rPr>
          <w:fldChar w:fldCharType="begin"/>
        </w:r>
        <w:r>
          <w:rPr>
            <w:webHidden/>
          </w:rPr>
          <w:instrText xml:space="preserve"> PAGEREF _Toc219739775 \h </w:instrText>
        </w:r>
        <w:r>
          <w:rPr>
            <w:webHidden/>
          </w:rPr>
        </w:r>
        <w:r>
          <w:rPr>
            <w:webHidden/>
          </w:rPr>
          <w:fldChar w:fldCharType="separate"/>
        </w:r>
        <w:r w:rsidR="007F093A">
          <w:rPr>
            <w:webHidden/>
          </w:rPr>
          <w:t>29</w:t>
        </w:r>
        <w:r>
          <w:rPr>
            <w:webHidden/>
          </w:rPr>
          <w:fldChar w:fldCharType="end"/>
        </w:r>
      </w:hyperlink>
    </w:p>
    <w:p w14:paraId="5007C9FA" w14:textId="7826F945" w:rsidR="00EA70AF" w:rsidRDefault="00EA70AF">
      <w:pPr>
        <w:pStyle w:val="TOC2"/>
        <w:tabs>
          <w:tab w:val="left" w:pos="1296"/>
        </w:tabs>
        <w:rPr>
          <w:color w:val="auto"/>
          <w:kern w:val="2"/>
          <w:lang w:val="en-GB" w:eastAsia="en-GB"/>
          <w14:ligatures w14:val="standardContextual"/>
        </w:rPr>
      </w:pPr>
      <w:hyperlink w:anchor="_Toc219739776" w:history="1">
        <w:r w:rsidRPr="000F00A0">
          <w:rPr>
            <w:rStyle w:val="Hyperlink"/>
            <w:rFonts w:ascii="Calibri" w:hAnsi="Calibri" w:cs="Calibri"/>
          </w:rPr>
          <w:t>V.A.</w:t>
        </w:r>
        <w:r>
          <w:rPr>
            <w:color w:val="auto"/>
            <w:kern w:val="2"/>
            <w:lang w:val="en-GB" w:eastAsia="en-GB"/>
            <w14:ligatures w14:val="standardContextual"/>
          </w:rPr>
          <w:tab/>
        </w:r>
        <w:r w:rsidRPr="000F00A0">
          <w:rPr>
            <w:rStyle w:val="Hyperlink"/>
          </w:rPr>
          <w:t>Potential Peers</w:t>
        </w:r>
        <w:r>
          <w:rPr>
            <w:webHidden/>
          </w:rPr>
          <w:tab/>
        </w:r>
        <w:r>
          <w:rPr>
            <w:webHidden/>
          </w:rPr>
          <w:fldChar w:fldCharType="begin"/>
        </w:r>
        <w:r>
          <w:rPr>
            <w:webHidden/>
          </w:rPr>
          <w:instrText xml:space="preserve"> PAGEREF _Toc219739776 \h </w:instrText>
        </w:r>
        <w:r>
          <w:rPr>
            <w:webHidden/>
          </w:rPr>
        </w:r>
        <w:r>
          <w:rPr>
            <w:webHidden/>
          </w:rPr>
          <w:fldChar w:fldCharType="separate"/>
        </w:r>
        <w:r w:rsidR="007F093A">
          <w:rPr>
            <w:webHidden/>
          </w:rPr>
          <w:t>29</w:t>
        </w:r>
        <w:r>
          <w:rPr>
            <w:webHidden/>
          </w:rPr>
          <w:fldChar w:fldCharType="end"/>
        </w:r>
      </w:hyperlink>
    </w:p>
    <w:p w14:paraId="55DC5C7A" w14:textId="4C016F5D" w:rsidR="00EA70AF" w:rsidRDefault="00EA70AF">
      <w:pPr>
        <w:pStyle w:val="TOC2"/>
        <w:tabs>
          <w:tab w:val="left" w:pos="1296"/>
        </w:tabs>
        <w:rPr>
          <w:color w:val="auto"/>
          <w:kern w:val="2"/>
          <w:lang w:val="en-GB" w:eastAsia="en-GB"/>
          <w14:ligatures w14:val="standardContextual"/>
        </w:rPr>
      </w:pPr>
      <w:hyperlink w:anchor="_Toc219739777" w:history="1">
        <w:r w:rsidRPr="000F00A0">
          <w:rPr>
            <w:rStyle w:val="Hyperlink"/>
            <w:rFonts w:ascii="Calibri" w:hAnsi="Calibri" w:cs="Calibri"/>
          </w:rPr>
          <w:t>V.B.</w:t>
        </w:r>
        <w:r>
          <w:rPr>
            <w:color w:val="auto"/>
            <w:kern w:val="2"/>
            <w:lang w:val="en-GB" w:eastAsia="en-GB"/>
            <w14:ligatures w14:val="standardContextual"/>
          </w:rPr>
          <w:tab/>
        </w:r>
        <w:r w:rsidRPr="000F00A0">
          <w:rPr>
            <w:rStyle w:val="Hyperlink"/>
          </w:rPr>
          <w:t>Liquidity and other screening tests</w:t>
        </w:r>
        <w:r>
          <w:rPr>
            <w:webHidden/>
          </w:rPr>
          <w:tab/>
        </w:r>
        <w:r>
          <w:rPr>
            <w:webHidden/>
          </w:rPr>
          <w:fldChar w:fldCharType="begin"/>
        </w:r>
        <w:r>
          <w:rPr>
            <w:webHidden/>
          </w:rPr>
          <w:instrText xml:space="preserve"> PAGEREF _Toc219739777 \h </w:instrText>
        </w:r>
        <w:r>
          <w:rPr>
            <w:webHidden/>
          </w:rPr>
        </w:r>
        <w:r>
          <w:rPr>
            <w:webHidden/>
          </w:rPr>
          <w:fldChar w:fldCharType="separate"/>
        </w:r>
        <w:r w:rsidR="007F093A">
          <w:rPr>
            <w:webHidden/>
          </w:rPr>
          <w:t>31</w:t>
        </w:r>
        <w:r>
          <w:rPr>
            <w:webHidden/>
          </w:rPr>
          <w:fldChar w:fldCharType="end"/>
        </w:r>
      </w:hyperlink>
    </w:p>
    <w:p w14:paraId="01D49A4D" w14:textId="7B16944D" w:rsidR="00EA70AF" w:rsidRDefault="00EA70AF">
      <w:pPr>
        <w:pStyle w:val="TOC2"/>
        <w:tabs>
          <w:tab w:val="left" w:pos="1296"/>
        </w:tabs>
        <w:rPr>
          <w:color w:val="auto"/>
          <w:kern w:val="2"/>
          <w:lang w:val="en-GB" w:eastAsia="en-GB"/>
          <w14:ligatures w14:val="standardContextual"/>
        </w:rPr>
      </w:pPr>
      <w:hyperlink w:anchor="_Toc219739778" w:history="1">
        <w:r w:rsidRPr="000F00A0">
          <w:rPr>
            <w:rStyle w:val="Hyperlink"/>
            <w:rFonts w:ascii="Calibri" w:hAnsi="Calibri" w:cs="Calibri"/>
          </w:rPr>
          <w:t>V.C.</w:t>
        </w:r>
        <w:r>
          <w:rPr>
            <w:color w:val="auto"/>
            <w:kern w:val="2"/>
            <w:lang w:val="en-GB" w:eastAsia="en-GB"/>
            <w14:ligatures w14:val="standardContextual"/>
          </w:rPr>
          <w:tab/>
        </w:r>
        <w:r w:rsidRPr="000F00A0">
          <w:rPr>
            <w:rStyle w:val="Hyperlink"/>
          </w:rPr>
          <w:t>The Final Sample of Peers</w:t>
        </w:r>
        <w:r>
          <w:rPr>
            <w:webHidden/>
          </w:rPr>
          <w:tab/>
        </w:r>
        <w:r>
          <w:rPr>
            <w:webHidden/>
          </w:rPr>
          <w:fldChar w:fldCharType="begin"/>
        </w:r>
        <w:r>
          <w:rPr>
            <w:webHidden/>
          </w:rPr>
          <w:instrText xml:space="preserve"> PAGEREF _Toc219739778 \h </w:instrText>
        </w:r>
        <w:r>
          <w:rPr>
            <w:webHidden/>
          </w:rPr>
        </w:r>
        <w:r>
          <w:rPr>
            <w:webHidden/>
          </w:rPr>
          <w:fldChar w:fldCharType="separate"/>
        </w:r>
        <w:r w:rsidR="007F093A">
          <w:rPr>
            <w:webHidden/>
          </w:rPr>
          <w:t>33</w:t>
        </w:r>
        <w:r>
          <w:rPr>
            <w:webHidden/>
          </w:rPr>
          <w:fldChar w:fldCharType="end"/>
        </w:r>
      </w:hyperlink>
    </w:p>
    <w:p w14:paraId="5430379D" w14:textId="53FC2025" w:rsidR="00EA70AF" w:rsidRDefault="00EA70AF">
      <w:pPr>
        <w:pStyle w:val="TOC1"/>
        <w:rPr>
          <w:color w:val="auto"/>
          <w:kern w:val="2"/>
          <w:sz w:val="24"/>
          <w:szCs w:val="24"/>
          <w:lang w:val="en-GB" w:eastAsia="en-GB"/>
          <w14:ligatures w14:val="standardContextual"/>
        </w:rPr>
      </w:pPr>
      <w:hyperlink w:anchor="_Toc219739779" w:history="1">
        <w:r w:rsidRPr="000F00A0">
          <w:rPr>
            <w:rStyle w:val="Hyperlink"/>
            <w:rFonts w:ascii="Calibri" w:hAnsi="Calibri" w:cs="Calibri"/>
            <w:lang w:val="en-CA"/>
          </w:rPr>
          <w:t>VI.</w:t>
        </w:r>
        <w:r>
          <w:rPr>
            <w:color w:val="auto"/>
            <w:kern w:val="2"/>
            <w:sz w:val="24"/>
            <w:szCs w:val="24"/>
            <w:lang w:val="en-GB" w:eastAsia="en-GB"/>
            <w14:ligatures w14:val="standardContextual"/>
          </w:rPr>
          <w:tab/>
        </w:r>
        <w:r w:rsidRPr="000F00A0">
          <w:rPr>
            <w:rStyle w:val="Hyperlink"/>
          </w:rPr>
          <w:t>Beta and Gearing</w:t>
        </w:r>
        <w:r>
          <w:rPr>
            <w:webHidden/>
          </w:rPr>
          <w:tab/>
        </w:r>
        <w:r>
          <w:rPr>
            <w:webHidden/>
          </w:rPr>
          <w:fldChar w:fldCharType="begin"/>
        </w:r>
        <w:r>
          <w:rPr>
            <w:webHidden/>
          </w:rPr>
          <w:instrText xml:space="preserve"> PAGEREF _Toc219739779 \h </w:instrText>
        </w:r>
        <w:r>
          <w:rPr>
            <w:webHidden/>
          </w:rPr>
        </w:r>
        <w:r>
          <w:rPr>
            <w:webHidden/>
          </w:rPr>
          <w:fldChar w:fldCharType="separate"/>
        </w:r>
        <w:r w:rsidR="007F093A">
          <w:rPr>
            <w:webHidden/>
          </w:rPr>
          <w:t>34</w:t>
        </w:r>
        <w:r>
          <w:rPr>
            <w:webHidden/>
          </w:rPr>
          <w:fldChar w:fldCharType="end"/>
        </w:r>
      </w:hyperlink>
    </w:p>
    <w:p w14:paraId="58D2725B" w14:textId="21A9BDB3" w:rsidR="00EA70AF" w:rsidRDefault="00EA70AF">
      <w:pPr>
        <w:pStyle w:val="TOC2"/>
        <w:tabs>
          <w:tab w:val="left" w:pos="1296"/>
        </w:tabs>
        <w:rPr>
          <w:color w:val="auto"/>
          <w:kern w:val="2"/>
          <w:lang w:val="en-GB" w:eastAsia="en-GB"/>
          <w14:ligatures w14:val="standardContextual"/>
        </w:rPr>
      </w:pPr>
      <w:hyperlink w:anchor="_Toc219739780" w:history="1">
        <w:r w:rsidRPr="000F00A0">
          <w:rPr>
            <w:rStyle w:val="Hyperlink"/>
            <w:rFonts w:ascii="Calibri" w:hAnsi="Calibri" w:cs="Calibri"/>
          </w:rPr>
          <w:t>VI.A.</w:t>
        </w:r>
        <w:r>
          <w:rPr>
            <w:color w:val="auto"/>
            <w:kern w:val="2"/>
            <w:lang w:val="en-GB" w:eastAsia="en-GB"/>
            <w14:ligatures w14:val="standardContextual"/>
          </w:rPr>
          <w:tab/>
        </w:r>
        <w:r w:rsidRPr="000F00A0">
          <w:rPr>
            <w:rStyle w:val="Hyperlink"/>
          </w:rPr>
          <w:t>Methodological considerations</w:t>
        </w:r>
        <w:r>
          <w:rPr>
            <w:webHidden/>
          </w:rPr>
          <w:tab/>
        </w:r>
        <w:r>
          <w:rPr>
            <w:webHidden/>
          </w:rPr>
          <w:fldChar w:fldCharType="begin"/>
        </w:r>
        <w:r>
          <w:rPr>
            <w:webHidden/>
          </w:rPr>
          <w:instrText xml:space="preserve"> PAGEREF _Toc219739780 \h </w:instrText>
        </w:r>
        <w:r>
          <w:rPr>
            <w:webHidden/>
          </w:rPr>
        </w:r>
        <w:r>
          <w:rPr>
            <w:webHidden/>
          </w:rPr>
          <w:fldChar w:fldCharType="separate"/>
        </w:r>
        <w:r w:rsidR="007F093A">
          <w:rPr>
            <w:webHidden/>
          </w:rPr>
          <w:t>34</w:t>
        </w:r>
        <w:r>
          <w:rPr>
            <w:webHidden/>
          </w:rPr>
          <w:fldChar w:fldCharType="end"/>
        </w:r>
      </w:hyperlink>
    </w:p>
    <w:p w14:paraId="1C79E241" w14:textId="1A983DBC" w:rsidR="00EA70AF" w:rsidRDefault="00EA70AF">
      <w:pPr>
        <w:pStyle w:val="TOC2"/>
        <w:tabs>
          <w:tab w:val="left" w:pos="1296"/>
        </w:tabs>
        <w:rPr>
          <w:color w:val="auto"/>
          <w:kern w:val="2"/>
          <w:lang w:val="en-GB" w:eastAsia="en-GB"/>
          <w14:ligatures w14:val="standardContextual"/>
        </w:rPr>
      </w:pPr>
      <w:hyperlink w:anchor="_Toc219739781" w:history="1">
        <w:r w:rsidRPr="000F00A0">
          <w:rPr>
            <w:rStyle w:val="Hyperlink"/>
            <w:rFonts w:ascii="Calibri" w:hAnsi="Calibri" w:cs="Calibri"/>
          </w:rPr>
          <w:t>VI.B.</w:t>
        </w:r>
        <w:r>
          <w:rPr>
            <w:color w:val="auto"/>
            <w:kern w:val="2"/>
            <w:lang w:val="en-GB" w:eastAsia="en-GB"/>
            <w14:ligatures w14:val="standardContextual"/>
          </w:rPr>
          <w:tab/>
        </w:r>
        <w:r w:rsidRPr="000F00A0">
          <w:rPr>
            <w:rStyle w:val="Hyperlink"/>
          </w:rPr>
          <w:t>Peer Groups Equity Betas</w:t>
        </w:r>
        <w:r>
          <w:rPr>
            <w:webHidden/>
          </w:rPr>
          <w:tab/>
        </w:r>
        <w:r>
          <w:rPr>
            <w:webHidden/>
          </w:rPr>
          <w:fldChar w:fldCharType="begin"/>
        </w:r>
        <w:r>
          <w:rPr>
            <w:webHidden/>
          </w:rPr>
          <w:instrText xml:space="preserve"> PAGEREF _Toc219739781 \h </w:instrText>
        </w:r>
        <w:r>
          <w:rPr>
            <w:webHidden/>
          </w:rPr>
        </w:r>
        <w:r>
          <w:rPr>
            <w:webHidden/>
          </w:rPr>
          <w:fldChar w:fldCharType="separate"/>
        </w:r>
        <w:r w:rsidR="007F093A">
          <w:rPr>
            <w:webHidden/>
          </w:rPr>
          <w:t>35</w:t>
        </w:r>
        <w:r>
          <w:rPr>
            <w:webHidden/>
          </w:rPr>
          <w:fldChar w:fldCharType="end"/>
        </w:r>
      </w:hyperlink>
    </w:p>
    <w:p w14:paraId="0AE99F40" w14:textId="53104CB7" w:rsidR="00EA70AF" w:rsidRDefault="00EA70AF">
      <w:pPr>
        <w:pStyle w:val="TOC2"/>
        <w:tabs>
          <w:tab w:val="left" w:pos="1296"/>
        </w:tabs>
        <w:rPr>
          <w:color w:val="auto"/>
          <w:kern w:val="2"/>
          <w:lang w:val="en-GB" w:eastAsia="en-GB"/>
          <w14:ligatures w14:val="standardContextual"/>
        </w:rPr>
      </w:pPr>
      <w:hyperlink w:anchor="_Toc219739782" w:history="1">
        <w:r w:rsidRPr="000F00A0">
          <w:rPr>
            <w:rStyle w:val="Hyperlink"/>
            <w:rFonts w:ascii="Calibri" w:hAnsi="Calibri" w:cs="Calibri"/>
          </w:rPr>
          <w:t>VI.C.</w:t>
        </w:r>
        <w:r>
          <w:rPr>
            <w:color w:val="auto"/>
            <w:kern w:val="2"/>
            <w:lang w:val="en-GB" w:eastAsia="en-GB"/>
            <w14:ligatures w14:val="standardContextual"/>
          </w:rPr>
          <w:tab/>
        </w:r>
        <w:r w:rsidRPr="000F00A0">
          <w:rPr>
            <w:rStyle w:val="Hyperlink"/>
          </w:rPr>
          <w:t>Peer Groups Gearing and Asset Betas</w:t>
        </w:r>
        <w:r>
          <w:rPr>
            <w:webHidden/>
          </w:rPr>
          <w:tab/>
        </w:r>
        <w:r>
          <w:rPr>
            <w:webHidden/>
          </w:rPr>
          <w:fldChar w:fldCharType="begin"/>
        </w:r>
        <w:r>
          <w:rPr>
            <w:webHidden/>
          </w:rPr>
          <w:instrText xml:space="preserve"> PAGEREF _Toc219739782 \h </w:instrText>
        </w:r>
        <w:r>
          <w:rPr>
            <w:webHidden/>
          </w:rPr>
        </w:r>
        <w:r>
          <w:rPr>
            <w:webHidden/>
          </w:rPr>
          <w:fldChar w:fldCharType="separate"/>
        </w:r>
        <w:r w:rsidR="007F093A">
          <w:rPr>
            <w:webHidden/>
          </w:rPr>
          <w:t>38</w:t>
        </w:r>
        <w:r>
          <w:rPr>
            <w:webHidden/>
          </w:rPr>
          <w:fldChar w:fldCharType="end"/>
        </w:r>
      </w:hyperlink>
    </w:p>
    <w:p w14:paraId="3F8F003D" w14:textId="666DDC50" w:rsidR="00EA70AF" w:rsidRDefault="00EA70AF">
      <w:pPr>
        <w:pStyle w:val="TOC2"/>
        <w:tabs>
          <w:tab w:val="left" w:pos="1296"/>
        </w:tabs>
        <w:rPr>
          <w:color w:val="auto"/>
          <w:kern w:val="2"/>
          <w:lang w:val="en-GB" w:eastAsia="en-GB"/>
          <w14:ligatures w14:val="standardContextual"/>
        </w:rPr>
      </w:pPr>
      <w:hyperlink w:anchor="_Toc219739783" w:history="1">
        <w:r w:rsidRPr="000F00A0">
          <w:rPr>
            <w:rStyle w:val="Hyperlink"/>
            <w:rFonts w:ascii="Calibri" w:hAnsi="Calibri" w:cs="Calibri"/>
          </w:rPr>
          <w:t>VI.D.</w:t>
        </w:r>
        <w:r>
          <w:rPr>
            <w:color w:val="auto"/>
            <w:kern w:val="2"/>
            <w:lang w:val="en-GB" w:eastAsia="en-GB"/>
            <w14:ligatures w14:val="standardContextual"/>
          </w:rPr>
          <w:tab/>
        </w:r>
        <w:r w:rsidRPr="000F00A0">
          <w:rPr>
            <w:rStyle w:val="Hyperlink"/>
          </w:rPr>
          <w:t>Gearing and Asset Beta for the Telecommunications Sector in Georgia</w:t>
        </w:r>
        <w:r>
          <w:rPr>
            <w:webHidden/>
          </w:rPr>
          <w:tab/>
        </w:r>
        <w:r>
          <w:rPr>
            <w:webHidden/>
          </w:rPr>
          <w:fldChar w:fldCharType="begin"/>
        </w:r>
        <w:r>
          <w:rPr>
            <w:webHidden/>
          </w:rPr>
          <w:instrText xml:space="preserve"> PAGEREF _Toc219739783 \h </w:instrText>
        </w:r>
        <w:r>
          <w:rPr>
            <w:webHidden/>
          </w:rPr>
        </w:r>
        <w:r>
          <w:rPr>
            <w:webHidden/>
          </w:rPr>
          <w:fldChar w:fldCharType="separate"/>
        </w:r>
        <w:r w:rsidR="007F093A">
          <w:rPr>
            <w:webHidden/>
          </w:rPr>
          <w:t>39</w:t>
        </w:r>
        <w:r>
          <w:rPr>
            <w:webHidden/>
          </w:rPr>
          <w:fldChar w:fldCharType="end"/>
        </w:r>
      </w:hyperlink>
    </w:p>
    <w:p w14:paraId="6C090185" w14:textId="52921C74" w:rsidR="00EA70AF" w:rsidRDefault="00EA70AF">
      <w:pPr>
        <w:pStyle w:val="TOC2"/>
        <w:tabs>
          <w:tab w:val="left" w:pos="1296"/>
        </w:tabs>
        <w:rPr>
          <w:color w:val="auto"/>
          <w:kern w:val="2"/>
          <w:lang w:val="en-GB" w:eastAsia="en-GB"/>
          <w14:ligatures w14:val="standardContextual"/>
        </w:rPr>
      </w:pPr>
      <w:hyperlink w:anchor="_Toc219739784" w:history="1">
        <w:r w:rsidRPr="000F00A0">
          <w:rPr>
            <w:rStyle w:val="Hyperlink"/>
            <w:rFonts w:ascii="Calibri" w:hAnsi="Calibri" w:cs="Calibri"/>
          </w:rPr>
          <w:t>VI.E.</w:t>
        </w:r>
        <w:r>
          <w:rPr>
            <w:color w:val="auto"/>
            <w:kern w:val="2"/>
            <w:lang w:val="en-GB" w:eastAsia="en-GB"/>
            <w14:ligatures w14:val="standardContextual"/>
          </w:rPr>
          <w:tab/>
        </w:r>
        <w:r w:rsidRPr="000F00A0">
          <w:rPr>
            <w:rStyle w:val="Hyperlink"/>
          </w:rPr>
          <w:t>The impact of country size on Telecommunications operators’ systematic risk</w:t>
        </w:r>
        <w:r>
          <w:rPr>
            <w:webHidden/>
          </w:rPr>
          <w:tab/>
        </w:r>
        <w:r>
          <w:rPr>
            <w:webHidden/>
          </w:rPr>
          <w:fldChar w:fldCharType="begin"/>
        </w:r>
        <w:r>
          <w:rPr>
            <w:webHidden/>
          </w:rPr>
          <w:instrText xml:space="preserve"> PAGEREF _Toc219739784 \h </w:instrText>
        </w:r>
        <w:r>
          <w:rPr>
            <w:webHidden/>
          </w:rPr>
        </w:r>
        <w:r>
          <w:rPr>
            <w:webHidden/>
          </w:rPr>
          <w:fldChar w:fldCharType="separate"/>
        </w:r>
        <w:r w:rsidR="007F093A">
          <w:rPr>
            <w:webHidden/>
          </w:rPr>
          <w:t>40</w:t>
        </w:r>
        <w:r>
          <w:rPr>
            <w:webHidden/>
          </w:rPr>
          <w:fldChar w:fldCharType="end"/>
        </w:r>
      </w:hyperlink>
    </w:p>
    <w:p w14:paraId="308C3198" w14:textId="0C30D8E1" w:rsidR="00EA70AF" w:rsidRDefault="00EA70AF">
      <w:pPr>
        <w:pStyle w:val="TOC1"/>
        <w:rPr>
          <w:color w:val="auto"/>
          <w:kern w:val="2"/>
          <w:sz w:val="24"/>
          <w:szCs w:val="24"/>
          <w:lang w:val="en-GB" w:eastAsia="en-GB"/>
          <w14:ligatures w14:val="standardContextual"/>
        </w:rPr>
      </w:pPr>
      <w:hyperlink w:anchor="_Toc219739785" w:history="1">
        <w:r w:rsidRPr="000F00A0">
          <w:rPr>
            <w:rStyle w:val="Hyperlink"/>
            <w:rFonts w:ascii="Calibri" w:hAnsi="Calibri" w:cs="Calibri"/>
            <w:lang w:val="en-CA"/>
          </w:rPr>
          <w:t>VII.</w:t>
        </w:r>
        <w:r>
          <w:rPr>
            <w:color w:val="auto"/>
            <w:kern w:val="2"/>
            <w:sz w:val="24"/>
            <w:szCs w:val="24"/>
            <w:lang w:val="en-GB" w:eastAsia="en-GB"/>
            <w14:ligatures w14:val="standardContextual"/>
          </w:rPr>
          <w:tab/>
        </w:r>
        <w:r w:rsidRPr="000F00A0">
          <w:rPr>
            <w:rStyle w:val="Hyperlink"/>
          </w:rPr>
          <w:t>Cost of Debt</w:t>
        </w:r>
        <w:r>
          <w:rPr>
            <w:webHidden/>
          </w:rPr>
          <w:tab/>
        </w:r>
        <w:r>
          <w:rPr>
            <w:webHidden/>
          </w:rPr>
          <w:fldChar w:fldCharType="begin"/>
        </w:r>
        <w:r>
          <w:rPr>
            <w:webHidden/>
          </w:rPr>
          <w:instrText xml:space="preserve"> PAGEREF _Toc219739785 \h </w:instrText>
        </w:r>
        <w:r>
          <w:rPr>
            <w:webHidden/>
          </w:rPr>
        </w:r>
        <w:r>
          <w:rPr>
            <w:webHidden/>
          </w:rPr>
          <w:fldChar w:fldCharType="separate"/>
        </w:r>
        <w:r w:rsidR="007F093A">
          <w:rPr>
            <w:webHidden/>
          </w:rPr>
          <w:t>44</w:t>
        </w:r>
        <w:r>
          <w:rPr>
            <w:webHidden/>
          </w:rPr>
          <w:fldChar w:fldCharType="end"/>
        </w:r>
      </w:hyperlink>
    </w:p>
    <w:p w14:paraId="0D576BD0" w14:textId="2C123F36" w:rsidR="00EA70AF" w:rsidRDefault="00EA70AF">
      <w:pPr>
        <w:pStyle w:val="TOC2"/>
        <w:tabs>
          <w:tab w:val="left" w:pos="2160"/>
        </w:tabs>
        <w:rPr>
          <w:color w:val="auto"/>
          <w:kern w:val="2"/>
          <w:lang w:val="en-GB" w:eastAsia="en-GB"/>
          <w14:ligatures w14:val="standardContextual"/>
        </w:rPr>
      </w:pPr>
      <w:hyperlink w:anchor="_Toc219739786" w:history="1">
        <w:r w:rsidRPr="000F00A0">
          <w:rPr>
            <w:rStyle w:val="Hyperlink"/>
            <w:rFonts w:ascii="Calibri" w:hAnsi="Calibri" w:cs="Calibri"/>
            <w:lang w:val="en-GB"/>
          </w:rPr>
          <w:t>VII.A.</w:t>
        </w:r>
        <w:r>
          <w:rPr>
            <w:color w:val="auto"/>
            <w:kern w:val="2"/>
            <w:lang w:val="en-GB" w:eastAsia="en-GB"/>
            <w14:ligatures w14:val="standardContextual"/>
          </w:rPr>
          <w:tab/>
        </w:r>
        <w:r w:rsidRPr="000F00A0">
          <w:rPr>
            <w:rStyle w:val="Hyperlink"/>
            <w:lang w:val="en-GB"/>
          </w:rPr>
          <w:t>Alternative measures of the cost of debt for Georgian Telecoms Operators</w:t>
        </w:r>
        <w:r>
          <w:rPr>
            <w:webHidden/>
          </w:rPr>
          <w:tab/>
        </w:r>
        <w:r>
          <w:rPr>
            <w:webHidden/>
          </w:rPr>
          <w:fldChar w:fldCharType="begin"/>
        </w:r>
        <w:r>
          <w:rPr>
            <w:webHidden/>
          </w:rPr>
          <w:instrText xml:space="preserve"> PAGEREF _Toc219739786 \h </w:instrText>
        </w:r>
        <w:r>
          <w:rPr>
            <w:webHidden/>
          </w:rPr>
        </w:r>
        <w:r>
          <w:rPr>
            <w:webHidden/>
          </w:rPr>
          <w:fldChar w:fldCharType="separate"/>
        </w:r>
        <w:r w:rsidR="007F093A">
          <w:rPr>
            <w:webHidden/>
          </w:rPr>
          <w:t>44</w:t>
        </w:r>
        <w:r>
          <w:rPr>
            <w:webHidden/>
          </w:rPr>
          <w:fldChar w:fldCharType="end"/>
        </w:r>
      </w:hyperlink>
    </w:p>
    <w:p w14:paraId="6DCFCB00" w14:textId="1CE13185" w:rsidR="00EA70AF" w:rsidRDefault="00EA70AF">
      <w:pPr>
        <w:pStyle w:val="TOC2"/>
        <w:tabs>
          <w:tab w:val="left" w:pos="2160"/>
        </w:tabs>
        <w:rPr>
          <w:color w:val="auto"/>
          <w:kern w:val="2"/>
          <w:lang w:val="en-GB" w:eastAsia="en-GB"/>
          <w14:ligatures w14:val="standardContextual"/>
        </w:rPr>
      </w:pPr>
      <w:hyperlink w:anchor="_Toc219739787" w:history="1">
        <w:r w:rsidRPr="000F00A0">
          <w:rPr>
            <w:rStyle w:val="Hyperlink"/>
            <w:rFonts w:ascii="Calibri" w:hAnsi="Calibri" w:cs="Calibri"/>
            <w:lang w:val="en-GB"/>
          </w:rPr>
          <w:t>VII.B.</w:t>
        </w:r>
        <w:r>
          <w:rPr>
            <w:color w:val="auto"/>
            <w:kern w:val="2"/>
            <w:lang w:val="en-GB" w:eastAsia="en-GB"/>
            <w14:ligatures w14:val="standardContextual"/>
          </w:rPr>
          <w:tab/>
        </w:r>
        <w:r w:rsidRPr="000F00A0">
          <w:rPr>
            <w:rStyle w:val="Hyperlink"/>
            <w:lang w:val="en-GB"/>
          </w:rPr>
          <w:t>Conclusions on the Cost of Debt</w:t>
        </w:r>
        <w:r>
          <w:rPr>
            <w:webHidden/>
          </w:rPr>
          <w:tab/>
        </w:r>
        <w:r>
          <w:rPr>
            <w:webHidden/>
          </w:rPr>
          <w:fldChar w:fldCharType="begin"/>
        </w:r>
        <w:r>
          <w:rPr>
            <w:webHidden/>
          </w:rPr>
          <w:instrText xml:space="preserve"> PAGEREF _Toc219739787 \h </w:instrText>
        </w:r>
        <w:r>
          <w:rPr>
            <w:webHidden/>
          </w:rPr>
        </w:r>
        <w:r>
          <w:rPr>
            <w:webHidden/>
          </w:rPr>
          <w:fldChar w:fldCharType="separate"/>
        </w:r>
        <w:r w:rsidR="007F093A">
          <w:rPr>
            <w:webHidden/>
          </w:rPr>
          <w:t>49</w:t>
        </w:r>
        <w:r>
          <w:rPr>
            <w:webHidden/>
          </w:rPr>
          <w:fldChar w:fldCharType="end"/>
        </w:r>
      </w:hyperlink>
    </w:p>
    <w:p w14:paraId="57ABA0EE" w14:textId="4E8E6963" w:rsidR="00EA70AF" w:rsidRDefault="00EA70AF">
      <w:pPr>
        <w:pStyle w:val="TOC1"/>
        <w:rPr>
          <w:color w:val="auto"/>
          <w:kern w:val="2"/>
          <w:sz w:val="24"/>
          <w:szCs w:val="24"/>
          <w:lang w:val="en-GB" w:eastAsia="en-GB"/>
          <w14:ligatures w14:val="standardContextual"/>
        </w:rPr>
      </w:pPr>
      <w:hyperlink w:anchor="_Toc219739788" w:history="1">
        <w:r w:rsidRPr="000F00A0">
          <w:rPr>
            <w:rStyle w:val="Hyperlink"/>
            <w:rFonts w:ascii="Calibri" w:hAnsi="Calibri" w:cs="Calibri"/>
            <w:lang w:val="en-CA"/>
          </w:rPr>
          <w:t>VIII.</w:t>
        </w:r>
        <w:r>
          <w:rPr>
            <w:color w:val="auto"/>
            <w:kern w:val="2"/>
            <w:sz w:val="24"/>
            <w:szCs w:val="24"/>
            <w:lang w:val="en-GB" w:eastAsia="en-GB"/>
            <w14:ligatures w14:val="standardContextual"/>
          </w:rPr>
          <w:tab/>
        </w:r>
        <w:r w:rsidRPr="000F00A0">
          <w:rPr>
            <w:rStyle w:val="Hyperlink"/>
          </w:rPr>
          <w:t>Relevance of an NGA premium in the Telecoms sector in Georgia</w:t>
        </w:r>
        <w:r>
          <w:rPr>
            <w:webHidden/>
          </w:rPr>
          <w:tab/>
        </w:r>
        <w:r>
          <w:rPr>
            <w:webHidden/>
          </w:rPr>
          <w:fldChar w:fldCharType="begin"/>
        </w:r>
        <w:r>
          <w:rPr>
            <w:webHidden/>
          </w:rPr>
          <w:instrText xml:space="preserve"> PAGEREF _Toc219739788 \h </w:instrText>
        </w:r>
        <w:r>
          <w:rPr>
            <w:webHidden/>
          </w:rPr>
        </w:r>
        <w:r>
          <w:rPr>
            <w:webHidden/>
          </w:rPr>
          <w:fldChar w:fldCharType="separate"/>
        </w:r>
        <w:r w:rsidR="007F093A">
          <w:rPr>
            <w:webHidden/>
          </w:rPr>
          <w:t>53</w:t>
        </w:r>
        <w:r>
          <w:rPr>
            <w:webHidden/>
          </w:rPr>
          <w:fldChar w:fldCharType="end"/>
        </w:r>
      </w:hyperlink>
    </w:p>
    <w:p w14:paraId="6E49B3E2" w14:textId="38F9CF77" w:rsidR="00EA70AF" w:rsidRDefault="00EA70AF">
      <w:pPr>
        <w:pStyle w:val="TOC2"/>
        <w:tabs>
          <w:tab w:val="left" w:pos="2160"/>
        </w:tabs>
        <w:rPr>
          <w:color w:val="auto"/>
          <w:kern w:val="2"/>
          <w:lang w:val="en-GB" w:eastAsia="en-GB"/>
          <w14:ligatures w14:val="standardContextual"/>
        </w:rPr>
      </w:pPr>
      <w:hyperlink w:anchor="_Toc219739789" w:history="1">
        <w:r w:rsidRPr="000F00A0">
          <w:rPr>
            <w:rStyle w:val="Hyperlink"/>
            <w:rFonts w:ascii="Calibri" w:hAnsi="Calibri" w:cs="Calibri"/>
          </w:rPr>
          <w:t>VIII.A.</w:t>
        </w:r>
        <w:r>
          <w:rPr>
            <w:color w:val="auto"/>
            <w:kern w:val="2"/>
            <w:lang w:val="en-GB" w:eastAsia="en-GB"/>
            <w14:ligatures w14:val="standardContextual"/>
          </w:rPr>
          <w:tab/>
        </w:r>
        <w:r w:rsidRPr="000F00A0">
          <w:rPr>
            <w:rStyle w:val="Hyperlink"/>
          </w:rPr>
          <w:t>Review of regulatory precedent and evidence on the fiber premium</w:t>
        </w:r>
        <w:r>
          <w:rPr>
            <w:webHidden/>
          </w:rPr>
          <w:tab/>
        </w:r>
        <w:r>
          <w:rPr>
            <w:webHidden/>
          </w:rPr>
          <w:fldChar w:fldCharType="begin"/>
        </w:r>
        <w:r>
          <w:rPr>
            <w:webHidden/>
          </w:rPr>
          <w:instrText xml:space="preserve"> PAGEREF _Toc219739789 \h </w:instrText>
        </w:r>
        <w:r>
          <w:rPr>
            <w:webHidden/>
          </w:rPr>
        </w:r>
        <w:r>
          <w:rPr>
            <w:webHidden/>
          </w:rPr>
          <w:fldChar w:fldCharType="separate"/>
        </w:r>
        <w:r w:rsidR="007F093A">
          <w:rPr>
            <w:webHidden/>
          </w:rPr>
          <w:t>53</w:t>
        </w:r>
        <w:r>
          <w:rPr>
            <w:webHidden/>
          </w:rPr>
          <w:fldChar w:fldCharType="end"/>
        </w:r>
      </w:hyperlink>
    </w:p>
    <w:p w14:paraId="1C86D4BF" w14:textId="1CFD8B89" w:rsidR="00EA70AF" w:rsidRDefault="00EA70AF">
      <w:pPr>
        <w:pStyle w:val="TOC2"/>
        <w:tabs>
          <w:tab w:val="left" w:pos="2160"/>
        </w:tabs>
        <w:rPr>
          <w:color w:val="auto"/>
          <w:kern w:val="2"/>
          <w:lang w:val="en-GB" w:eastAsia="en-GB"/>
          <w14:ligatures w14:val="standardContextual"/>
        </w:rPr>
      </w:pPr>
      <w:hyperlink w:anchor="_Toc219739790" w:history="1">
        <w:r w:rsidRPr="000F00A0">
          <w:rPr>
            <w:rStyle w:val="Hyperlink"/>
            <w:rFonts w:ascii="Calibri" w:hAnsi="Calibri" w:cs="Calibri"/>
          </w:rPr>
          <w:t>VIII.B.</w:t>
        </w:r>
        <w:r>
          <w:rPr>
            <w:color w:val="auto"/>
            <w:kern w:val="2"/>
            <w:lang w:val="en-GB" w:eastAsia="en-GB"/>
            <w14:ligatures w14:val="standardContextual"/>
          </w:rPr>
          <w:tab/>
        </w:r>
        <w:r w:rsidRPr="000F00A0">
          <w:rPr>
            <w:rStyle w:val="Hyperlink"/>
          </w:rPr>
          <w:t>Recommendation on the relevance of a WACC premium for investments in next-generation networks in Georgia</w:t>
        </w:r>
        <w:r>
          <w:rPr>
            <w:webHidden/>
          </w:rPr>
          <w:tab/>
        </w:r>
        <w:r>
          <w:rPr>
            <w:webHidden/>
          </w:rPr>
          <w:fldChar w:fldCharType="begin"/>
        </w:r>
        <w:r>
          <w:rPr>
            <w:webHidden/>
          </w:rPr>
          <w:instrText xml:space="preserve"> PAGEREF _Toc219739790 \h </w:instrText>
        </w:r>
        <w:r>
          <w:rPr>
            <w:webHidden/>
          </w:rPr>
        </w:r>
        <w:r>
          <w:rPr>
            <w:webHidden/>
          </w:rPr>
          <w:fldChar w:fldCharType="separate"/>
        </w:r>
        <w:r w:rsidR="007F093A">
          <w:rPr>
            <w:webHidden/>
          </w:rPr>
          <w:t>60</w:t>
        </w:r>
        <w:r>
          <w:rPr>
            <w:webHidden/>
          </w:rPr>
          <w:fldChar w:fldCharType="end"/>
        </w:r>
      </w:hyperlink>
    </w:p>
    <w:p w14:paraId="7B9C6FBC" w14:textId="0CE97112" w:rsidR="00EA70AF" w:rsidRDefault="00EA70AF">
      <w:pPr>
        <w:pStyle w:val="TOC1"/>
        <w:rPr>
          <w:color w:val="auto"/>
          <w:kern w:val="2"/>
          <w:sz w:val="24"/>
          <w:szCs w:val="24"/>
          <w:lang w:val="en-GB" w:eastAsia="en-GB"/>
          <w14:ligatures w14:val="standardContextual"/>
        </w:rPr>
      </w:pPr>
      <w:hyperlink w:anchor="_Toc219739791" w:history="1">
        <w:r w:rsidRPr="000F00A0">
          <w:rPr>
            <w:rStyle w:val="Hyperlink"/>
            <w:rFonts w:ascii="Calibri" w:hAnsi="Calibri" w:cs="Calibri"/>
            <w:lang w:val="en-CA"/>
          </w:rPr>
          <w:t>IX.</w:t>
        </w:r>
        <w:r>
          <w:rPr>
            <w:color w:val="auto"/>
            <w:kern w:val="2"/>
            <w:sz w:val="24"/>
            <w:szCs w:val="24"/>
            <w:lang w:val="en-GB" w:eastAsia="en-GB"/>
            <w14:ligatures w14:val="standardContextual"/>
          </w:rPr>
          <w:tab/>
        </w:r>
        <w:r w:rsidRPr="000F00A0">
          <w:rPr>
            <w:rStyle w:val="Hyperlink"/>
          </w:rPr>
          <w:t>Application of a different WACC for mobile and fixed Telecommunications operators</w:t>
        </w:r>
        <w:r>
          <w:rPr>
            <w:webHidden/>
          </w:rPr>
          <w:tab/>
        </w:r>
        <w:r>
          <w:rPr>
            <w:webHidden/>
          </w:rPr>
          <w:fldChar w:fldCharType="begin"/>
        </w:r>
        <w:r>
          <w:rPr>
            <w:webHidden/>
          </w:rPr>
          <w:instrText xml:space="preserve"> PAGEREF _Toc219739791 \h </w:instrText>
        </w:r>
        <w:r>
          <w:rPr>
            <w:webHidden/>
          </w:rPr>
        </w:r>
        <w:r>
          <w:rPr>
            <w:webHidden/>
          </w:rPr>
          <w:fldChar w:fldCharType="separate"/>
        </w:r>
        <w:r w:rsidR="007F093A">
          <w:rPr>
            <w:webHidden/>
          </w:rPr>
          <w:t>64</w:t>
        </w:r>
        <w:r>
          <w:rPr>
            <w:webHidden/>
          </w:rPr>
          <w:fldChar w:fldCharType="end"/>
        </w:r>
      </w:hyperlink>
    </w:p>
    <w:p w14:paraId="3B778305" w14:textId="04018C4F" w:rsidR="00EA70AF" w:rsidRDefault="00EA70AF">
      <w:pPr>
        <w:pStyle w:val="TOC1"/>
        <w:rPr>
          <w:color w:val="auto"/>
          <w:kern w:val="2"/>
          <w:sz w:val="24"/>
          <w:szCs w:val="24"/>
          <w:lang w:val="en-GB" w:eastAsia="en-GB"/>
          <w14:ligatures w14:val="standardContextual"/>
        </w:rPr>
      </w:pPr>
      <w:hyperlink w:anchor="_Toc219739792" w:history="1">
        <w:r w:rsidRPr="000F00A0">
          <w:rPr>
            <w:rStyle w:val="Hyperlink"/>
            <w:rFonts w:ascii="Calibri" w:hAnsi="Calibri" w:cs="Calibri"/>
            <w:lang w:val="en-CA"/>
          </w:rPr>
          <w:t>X.</w:t>
        </w:r>
        <w:r>
          <w:rPr>
            <w:color w:val="auto"/>
            <w:kern w:val="2"/>
            <w:sz w:val="24"/>
            <w:szCs w:val="24"/>
            <w:lang w:val="en-GB" w:eastAsia="en-GB"/>
            <w14:ligatures w14:val="standardContextual"/>
          </w:rPr>
          <w:tab/>
        </w:r>
        <w:r w:rsidRPr="000F00A0">
          <w:rPr>
            <w:rStyle w:val="Hyperlink"/>
          </w:rPr>
          <w:t>WACC</w:t>
        </w:r>
        <w:r>
          <w:rPr>
            <w:webHidden/>
          </w:rPr>
          <w:tab/>
        </w:r>
        <w:r>
          <w:rPr>
            <w:webHidden/>
          </w:rPr>
          <w:fldChar w:fldCharType="begin"/>
        </w:r>
        <w:r>
          <w:rPr>
            <w:webHidden/>
          </w:rPr>
          <w:instrText xml:space="preserve"> PAGEREF _Toc219739792 \h </w:instrText>
        </w:r>
        <w:r>
          <w:rPr>
            <w:webHidden/>
          </w:rPr>
        </w:r>
        <w:r>
          <w:rPr>
            <w:webHidden/>
          </w:rPr>
          <w:fldChar w:fldCharType="separate"/>
        </w:r>
        <w:r w:rsidR="007F093A">
          <w:rPr>
            <w:webHidden/>
          </w:rPr>
          <w:t>65</w:t>
        </w:r>
        <w:r>
          <w:rPr>
            <w:webHidden/>
          </w:rPr>
          <w:fldChar w:fldCharType="end"/>
        </w:r>
      </w:hyperlink>
    </w:p>
    <w:p w14:paraId="5C48C56E" w14:textId="72EA3D3E" w:rsidR="00FE0401" w:rsidRPr="008C14A2" w:rsidRDefault="00F434CA" w:rsidP="00500B2F">
      <w:pPr>
        <w:pStyle w:val="TOC1"/>
        <w:ind w:left="0" w:firstLine="0"/>
        <w:jc w:val="both"/>
        <w:rPr>
          <w:noProof w:val="0"/>
        </w:rPr>
      </w:pPr>
      <w:r w:rsidRPr="008C14A2">
        <w:rPr>
          <w:noProof w:val="0"/>
        </w:rPr>
        <w:fldChar w:fldCharType="end"/>
      </w:r>
    </w:p>
    <w:p w14:paraId="6ECAFD6D" w14:textId="77777777" w:rsidR="00A53A4F" w:rsidRPr="008C14A2" w:rsidRDefault="00A53A4F" w:rsidP="00500B2F">
      <w:pPr>
        <w:jc w:val="both"/>
        <w:rPr>
          <w:lang w:eastAsia="en-US"/>
        </w:rPr>
      </w:pPr>
    </w:p>
    <w:p w14:paraId="7C693116" w14:textId="77777777" w:rsidR="00F16796" w:rsidRPr="008C14A2" w:rsidRDefault="341BC336" w:rsidP="00500B2F">
      <w:pPr>
        <w:pStyle w:val="TOCHeading"/>
        <w:jc w:val="both"/>
      </w:pPr>
      <w:r w:rsidRPr="008C14A2">
        <w:t>Table of tables</w:t>
      </w:r>
    </w:p>
    <w:p w14:paraId="7C2CC4DB" w14:textId="77284DAD" w:rsidR="00EA70AF" w:rsidRDefault="00F16796">
      <w:pPr>
        <w:pStyle w:val="TableofFigures"/>
        <w:rPr>
          <w:color w:val="auto"/>
          <w:kern w:val="2"/>
          <w:lang w:val="en-GB" w:eastAsia="en-GB"/>
          <w14:ligatures w14:val="standardContextual"/>
        </w:rPr>
      </w:pPr>
      <w:r w:rsidRPr="00002C7A">
        <w:fldChar w:fldCharType="begin"/>
      </w:r>
      <w:r w:rsidRPr="008C14A2">
        <w:instrText xml:space="preserve"> TOC \h \z \c "Table" </w:instrText>
      </w:r>
      <w:r w:rsidRPr="00002C7A">
        <w:fldChar w:fldCharType="separate"/>
      </w:r>
      <w:hyperlink w:anchor="_Toc219739793" w:history="1">
        <w:r w:rsidR="00EA70AF" w:rsidRPr="00816B3B">
          <w:rPr>
            <w:rStyle w:val="Hyperlink"/>
          </w:rPr>
          <w:t>Table 1: WACC for Telecommunications sector in Georgia</w:t>
        </w:r>
        <w:r w:rsidR="00EA70AF">
          <w:rPr>
            <w:webHidden/>
          </w:rPr>
          <w:tab/>
        </w:r>
        <w:r w:rsidR="00EA70AF">
          <w:rPr>
            <w:webHidden/>
          </w:rPr>
          <w:fldChar w:fldCharType="begin"/>
        </w:r>
        <w:r w:rsidR="00EA70AF">
          <w:rPr>
            <w:webHidden/>
          </w:rPr>
          <w:instrText xml:space="preserve"> PAGEREF _Toc219739793 \h </w:instrText>
        </w:r>
        <w:r w:rsidR="00EA70AF">
          <w:rPr>
            <w:webHidden/>
          </w:rPr>
        </w:r>
        <w:r w:rsidR="00EA70AF">
          <w:rPr>
            <w:webHidden/>
          </w:rPr>
          <w:fldChar w:fldCharType="separate"/>
        </w:r>
        <w:r w:rsidR="007F093A">
          <w:rPr>
            <w:webHidden/>
          </w:rPr>
          <w:t>13</w:t>
        </w:r>
        <w:r w:rsidR="00EA70AF">
          <w:rPr>
            <w:webHidden/>
          </w:rPr>
          <w:fldChar w:fldCharType="end"/>
        </w:r>
      </w:hyperlink>
    </w:p>
    <w:p w14:paraId="5C88EFF5" w14:textId="752272B3" w:rsidR="00EA70AF" w:rsidRDefault="00EA70AF">
      <w:pPr>
        <w:pStyle w:val="TableofFigures"/>
        <w:rPr>
          <w:color w:val="auto"/>
          <w:kern w:val="2"/>
          <w:lang w:val="en-GB" w:eastAsia="en-GB"/>
          <w14:ligatures w14:val="standardContextual"/>
        </w:rPr>
      </w:pPr>
      <w:hyperlink w:anchor="_Toc219739794" w:history="1">
        <w:r w:rsidRPr="00816B3B">
          <w:rPr>
            <w:rStyle w:val="Hyperlink"/>
          </w:rPr>
          <w:t>Table 2: Average Spread between 20- and 10-year bond yields</w:t>
        </w:r>
        <w:r>
          <w:rPr>
            <w:webHidden/>
          </w:rPr>
          <w:tab/>
        </w:r>
        <w:r>
          <w:rPr>
            <w:webHidden/>
          </w:rPr>
          <w:fldChar w:fldCharType="begin"/>
        </w:r>
        <w:r>
          <w:rPr>
            <w:webHidden/>
          </w:rPr>
          <w:instrText xml:space="preserve"> PAGEREF _Toc219739794 \h </w:instrText>
        </w:r>
        <w:r>
          <w:rPr>
            <w:webHidden/>
          </w:rPr>
        </w:r>
        <w:r>
          <w:rPr>
            <w:webHidden/>
          </w:rPr>
          <w:fldChar w:fldCharType="separate"/>
        </w:r>
        <w:r w:rsidR="007F093A">
          <w:rPr>
            <w:webHidden/>
          </w:rPr>
          <w:t>19</w:t>
        </w:r>
        <w:r>
          <w:rPr>
            <w:webHidden/>
          </w:rPr>
          <w:fldChar w:fldCharType="end"/>
        </w:r>
      </w:hyperlink>
    </w:p>
    <w:p w14:paraId="0C6A6126" w14:textId="51FE8141" w:rsidR="00EA70AF" w:rsidRDefault="00EA70AF">
      <w:pPr>
        <w:pStyle w:val="TableofFigures"/>
        <w:rPr>
          <w:color w:val="auto"/>
          <w:kern w:val="2"/>
          <w:lang w:val="en-GB" w:eastAsia="en-GB"/>
          <w14:ligatures w14:val="standardContextual"/>
        </w:rPr>
      </w:pPr>
      <w:hyperlink w:anchor="_Toc219739795" w:history="1">
        <w:r w:rsidRPr="00816B3B">
          <w:rPr>
            <w:rStyle w:val="Hyperlink"/>
          </w:rPr>
          <w:t>Table 3: Risk-Free Rate for regulated activities in Georgia</w:t>
        </w:r>
        <w:r>
          <w:rPr>
            <w:webHidden/>
          </w:rPr>
          <w:tab/>
        </w:r>
        <w:r>
          <w:rPr>
            <w:webHidden/>
          </w:rPr>
          <w:fldChar w:fldCharType="begin"/>
        </w:r>
        <w:r>
          <w:rPr>
            <w:webHidden/>
          </w:rPr>
          <w:instrText xml:space="preserve"> PAGEREF _Toc219739795 \h </w:instrText>
        </w:r>
        <w:r>
          <w:rPr>
            <w:webHidden/>
          </w:rPr>
        </w:r>
        <w:r>
          <w:rPr>
            <w:webHidden/>
          </w:rPr>
          <w:fldChar w:fldCharType="separate"/>
        </w:r>
        <w:r w:rsidR="007F093A">
          <w:rPr>
            <w:webHidden/>
          </w:rPr>
          <w:t>22</w:t>
        </w:r>
        <w:r>
          <w:rPr>
            <w:webHidden/>
          </w:rPr>
          <w:fldChar w:fldCharType="end"/>
        </w:r>
      </w:hyperlink>
    </w:p>
    <w:p w14:paraId="681DABCB" w14:textId="535CE5D6" w:rsidR="00EA70AF" w:rsidRDefault="00EA70AF">
      <w:pPr>
        <w:pStyle w:val="TableofFigures"/>
        <w:rPr>
          <w:color w:val="auto"/>
          <w:kern w:val="2"/>
          <w:lang w:val="en-GB" w:eastAsia="en-GB"/>
          <w14:ligatures w14:val="standardContextual"/>
        </w:rPr>
      </w:pPr>
      <w:hyperlink w:anchor="_Toc219739796" w:history="1">
        <w:r w:rsidRPr="00816B3B">
          <w:rPr>
            <w:rStyle w:val="Hyperlink"/>
          </w:rPr>
          <w:t>Table 4: Historic Equity Risk Premium Relative to Bonds (1900 – 2024)</w:t>
        </w:r>
        <w:r>
          <w:rPr>
            <w:webHidden/>
          </w:rPr>
          <w:tab/>
        </w:r>
        <w:r>
          <w:rPr>
            <w:webHidden/>
          </w:rPr>
          <w:fldChar w:fldCharType="begin"/>
        </w:r>
        <w:r>
          <w:rPr>
            <w:webHidden/>
          </w:rPr>
          <w:instrText xml:space="preserve"> PAGEREF _Toc219739796 \h </w:instrText>
        </w:r>
        <w:r>
          <w:rPr>
            <w:webHidden/>
          </w:rPr>
        </w:r>
        <w:r>
          <w:rPr>
            <w:webHidden/>
          </w:rPr>
          <w:fldChar w:fldCharType="separate"/>
        </w:r>
        <w:r w:rsidR="007F093A">
          <w:rPr>
            <w:webHidden/>
          </w:rPr>
          <w:t>26</w:t>
        </w:r>
        <w:r>
          <w:rPr>
            <w:webHidden/>
          </w:rPr>
          <w:fldChar w:fldCharType="end"/>
        </w:r>
      </w:hyperlink>
    </w:p>
    <w:p w14:paraId="55548567" w14:textId="09AAAE0E" w:rsidR="00EA70AF" w:rsidRDefault="00EA70AF">
      <w:pPr>
        <w:pStyle w:val="TableofFigures"/>
        <w:rPr>
          <w:color w:val="auto"/>
          <w:kern w:val="2"/>
          <w:lang w:val="en-GB" w:eastAsia="en-GB"/>
          <w14:ligatures w14:val="standardContextual"/>
        </w:rPr>
      </w:pPr>
      <w:hyperlink w:anchor="_Toc219739797" w:history="1">
        <w:r w:rsidRPr="00816B3B">
          <w:rPr>
            <w:rStyle w:val="Hyperlink"/>
          </w:rPr>
          <w:t>Table 5: World and Europe Equity Risk Premium (2021-2025)</w:t>
        </w:r>
        <w:r>
          <w:rPr>
            <w:webHidden/>
          </w:rPr>
          <w:tab/>
        </w:r>
        <w:r>
          <w:rPr>
            <w:webHidden/>
          </w:rPr>
          <w:fldChar w:fldCharType="begin"/>
        </w:r>
        <w:r>
          <w:rPr>
            <w:webHidden/>
          </w:rPr>
          <w:instrText xml:space="preserve"> PAGEREF _Toc219739797 \h </w:instrText>
        </w:r>
        <w:r>
          <w:rPr>
            <w:webHidden/>
          </w:rPr>
        </w:r>
        <w:r>
          <w:rPr>
            <w:webHidden/>
          </w:rPr>
          <w:fldChar w:fldCharType="separate"/>
        </w:r>
        <w:r w:rsidR="007F093A">
          <w:rPr>
            <w:webHidden/>
          </w:rPr>
          <w:t>28</w:t>
        </w:r>
        <w:r>
          <w:rPr>
            <w:webHidden/>
          </w:rPr>
          <w:fldChar w:fldCharType="end"/>
        </w:r>
      </w:hyperlink>
    </w:p>
    <w:p w14:paraId="268EA785" w14:textId="0C884865" w:rsidR="00EA70AF" w:rsidRDefault="00EA70AF">
      <w:pPr>
        <w:pStyle w:val="TableofFigures"/>
        <w:rPr>
          <w:color w:val="auto"/>
          <w:kern w:val="2"/>
          <w:lang w:val="en-GB" w:eastAsia="en-GB"/>
          <w14:ligatures w14:val="standardContextual"/>
        </w:rPr>
      </w:pPr>
      <w:hyperlink w:anchor="_Toc219739798" w:history="1">
        <w:r w:rsidRPr="00816B3B">
          <w:rPr>
            <w:rStyle w:val="Hyperlink"/>
          </w:rPr>
          <w:t>Table 6: Potential Peer Group</w:t>
        </w:r>
        <w:r>
          <w:rPr>
            <w:webHidden/>
          </w:rPr>
          <w:tab/>
        </w:r>
        <w:r>
          <w:rPr>
            <w:webHidden/>
          </w:rPr>
          <w:fldChar w:fldCharType="begin"/>
        </w:r>
        <w:r>
          <w:rPr>
            <w:webHidden/>
          </w:rPr>
          <w:instrText xml:space="preserve"> PAGEREF _Toc219739798 \h </w:instrText>
        </w:r>
        <w:r>
          <w:rPr>
            <w:webHidden/>
          </w:rPr>
        </w:r>
        <w:r>
          <w:rPr>
            <w:webHidden/>
          </w:rPr>
          <w:fldChar w:fldCharType="separate"/>
        </w:r>
        <w:r w:rsidR="007F093A">
          <w:rPr>
            <w:webHidden/>
          </w:rPr>
          <w:t>31</w:t>
        </w:r>
        <w:r>
          <w:rPr>
            <w:webHidden/>
          </w:rPr>
          <w:fldChar w:fldCharType="end"/>
        </w:r>
      </w:hyperlink>
    </w:p>
    <w:p w14:paraId="49BD70C2" w14:textId="41F44B1B" w:rsidR="00EA70AF" w:rsidRDefault="00EA70AF">
      <w:pPr>
        <w:pStyle w:val="TableofFigures"/>
        <w:rPr>
          <w:color w:val="auto"/>
          <w:kern w:val="2"/>
          <w:lang w:val="en-GB" w:eastAsia="en-GB"/>
          <w14:ligatures w14:val="standardContextual"/>
        </w:rPr>
      </w:pPr>
      <w:hyperlink w:anchor="_Toc219739799" w:history="1">
        <w:r w:rsidRPr="00816B3B">
          <w:rPr>
            <w:rStyle w:val="Hyperlink"/>
          </w:rPr>
          <w:t>Table 7: Screening Tests Summary</w:t>
        </w:r>
        <w:r>
          <w:rPr>
            <w:webHidden/>
          </w:rPr>
          <w:tab/>
        </w:r>
        <w:r>
          <w:rPr>
            <w:webHidden/>
          </w:rPr>
          <w:fldChar w:fldCharType="begin"/>
        </w:r>
        <w:r>
          <w:rPr>
            <w:webHidden/>
          </w:rPr>
          <w:instrText xml:space="preserve"> PAGEREF _Toc219739799 \h </w:instrText>
        </w:r>
        <w:r>
          <w:rPr>
            <w:webHidden/>
          </w:rPr>
        </w:r>
        <w:r>
          <w:rPr>
            <w:webHidden/>
          </w:rPr>
          <w:fldChar w:fldCharType="separate"/>
        </w:r>
        <w:r w:rsidR="007F093A">
          <w:rPr>
            <w:webHidden/>
          </w:rPr>
          <w:t>33</w:t>
        </w:r>
        <w:r>
          <w:rPr>
            <w:webHidden/>
          </w:rPr>
          <w:fldChar w:fldCharType="end"/>
        </w:r>
      </w:hyperlink>
    </w:p>
    <w:p w14:paraId="039B9B58" w14:textId="0889679B" w:rsidR="00EA70AF" w:rsidRDefault="00EA70AF">
      <w:pPr>
        <w:pStyle w:val="TableofFigures"/>
        <w:rPr>
          <w:color w:val="auto"/>
          <w:kern w:val="2"/>
          <w:lang w:val="en-GB" w:eastAsia="en-GB"/>
          <w14:ligatures w14:val="standardContextual"/>
        </w:rPr>
      </w:pPr>
      <w:hyperlink w:anchor="_Toc219739800" w:history="1">
        <w:r w:rsidRPr="00816B3B">
          <w:rPr>
            <w:rStyle w:val="Hyperlink"/>
          </w:rPr>
          <w:t>Table 8: Equity betas</w:t>
        </w:r>
        <w:r>
          <w:rPr>
            <w:webHidden/>
          </w:rPr>
          <w:tab/>
        </w:r>
        <w:r>
          <w:rPr>
            <w:webHidden/>
          </w:rPr>
          <w:fldChar w:fldCharType="begin"/>
        </w:r>
        <w:r>
          <w:rPr>
            <w:webHidden/>
          </w:rPr>
          <w:instrText xml:space="preserve"> PAGEREF _Toc219739800 \h </w:instrText>
        </w:r>
        <w:r>
          <w:rPr>
            <w:webHidden/>
          </w:rPr>
        </w:r>
        <w:r>
          <w:rPr>
            <w:webHidden/>
          </w:rPr>
          <w:fldChar w:fldCharType="separate"/>
        </w:r>
        <w:r w:rsidR="007F093A">
          <w:rPr>
            <w:webHidden/>
          </w:rPr>
          <w:t>37</w:t>
        </w:r>
        <w:r>
          <w:rPr>
            <w:webHidden/>
          </w:rPr>
          <w:fldChar w:fldCharType="end"/>
        </w:r>
      </w:hyperlink>
    </w:p>
    <w:p w14:paraId="03A342C8" w14:textId="49DA2E1F" w:rsidR="00EA70AF" w:rsidRDefault="00EA70AF">
      <w:pPr>
        <w:pStyle w:val="TableofFigures"/>
        <w:rPr>
          <w:color w:val="auto"/>
          <w:kern w:val="2"/>
          <w:lang w:val="en-GB" w:eastAsia="en-GB"/>
          <w14:ligatures w14:val="standardContextual"/>
        </w:rPr>
      </w:pPr>
      <w:hyperlink w:anchor="_Toc219739801" w:history="1">
        <w:r w:rsidRPr="00816B3B">
          <w:rPr>
            <w:rStyle w:val="Hyperlink"/>
          </w:rPr>
          <w:t>Table 9: Equity betas and asset betas</w:t>
        </w:r>
        <w:r>
          <w:rPr>
            <w:webHidden/>
          </w:rPr>
          <w:tab/>
        </w:r>
        <w:r>
          <w:rPr>
            <w:webHidden/>
          </w:rPr>
          <w:fldChar w:fldCharType="begin"/>
        </w:r>
        <w:r>
          <w:rPr>
            <w:webHidden/>
          </w:rPr>
          <w:instrText xml:space="preserve"> PAGEREF _Toc219739801 \h </w:instrText>
        </w:r>
        <w:r>
          <w:rPr>
            <w:webHidden/>
          </w:rPr>
        </w:r>
        <w:r>
          <w:rPr>
            <w:webHidden/>
          </w:rPr>
          <w:fldChar w:fldCharType="separate"/>
        </w:r>
        <w:r w:rsidR="007F093A">
          <w:rPr>
            <w:webHidden/>
          </w:rPr>
          <w:t>39</w:t>
        </w:r>
        <w:r>
          <w:rPr>
            <w:webHidden/>
          </w:rPr>
          <w:fldChar w:fldCharType="end"/>
        </w:r>
      </w:hyperlink>
    </w:p>
    <w:p w14:paraId="2945B4E5" w14:textId="6E69D702" w:rsidR="00EA70AF" w:rsidRDefault="00EA70AF">
      <w:pPr>
        <w:pStyle w:val="TableofFigures"/>
        <w:rPr>
          <w:color w:val="auto"/>
          <w:kern w:val="2"/>
          <w:lang w:val="en-GB" w:eastAsia="en-GB"/>
          <w14:ligatures w14:val="standardContextual"/>
        </w:rPr>
      </w:pPr>
      <w:hyperlink w:anchor="_Toc219739802" w:history="1">
        <w:r w:rsidRPr="00816B3B">
          <w:rPr>
            <w:rStyle w:val="Hyperlink"/>
          </w:rPr>
          <w:t>Table 10: Asset beta and gearing for telecommunications in Georgia</w:t>
        </w:r>
        <w:r>
          <w:rPr>
            <w:webHidden/>
          </w:rPr>
          <w:tab/>
        </w:r>
        <w:r>
          <w:rPr>
            <w:webHidden/>
          </w:rPr>
          <w:fldChar w:fldCharType="begin"/>
        </w:r>
        <w:r>
          <w:rPr>
            <w:webHidden/>
          </w:rPr>
          <w:instrText xml:space="preserve"> PAGEREF _Toc219739802 \h </w:instrText>
        </w:r>
        <w:r>
          <w:rPr>
            <w:webHidden/>
          </w:rPr>
        </w:r>
        <w:r>
          <w:rPr>
            <w:webHidden/>
          </w:rPr>
          <w:fldChar w:fldCharType="separate"/>
        </w:r>
        <w:r w:rsidR="007F093A">
          <w:rPr>
            <w:webHidden/>
          </w:rPr>
          <w:t>40</w:t>
        </w:r>
        <w:r>
          <w:rPr>
            <w:webHidden/>
          </w:rPr>
          <w:fldChar w:fldCharType="end"/>
        </w:r>
      </w:hyperlink>
    </w:p>
    <w:p w14:paraId="72397E8B" w14:textId="2330C918" w:rsidR="00EA70AF" w:rsidRDefault="00EA70AF">
      <w:pPr>
        <w:pStyle w:val="TableofFigures"/>
        <w:rPr>
          <w:color w:val="auto"/>
          <w:kern w:val="2"/>
          <w:lang w:val="en-GB" w:eastAsia="en-GB"/>
          <w14:ligatures w14:val="standardContextual"/>
        </w:rPr>
      </w:pPr>
      <w:hyperlink w:anchor="_Toc219739803" w:history="1">
        <w:r w:rsidRPr="00816B3B">
          <w:rPr>
            <w:rStyle w:val="Hyperlink"/>
          </w:rPr>
          <w:t>Table 11: Regression results of populations and country size on asset beta</w:t>
        </w:r>
        <w:r>
          <w:rPr>
            <w:webHidden/>
          </w:rPr>
          <w:tab/>
        </w:r>
        <w:r>
          <w:rPr>
            <w:webHidden/>
          </w:rPr>
          <w:fldChar w:fldCharType="begin"/>
        </w:r>
        <w:r>
          <w:rPr>
            <w:webHidden/>
          </w:rPr>
          <w:instrText xml:space="preserve"> PAGEREF _Toc219739803 \h </w:instrText>
        </w:r>
        <w:r>
          <w:rPr>
            <w:webHidden/>
          </w:rPr>
        </w:r>
        <w:r>
          <w:rPr>
            <w:webHidden/>
          </w:rPr>
          <w:fldChar w:fldCharType="separate"/>
        </w:r>
        <w:r w:rsidR="007F093A">
          <w:rPr>
            <w:webHidden/>
          </w:rPr>
          <w:t>42</w:t>
        </w:r>
        <w:r>
          <w:rPr>
            <w:webHidden/>
          </w:rPr>
          <w:fldChar w:fldCharType="end"/>
        </w:r>
      </w:hyperlink>
    </w:p>
    <w:p w14:paraId="22B89408" w14:textId="79CC67E2" w:rsidR="00EA70AF" w:rsidRDefault="00EA70AF">
      <w:pPr>
        <w:pStyle w:val="TableofFigures"/>
        <w:rPr>
          <w:color w:val="auto"/>
          <w:kern w:val="2"/>
          <w:lang w:val="en-GB" w:eastAsia="en-GB"/>
          <w14:ligatures w14:val="standardContextual"/>
        </w:rPr>
      </w:pPr>
      <w:hyperlink w:anchor="_Toc219739804" w:history="1">
        <w:r w:rsidRPr="00816B3B">
          <w:rPr>
            <w:rStyle w:val="Hyperlink"/>
          </w:rPr>
          <w:t>Table 12: Regression results of Market Capitalization on asset beta</w:t>
        </w:r>
        <w:r>
          <w:rPr>
            <w:webHidden/>
          </w:rPr>
          <w:tab/>
        </w:r>
        <w:r>
          <w:rPr>
            <w:webHidden/>
          </w:rPr>
          <w:fldChar w:fldCharType="begin"/>
        </w:r>
        <w:r>
          <w:rPr>
            <w:webHidden/>
          </w:rPr>
          <w:instrText xml:space="preserve"> PAGEREF _Toc219739804 \h </w:instrText>
        </w:r>
        <w:r>
          <w:rPr>
            <w:webHidden/>
          </w:rPr>
        </w:r>
        <w:r>
          <w:rPr>
            <w:webHidden/>
          </w:rPr>
          <w:fldChar w:fldCharType="separate"/>
        </w:r>
        <w:r w:rsidR="007F093A">
          <w:rPr>
            <w:webHidden/>
          </w:rPr>
          <w:t>43</w:t>
        </w:r>
        <w:r>
          <w:rPr>
            <w:webHidden/>
          </w:rPr>
          <w:fldChar w:fldCharType="end"/>
        </w:r>
      </w:hyperlink>
    </w:p>
    <w:p w14:paraId="1E13C25D" w14:textId="5039A280" w:rsidR="00EA70AF" w:rsidRDefault="00EA70AF">
      <w:pPr>
        <w:pStyle w:val="TableofFigures"/>
        <w:rPr>
          <w:color w:val="auto"/>
          <w:kern w:val="2"/>
          <w:lang w:val="en-GB" w:eastAsia="en-GB"/>
          <w14:ligatures w14:val="standardContextual"/>
        </w:rPr>
      </w:pPr>
      <w:hyperlink w:anchor="_Toc219739805" w:history="1">
        <w:r w:rsidRPr="00816B3B">
          <w:rPr>
            <w:rStyle w:val="Hyperlink"/>
          </w:rPr>
          <w:t>Table 13: Cost of debt – PwC’s approach</w:t>
        </w:r>
        <w:r>
          <w:rPr>
            <w:webHidden/>
          </w:rPr>
          <w:tab/>
        </w:r>
        <w:r>
          <w:rPr>
            <w:webHidden/>
          </w:rPr>
          <w:fldChar w:fldCharType="begin"/>
        </w:r>
        <w:r>
          <w:rPr>
            <w:webHidden/>
          </w:rPr>
          <w:instrText xml:space="preserve"> PAGEREF _Toc219739805 \h </w:instrText>
        </w:r>
        <w:r>
          <w:rPr>
            <w:webHidden/>
          </w:rPr>
        </w:r>
        <w:r>
          <w:rPr>
            <w:webHidden/>
          </w:rPr>
          <w:fldChar w:fldCharType="separate"/>
        </w:r>
        <w:r w:rsidR="007F093A">
          <w:rPr>
            <w:webHidden/>
          </w:rPr>
          <w:t>45</w:t>
        </w:r>
        <w:r>
          <w:rPr>
            <w:webHidden/>
          </w:rPr>
          <w:fldChar w:fldCharType="end"/>
        </w:r>
      </w:hyperlink>
    </w:p>
    <w:p w14:paraId="771419E3" w14:textId="1E739908" w:rsidR="00EA70AF" w:rsidRDefault="00EA70AF">
      <w:pPr>
        <w:pStyle w:val="TableofFigures"/>
        <w:rPr>
          <w:color w:val="auto"/>
          <w:kern w:val="2"/>
          <w:lang w:val="en-GB" w:eastAsia="en-GB"/>
          <w14:ligatures w14:val="standardContextual"/>
        </w:rPr>
      </w:pPr>
      <w:hyperlink w:anchor="_Toc219739806" w:history="1">
        <w:r w:rsidRPr="00816B3B">
          <w:rPr>
            <w:rStyle w:val="Hyperlink"/>
          </w:rPr>
          <w:t>Table 14: Cost of debt – embedded cost of debt approach</w:t>
        </w:r>
        <w:r>
          <w:rPr>
            <w:webHidden/>
          </w:rPr>
          <w:tab/>
        </w:r>
        <w:r>
          <w:rPr>
            <w:webHidden/>
          </w:rPr>
          <w:fldChar w:fldCharType="begin"/>
        </w:r>
        <w:r>
          <w:rPr>
            <w:webHidden/>
          </w:rPr>
          <w:instrText xml:space="preserve"> PAGEREF _Toc219739806 \h </w:instrText>
        </w:r>
        <w:r>
          <w:rPr>
            <w:webHidden/>
          </w:rPr>
        </w:r>
        <w:r>
          <w:rPr>
            <w:webHidden/>
          </w:rPr>
          <w:fldChar w:fldCharType="separate"/>
        </w:r>
        <w:r w:rsidR="007F093A">
          <w:rPr>
            <w:webHidden/>
          </w:rPr>
          <w:t>47</w:t>
        </w:r>
        <w:r>
          <w:rPr>
            <w:webHidden/>
          </w:rPr>
          <w:fldChar w:fldCharType="end"/>
        </w:r>
      </w:hyperlink>
    </w:p>
    <w:p w14:paraId="59320AD5" w14:textId="679C896B" w:rsidR="00EA70AF" w:rsidRDefault="00EA70AF">
      <w:pPr>
        <w:pStyle w:val="TableofFigures"/>
        <w:rPr>
          <w:color w:val="auto"/>
          <w:kern w:val="2"/>
          <w:lang w:val="en-GB" w:eastAsia="en-GB"/>
          <w14:ligatures w14:val="standardContextual"/>
        </w:rPr>
      </w:pPr>
      <w:hyperlink w:anchor="_Toc219739807" w:history="1">
        <w:r w:rsidRPr="00816B3B">
          <w:rPr>
            <w:rStyle w:val="Hyperlink"/>
          </w:rPr>
          <w:t>Table 15: Cost of debt - BEREC</w:t>
        </w:r>
        <w:r>
          <w:rPr>
            <w:webHidden/>
          </w:rPr>
          <w:tab/>
        </w:r>
        <w:r>
          <w:rPr>
            <w:webHidden/>
          </w:rPr>
          <w:fldChar w:fldCharType="begin"/>
        </w:r>
        <w:r>
          <w:rPr>
            <w:webHidden/>
          </w:rPr>
          <w:instrText xml:space="preserve"> PAGEREF _Toc219739807 \h </w:instrText>
        </w:r>
        <w:r>
          <w:rPr>
            <w:webHidden/>
          </w:rPr>
        </w:r>
        <w:r>
          <w:rPr>
            <w:webHidden/>
          </w:rPr>
          <w:fldChar w:fldCharType="separate"/>
        </w:r>
        <w:r w:rsidR="007F093A">
          <w:rPr>
            <w:webHidden/>
          </w:rPr>
          <w:t>49</w:t>
        </w:r>
        <w:r>
          <w:rPr>
            <w:webHidden/>
          </w:rPr>
          <w:fldChar w:fldCharType="end"/>
        </w:r>
      </w:hyperlink>
    </w:p>
    <w:p w14:paraId="6FD66079" w14:textId="61F0CF42" w:rsidR="00EA70AF" w:rsidRDefault="00EA70AF">
      <w:pPr>
        <w:pStyle w:val="TableofFigures"/>
        <w:rPr>
          <w:color w:val="auto"/>
          <w:kern w:val="2"/>
          <w:lang w:val="en-GB" w:eastAsia="en-GB"/>
          <w14:ligatures w14:val="standardContextual"/>
        </w:rPr>
      </w:pPr>
      <w:hyperlink w:anchor="_Toc219739808" w:history="1">
        <w:r w:rsidRPr="00816B3B">
          <w:rPr>
            <w:rStyle w:val="Hyperlink"/>
          </w:rPr>
          <w:t>Table 16: Cost of debt for telecommunications operators in Georgia</w:t>
        </w:r>
        <w:r>
          <w:rPr>
            <w:webHidden/>
          </w:rPr>
          <w:tab/>
        </w:r>
        <w:r>
          <w:rPr>
            <w:webHidden/>
          </w:rPr>
          <w:fldChar w:fldCharType="begin"/>
        </w:r>
        <w:r>
          <w:rPr>
            <w:webHidden/>
          </w:rPr>
          <w:instrText xml:space="preserve"> PAGEREF _Toc219739808 \h </w:instrText>
        </w:r>
        <w:r>
          <w:rPr>
            <w:webHidden/>
          </w:rPr>
        </w:r>
        <w:r>
          <w:rPr>
            <w:webHidden/>
          </w:rPr>
          <w:fldChar w:fldCharType="separate"/>
        </w:r>
        <w:r w:rsidR="007F093A">
          <w:rPr>
            <w:webHidden/>
          </w:rPr>
          <w:t>51</w:t>
        </w:r>
        <w:r>
          <w:rPr>
            <w:webHidden/>
          </w:rPr>
          <w:fldChar w:fldCharType="end"/>
        </w:r>
      </w:hyperlink>
    </w:p>
    <w:p w14:paraId="0E3FECA9" w14:textId="76CEE0A4" w:rsidR="00EA70AF" w:rsidRDefault="00EA70AF">
      <w:pPr>
        <w:pStyle w:val="TableofFigures"/>
        <w:rPr>
          <w:color w:val="auto"/>
          <w:kern w:val="2"/>
          <w:lang w:val="en-GB" w:eastAsia="en-GB"/>
          <w14:ligatures w14:val="standardContextual"/>
        </w:rPr>
      </w:pPr>
      <w:hyperlink w:anchor="_Toc219739809" w:history="1">
        <w:r w:rsidRPr="00816B3B">
          <w:rPr>
            <w:rStyle w:val="Hyperlink"/>
          </w:rPr>
          <w:t>Table 17: Median asset betas of incumbent and alternative operators</w:t>
        </w:r>
        <w:r>
          <w:rPr>
            <w:webHidden/>
          </w:rPr>
          <w:tab/>
        </w:r>
        <w:r>
          <w:rPr>
            <w:webHidden/>
          </w:rPr>
          <w:fldChar w:fldCharType="begin"/>
        </w:r>
        <w:r>
          <w:rPr>
            <w:webHidden/>
          </w:rPr>
          <w:instrText xml:space="preserve"> PAGEREF _Toc219739809 \h </w:instrText>
        </w:r>
        <w:r>
          <w:rPr>
            <w:webHidden/>
          </w:rPr>
        </w:r>
        <w:r>
          <w:rPr>
            <w:webHidden/>
          </w:rPr>
          <w:fldChar w:fldCharType="separate"/>
        </w:r>
        <w:r w:rsidR="007F093A">
          <w:rPr>
            <w:webHidden/>
          </w:rPr>
          <w:t>59</w:t>
        </w:r>
        <w:r>
          <w:rPr>
            <w:webHidden/>
          </w:rPr>
          <w:fldChar w:fldCharType="end"/>
        </w:r>
      </w:hyperlink>
    </w:p>
    <w:p w14:paraId="4566B5AF" w14:textId="2D82A7A6" w:rsidR="00EA70AF" w:rsidRDefault="00EA70AF">
      <w:pPr>
        <w:pStyle w:val="TableofFigures"/>
        <w:rPr>
          <w:color w:val="auto"/>
          <w:kern w:val="2"/>
          <w:lang w:val="en-GB" w:eastAsia="en-GB"/>
          <w14:ligatures w14:val="standardContextual"/>
        </w:rPr>
      </w:pPr>
      <w:hyperlink w:anchor="_Toc219739810" w:history="1">
        <w:r w:rsidRPr="00816B3B">
          <w:rPr>
            <w:rStyle w:val="Hyperlink"/>
          </w:rPr>
          <w:t>Table 18: WACC for the telecommunications sector in Georgia</w:t>
        </w:r>
        <w:r>
          <w:rPr>
            <w:webHidden/>
          </w:rPr>
          <w:tab/>
        </w:r>
        <w:r>
          <w:rPr>
            <w:webHidden/>
          </w:rPr>
          <w:fldChar w:fldCharType="begin"/>
        </w:r>
        <w:r>
          <w:rPr>
            <w:webHidden/>
          </w:rPr>
          <w:instrText xml:space="preserve"> PAGEREF _Toc219739810 \h </w:instrText>
        </w:r>
        <w:r>
          <w:rPr>
            <w:webHidden/>
          </w:rPr>
        </w:r>
        <w:r>
          <w:rPr>
            <w:webHidden/>
          </w:rPr>
          <w:fldChar w:fldCharType="separate"/>
        </w:r>
        <w:r w:rsidR="007F093A">
          <w:rPr>
            <w:webHidden/>
          </w:rPr>
          <w:t>65</w:t>
        </w:r>
        <w:r>
          <w:rPr>
            <w:webHidden/>
          </w:rPr>
          <w:fldChar w:fldCharType="end"/>
        </w:r>
      </w:hyperlink>
    </w:p>
    <w:p w14:paraId="7540D721" w14:textId="1054CD73" w:rsidR="00B65611" w:rsidRPr="00002C7A" w:rsidRDefault="00F16796" w:rsidP="00500B2F">
      <w:pPr>
        <w:pStyle w:val="Paragraph"/>
        <w:jc w:val="both"/>
        <w:rPr>
          <w:lang w:val="en-GB"/>
        </w:rPr>
      </w:pPr>
      <w:r w:rsidRPr="00002C7A">
        <w:rPr>
          <w:lang w:val="en-GB"/>
        </w:rPr>
        <w:fldChar w:fldCharType="end"/>
      </w:r>
    </w:p>
    <w:p w14:paraId="538A0506" w14:textId="77777777" w:rsidR="00F16796" w:rsidRPr="008C14A2" w:rsidRDefault="341BC336" w:rsidP="00500B2F">
      <w:pPr>
        <w:pStyle w:val="TOCHeading"/>
        <w:jc w:val="both"/>
      </w:pPr>
      <w:r w:rsidRPr="008C14A2">
        <w:t>Table of figures</w:t>
      </w:r>
    </w:p>
    <w:p w14:paraId="243E178C" w14:textId="757AC3FB" w:rsidR="00EA70AF" w:rsidRDefault="00F16796">
      <w:pPr>
        <w:pStyle w:val="TableofFigures"/>
        <w:rPr>
          <w:color w:val="auto"/>
          <w:kern w:val="2"/>
          <w:lang w:val="en-GB" w:eastAsia="en-GB"/>
          <w14:ligatures w14:val="standardContextual"/>
        </w:rPr>
      </w:pPr>
      <w:r w:rsidRPr="00002C7A">
        <w:fldChar w:fldCharType="begin"/>
      </w:r>
      <w:r w:rsidRPr="008C14A2">
        <w:instrText xml:space="preserve"> TOC \h \z \c "Figure" </w:instrText>
      </w:r>
      <w:r w:rsidRPr="00002C7A">
        <w:fldChar w:fldCharType="separate"/>
      </w:r>
      <w:hyperlink w:anchor="_Toc219739811" w:history="1">
        <w:r w:rsidR="00EA70AF" w:rsidRPr="00181079">
          <w:rPr>
            <w:rStyle w:val="Hyperlink"/>
          </w:rPr>
          <w:t>Figure 1: The empirical security market line</w:t>
        </w:r>
        <w:r w:rsidR="00EA70AF">
          <w:rPr>
            <w:webHidden/>
          </w:rPr>
          <w:tab/>
        </w:r>
        <w:r w:rsidR="00EA70AF">
          <w:rPr>
            <w:webHidden/>
          </w:rPr>
          <w:fldChar w:fldCharType="begin"/>
        </w:r>
        <w:r w:rsidR="00EA70AF">
          <w:rPr>
            <w:webHidden/>
          </w:rPr>
          <w:instrText xml:space="preserve"> PAGEREF _Toc219739811 \h </w:instrText>
        </w:r>
        <w:r w:rsidR="00EA70AF">
          <w:rPr>
            <w:webHidden/>
          </w:rPr>
        </w:r>
        <w:r w:rsidR="00EA70AF">
          <w:rPr>
            <w:webHidden/>
          </w:rPr>
          <w:fldChar w:fldCharType="separate"/>
        </w:r>
        <w:r w:rsidR="007F093A">
          <w:rPr>
            <w:webHidden/>
          </w:rPr>
          <w:t>17</w:t>
        </w:r>
        <w:r w:rsidR="00EA70AF">
          <w:rPr>
            <w:webHidden/>
          </w:rPr>
          <w:fldChar w:fldCharType="end"/>
        </w:r>
      </w:hyperlink>
    </w:p>
    <w:p w14:paraId="7D1A1D56" w14:textId="4708B8D3" w:rsidR="00EA70AF" w:rsidRDefault="00EA70AF">
      <w:pPr>
        <w:pStyle w:val="TableofFigures"/>
        <w:rPr>
          <w:color w:val="auto"/>
          <w:kern w:val="2"/>
          <w:lang w:val="en-GB" w:eastAsia="en-GB"/>
          <w14:ligatures w14:val="standardContextual"/>
        </w:rPr>
      </w:pPr>
      <w:hyperlink w:anchor="_Toc219739812" w:history="1">
        <w:r w:rsidRPr="00181079">
          <w:rPr>
            <w:rStyle w:val="Hyperlink"/>
          </w:rPr>
          <w:t>Figure 2: Differences between Euro AAA and Georgian Bond Term Premiums for 5-year and 10-year bonds</w:t>
        </w:r>
        <w:r>
          <w:rPr>
            <w:webHidden/>
          </w:rPr>
          <w:tab/>
        </w:r>
        <w:r>
          <w:rPr>
            <w:webHidden/>
          </w:rPr>
          <w:fldChar w:fldCharType="begin"/>
        </w:r>
        <w:r>
          <w:rPr>
            <w:webHidden/>
          </w:rPr>
          <w:instrText xml:space="preserve"> PAGEREF _Toc219739812 \h </w:instrText>
        </w:r>
        <w:r>
          <w:rPr>
            <w:webHidden/>
          </w:rPr>
        </w:r>
        <w:r>
          <w:rPr>
            <w:webHidden/>
          </w:rPr>
          <w:fldChar w:fldCharType="separate"/>
        </w:r>
        <w:r w:rsidR="007F093A">
          <w:rPr>
            <w:webHidden/>
          </w:rPr>
          <w:t>20</w:t>
        </w:r>
        <w:r>
          <w:rPr>
            <w:webHidden/>
          </w:rPr>
          <w:fldChar w:fldCharType="end"/>
        </w:r>
      </w:hyperlink>
    </w:p>
    <w:p w14:paraId="6DE47762" w14:textId="12ADB91A" w:rsidR="00EA70AF" w:rsidRDefault="00EA70AF">
      <w:pPr>
        <w:pStyle w:val="TableofFigures"/>
        <w:rPr>
          <w:color w:val="auto"/>
          <w:kern w:val="2"/>
          <w:lang w:val="en-GB" w:eastAsia="en-GB"/>
          <w14:ligatures w14:val="standardContextual"/>
        </w:rPr>
      </w:pPr>
      <w:hyperlink w:anchor="_Toc219739813" w:history="1">
        <w:r w:rsidRPr="00181079">
          <w:rPr>
            <w:rStyle w:val="Hyperlink"/>
          </w:rPr>
          <w:t>Figure 3: Yield on 10-Year Georgian Government Bonds</w:t>
        </w:r>
        <w:r>
          <w:rPr>
            <w:webHidden/>
          </w:rPr>
          <w:tab/>
        </w:r>
        <w:r>
          <w:rPr>
            <w:webHidden/>
          </w:rPr>
          <w:fldChar w:fldCharType="begin"/>
        </w:r>
        <w:r>
          <w:rPr>
            <w:webHidden/>
          </w:rPr>
          <w:instrText xml:space="preserve"> PAGEREF _Toc219739813 \h </w:instrText>
        </w:r>
        <w:r>
          <w:rPr>
            <w:webHidden/>
          </w:rPr>
        </w:r>
        <w:r>
          <w:rPr>
            <w:webHidden/>
          </w:rPr>
          <w:fldChar w:fldCharType="separate"/>
        </w:r>
        <w:r w:rsidR="007F093A">
          <w:rPr>
            <w:webHidden/>
          </w:rPr>
          <w:t>22</w:t>
        </w:r>
        <w:r>
          <w:rPr>
            <w:webHidden/>
          </w:rPr>
          <w:fldChar w:fldCharType="end"/>
        </w:r>
      </w:hyperlink>
    </w:p>
    <w:p w14:paraId="70C4D047" w14:textId="5C074E48" w:rsidR="00EA70AF" w:rsidRDefault="00EA70AF">
      <w:pPr>
        <w:pStyle w:val="TableofFigures"/>
        <w:rPr>
          <w:color w:val="auto"/>
          <w:kern w:val="2"/>
          <w:lang w:val="en-GB" w:eastAsia="en-GB"/>
          <w14:ligatures w14:val="standardContextual"/>
        </w:rPr>
      </w:pPr>
      <w:hyperlink w:anchor="_Toc219739814" w:history="1">
        <w:r w:rsidRPr="00181079">
          <w:rPr>
            <w:rStyle w:val="Hyperlink"/>
          </w:rPr>
          <w:t>Figure 4: Bid-ask spread, 5-year weekly average</w:t>
        </w:r>
        <w:r>
          <w:rPr>
            <w:webHidden/>
          </w:rPr>
          <w:tab/>
        </w:r>
        <w:r>
          <w:rPr>
            <w:webHidden/>
          </w:rPr>
          <w:fldChar w:fldCharType="begin"/>
        </w:r>
        <w:r>
          <w:rPr>
            <w:webHidden/>
          </w:rPr>
          <w:instrText xml:space="preserve"> PAGEREF _Toc219739814 \h </w:instrText>
        </w:r>
        <w:r>
          <w:rPr>
            <w:webHidden/>
          </w:rPr>
        </w:r>
        <w:r>
          <w:rPr>
            <w:webHidden/>
          </w:rPr>
          <w:fldChar w:fldCharType="separate"/>
        </w:r>
        <w:r w:rsidR="007F093A">
          <w:rPr>
            <w:webHidden/>
          </w:rPr>
          <w:t>32</w:t>
        </w:r>
        <w:r>
          <w:rPr>
            <w:webHidden/>
          </w:rPr>
          <w:fldChar w:fldCharType="end"/>
        </w:r>
      </w:hyperlink>
    </w:p>
    <w:p w14:paraId="4977205D" w14:textId="4EF6EA2B" w:rsidR="00EA70AF" w:rsidRDefault="00EA70AF">
      <w:pPr>
        <w:pStyle w:val="TableofFigures"/>
        <w:rPr>
          <w:color w:val="auto"/>
          <w:kern w:val="2"/>
          <w:lang w:val="en-GB" w:eastAsia="en-GB"/>
          <w14:ligatures w14:val="standardContextual"/>
        </w:rPr>
      </w:pPr>
      <w:hyperlink w:anchor="_Toc219739815" w:history="1">
        <w:r w:rsidRPr="00181079">
          <w:rPr>
            <w:rStyle w:val="Hyperlink"/>
          </w:rPr>
          <w:t>Figure 5: Rolling betas, 5Y weekly vs 2Y daily</w:t>
        </w:r>
        <w:r>
          <w:rPr>
            <w:webHidden/>
          </w:rPr>
          <w:tab/>
        </w:r>
        <w:r>
          <w:rPr>
            <w:webHidden/>
          </w:rPr>
          <w:fldChar w:fldCharType="begin"/>
        </w:r>
        <w:r>
          <w:rPr>
            <w:webHidden/>
          </w:rPr>
          <w:instrText xml:space="preserve"> PAGEREF _Toc219739815 \h </w:instrText>
        </w:r>
        <w:r>
          <w:rPr>
            <w:webHidden/>
          </w:rPr>
        </w:r>
        <w:r>
          <w:rPr>
            <w:webHidden/>
          </w:rPr>
          <w:fldChar w:fldCharType="separate"/>
        </w:r>
        <w:r w:rsidR="007F093A">
          <w:rPr>
            <w:webHidden/>
          </w:rPr>
          <w:t>36</w:t>
        </w:r>
        <w:r>
          <w:rPr>
            <w:webHidden/>
          </w:rPr>
          <w:fldChar w:fldCharType="end"/>
        </w:r>
      </w:hyperlink>
    </w:p>
    <w:p w14:paraId="7A217143" w14:textId="2F66B397" w:rsidR="00EA70AF" w:rsidRDefault="00EA70AF">
      <w:pPr>
        <w:pStyle w:val="TableofFigures"/>
        <w:rPr>
          <w:color w:val="auto"/>
          <w:kern w:val="2"/>
          <w:lang w:val="en-GB" w:eastAsia="en-GB"/>
          <w14:ligatures w14:val="standardContextual"/>
        </w:rPr>
      </w:pPr>
      <w:hyperlink w:anchor="_Toc219739816" w:history="1">
        <w:r w:rsidRPr="00181079">
          <w:rPr>
            <w:rStyle w:val="Hyperlink"/>
          </w:rPr>
          <w:t>Figure 6: Current Fiber Premiums Selected by European Telecoms Regulators</w:t>
        </w:r>
        <w:r>
          <w:rPr>
            <w:webHidden/>
          </w:rPr>
          <w:tab/>
        </w:r>
        <w:r>
          <w:rPr>
            <w:webHidden/>
          </w:rPr>
          <w:fldChar w:fldCharType="begin"/>
        </w:r>
        <w:r>
          <w:rPr>
            <w:webHidden/>
          </w:rPr>
          <w:instrText xml:space="preserve"> PAGEREF _Toc219739816 \h </w:instrText>
        </w:r>
        <w:r>
          <w:rPr>
            <w:webHidden/>
          </w:rPr>
        </w:r>
        <w:r>
          <w:rPr>
            <w:webHidden/>
          </w:rPr>
          <w:fldChar w:fldCharType="separate"/>
        </w:r>
        <w:r w:rsidR="007F093A">
          <w:rPr>
            <w:webHidden/>
          </w:rPr>
          <w:t>57</w:t>
        </w:r>
        <w:r>
          <w:rPr>
            <w:webHidden/>
          </w:rPr>
          <w:fldChar w:fldCharType="end"/>
        </w:r>
      </w:hyperlink>
    </w:p>
    <w:p w14:paraId="7003239A" w14:textId="5235583B" w:rsidR="00EA70AF" w:rsidRDefault="00EA70AF">
      <w:pPr>
        <w:pStyle w:val="TableofFigures"/>
        <w:rPr>
          <w:color w:val="auto"/>
          <w:kern w:val="2"/>
          <w:lang w:val="en-GB" w:eastAsia="en-GB"/>
          <w14:ligatures w14:val="standardContextual"/>
        </w:rPr>
      </w:pPr>
      <w:hyperlink w:anchor="_Toc219739817" w:history="1">
        <w:r w:rsidRPr="00181079">
          <w:rPr>
            <w:rStyle w:val="Hyperlink"/>
          </w:rPr>
          <w:t>Figure 7: Initial Fiber premiums selected by European Telecoms Regulators</w:t>
        </w:r>
        <w:r>
          <w:rPr>
            <w:webHidden/>
          </w:rPr>
          <w:tab/>
        </w:r>
        <w:r>
          <w:rPr>
            <w:webHidden/>
          </w:rPr>
          <w:fldChar w:fldCharType="begin"/>
        </w:r>
        <w:r>
          <w:rPr>
            <w:webHidden/>
          </w:rPr>
          <w:instrText xml:space="preserve"> PAGEREF _Toc219739817 \h </w:instrText>
        </w:r>
        <w:r>
          <w:rPr>
            <w:webHidden/>
          </w:rPr>
        </w:r>
        <w:r>
          <w:rPr>
            <w:webHidden/>
          </w:rPr>
          <w:fldChar w:fldCharType="separate"/>
        </w:r>
        <w:r w:rsidR="007F093A">
          <w:rPr>
            <w:webHidden/>
          </w:rPr>
          <w:t>58</w:t>
        </w:r>
        <w:r>
          <w:rPr>
            <w:webHidden/>
          </w:rPr>
          <w:fldChar w:fldCharType="end"/>
        </w:r>
      </w:hyperlink>
    </w:p>
    <w:p w14:paraId="4379CC59" w14:textId="427458F1" w:rsidR="00EA70AF" w:rsidRDefault="00EA70AF">
      <w:pPr>
        <w:pStyle w:val="TableofFigures"/>
        <w:rPr>
          <w:color w:val="auto"/>
          <w:kern w:val="2"/>
          <w:lang w:val="en-GB" w:eastAsia="en-GB"/>
          <w14:ligatures w14:val="standardContextual"/>
        </w:rPr>
      </w:pPr>
      <w:hyperlink w:anchor="_Toc219739818" w:history="1">
        <w:r w:rsidRPr="00181079">
          <w:rPr>
            <w:rStyle w:val="Hyperlink"/>
          </w:rPr>
          <w:t>Figure 8: Fiber Penetration of Georgian Internet Market</w:t>
        </w:r>
        <w:r>
          <w:rPr>
            <w:webHidden/>
          </w:rPr>
          <w:tab/>
        </w:r>
        <w:r>
          <w:rPr>
            <w:webHidden/>
          </w:rPr>
          <w:fldChar w:fldCharType="begin"/>
        </w:r>
        <w:r>
          <w:rPr>
            <w:webHidden/>
          </w:rPr>
          <w:instrText xml:space="preserve"> PAGEREF _Toc219739818 \h </w:instrText>
        </w:r>
        <w:r>
          <w:rPr>
            <w:webHidden/>
          </w:rPr>
        </w:r>
        <w:r>
          <w:rPr>
            <w:webHidden/>
          </w:rPr>
          <w:fldChar w:fldCharType="separate"/>
        </w:r>
        <w:r w:rsidR="007F093A">
          <w:rPr>
            <w:webHidden/>
          </w:rPr>
          <w:t>61</w:t>
        </w:r>
        <w:r>
          <w:rPr>
            <w:webHidden/>
          </w:rPr>
          <w:fldChar w:fldCharType="end"/>
        </w:r>
      </w:hyperlink>
    </w:p>
    <w:p w14:paraId="6A1A77A0" w14:textId="32A1407C" w:rsidR="00F16796" w:rsidRPr="00002C7A" w:rsidRDefault="00F16796" w:rsidP="00500B2F">
      <w:pPr>
        <w:pStyle w:val="Paragraph"/>
        <w:jc w:val="both"/>
        <w:rPr>
          <w:lang w:val="en-GB"/>
        </w:rPr>
        <w:sectPr w:rsidR="00F16796" w:rsidRPr="00002C7A" w:rsidSect="00BF6BEE">
          <w:headerReference w:type="default" r:id="rId16"/>
          <w:footerReference w:type="even" r:id="rId17"/>
          <w:footerReference w:type="default" r:id="rId18"/>
          <w:footerReference w:type="first" r:id="rId19"/>
          <w:pgSz w:w="11906" w:h="16838" w:code="9"/>
          <w:pgMar w:top="1440" w:right="1440" w:bottom="1152" w:left="1440" w:header="432" w:footer="720" w:gutter="0"/>
          <w:pgNumType w:fmt="lowerRoman"/>
          <w:cols w:space="720"/>
          <w:docGrid w:linePitch="313"/>
        </w:sectPr>
      </w:pPr>
      <w:r w:rsidRPr="00002C7A">
        <w:rPr>
          <w:lang w:val="en-GB"/>
        </w:rPr>
        <w:fldChar w:fldCharType="end"/>
      </w:r>
    </w:p>
    <w:p w14:paraId="146C2D3D" w14:textId="06C27644" w:rsidR="00E17D1C" w:rsidRPr="008C14A2" w:rsidRDefault="00E17D1C" w:rsidP="00500B2F">
      <w:pPr>
        <w:pStyle w:val="Heading1"/>
        <w:jc w:val="both"/>
      </w:pPr>
      <w:bookmarkStart w:id="0" w:name="_Toc219739754"/>
      <w:bookmarkStart w:id="1" w:name="_Toc217060040"/>
      <w:bookmarkStart w:id="2" w:name="_Toc8902961"/>
      <w:bookmarkStart w:id="3" w:name="_Toc9850262"/>
      <w:bookmarkStart w:id="4" w:name="_Toc73455302"/>
      <w:bookmarkStart w:id="5" w:name="_Toc78563277"/>
      <w:bookmarkStart w:id="6" w:name="_Toc99716119"/>
      <w:bookmarkStart w:id="7" w:name="_Toc99716212"/>
      <w:bookmarkStart w:id="8" w:name="_Toc99728393"/>
      <w:bookmarkStart w:id="9" w:name="_Toc100325553"/>
      <w:bookmarkStart w:id="10" w:name="_Toc45714306"/>
      <w:r w:rsidRPr="008C14A2">
        <w:lastRenderedPageBreak/>
        <w:t>Introduction</w:t>
      </w:r>
      <w:bookmarkEnd w:id="0"/>
      <w:bookmarkEnd w:id="1"/>
      <w:r w:rsidRPr="008C14A2">
        <w:t xml:space="preserve"> </w:t>
      </w:r>
      <w:bookmarkEnd w:id="2"/>
      <w:bookmarkEnd w:id="3"/>
      <w:bookmarkEnd w:id="4"/>
      <w:bookmarkEnd w:id="5"/>
      <w:bookmarkEnd w:id="6"/>
      <w:bookmarkEnd w:id="7"/>
      <w:bookmarkEnd w:id="8"/>
      <w:bookmarkEnd w:id="9"/>
    </w:p>
    <w:p w14:paraId="15103728" w14:textId="77777777" w:rsidR="003B78D9" w:rsidRPr="00002C7A" w:rsidRDefault="003B78D9" w:rsidP="00500B2F">
      <w:pPr>
        <w:pStyle w:val="Heading1Separator"/>
        <w:jc w:val="both"/>
        <w:rPr>
          <w:lang w:val="en-GB"/>
        </w:rPr>
      </w:pPr>
      <w:r w:rsidRPr="00002C7A">
        <w:rPr>
          <w:lang w:val="en-GB"/>
        </w:rPr>
        <w:tab/>
      </w:r>
    </w:p>
    <w:p w14:paraId="2AA01818" w14:textId="096FB261" w:rsidR="00F66C99" w:rsidRPr="00002C7A" w:rsidRDefault="008656A3" w:rsidP="00500B2F">
      <w:pPr>
        <w:pStyle w:val="ParagraphNumbered"/>
        <w:jc w:val="both"/>
        <w:rPr>
          <w:lang w:val="en-GB"/>
        </w:rPr>
      </w:pPr>
      <w:bookmarkStart w:id="11" w:name="_Ref62654551"/>
      <w:bookmarkStart w:id="12" w:name="_Toc62738549"/>
      <w:bookmarkStart w:id="13" w:name="_Toc54897422"/>
      <w:r w:rsidRPr="00002C7A">
        <w:rPr>
          <w:lang w:val="en-GB"/>
        </w:rPr>
        <w:t xml:space="preserve">The </w:t>
      </w:r>
      <w:r w:rsidR="00331F10" w:rsidRPr="00002C7A">
        <w:rPr>
          <w:lang w:val="en-GB"/>
        </w:rPr>
        <w:t>Georgian National Communications Commission (“</w:t>
      </w:r>
      <w:r w:rsidR="008F7795" w:rsidRPr="00002C7A">
        <w:rPr>
          <w:lang w:val="en-GB"/>
        </w:rPr>
        <w:t>ComCom</w:t>
      </w:r>
      <w:r w:rsidR="00331F10" w:rsidRPr="00002C7A">
        <w:rPr>
          <w:lang w:val="en-GB"/>
        </w:rPr>
        <w:t xml:space="preserve">”) </w:t>
      </w:r>
      <w:r w:rsidRPr="00002C7A">
        <w:rPr>
          <w:lang w:val="en-GB"/>
        </w:rPr>
        <w:t xml:space="preserve">is responsible for regulating </w:t>
      </w:r>
      <w:r w:rsidR="005227B9" w:rsidRPr="00002C7A">
        <w:rPr>
          <w:lang w:val="en-GB"/>
        </w:rPr>
        <w:t xml:space="preserve">telecoms services </w:t>
      </w:r>
      <w:r w:rsidR="00804241" w:rsidRPr="00002C7A">
        <w:rPr>
          <w:lang w:val="en-GB"/>
        </w:rPr>
        <w:t xml:space="preserve">in </w:t>
      </w:r>
      <w:r w:rsidR="00331F10" w:rsidRPr="00002C7A">
        <w:rPr>
          <w:lang w:val="en-GB"/>
        </w:rPr>
        <w:t>Georgia</w:t>
      </w:r>
      <w:r w:rsidR="00804241" w:rsidRPr="00002C7A">
        <w:rPr>
          <w:lang w:val="en-GB"/>
        </w:rPr>
        <w:t xml:space="preserve">. </w:t>
      </w:r>
      <w:r w:rsidR="0095534E" w:rsidRPr="00002C7A">
        <w:rPr>
          <w:lang w:val="en-GB"/>
        </w:rPr>
        <w:t xml:space="preserve">In line with its regulatory objectives, </w:t>
      </w:r>
      <w:r w:rsidR="008F7795" w:rsidRPr="00002C7A">
        <w:rPr>
          <w:lang w:val="en-GB"/>
        </w:rPr>
        <w:t>ComCom</w:t>
      </w:r>
      <w:r w:rsidR="0095534E" w:rsidRPr="00002C7A">
        <w:rPr>
          <w:lang w:val="en-GB"/>
        </w:rPr>
        <w:t xml:space="preserve"> periodically reviews the methodology for determining the allowed rate of return for regulated </w:t>
      </w:r>
      <w:r w:rsidR="0012538E" w:rsidRPr="00002C7A">
        <w:rPr>
          <w:lang w:val="en-GB"/>
        </w:rPr>
        <w:t>service</w:t>
      </w:r>
      <w:r w:rsidR="0095534E" w:rsidRPr="00002C7A">
        <w:rPr>
          <w:lang w:val="en-GB"/>
        </w:rPr>
        <w:t>s. The Weighted Average Cost of Capital (“WACC”) plays a central role in this process, as it defines the fair return that operators are entitled to earn on their investments.</w:t>
      </w:r>
    </w:p>
    <w:p w14:paraId="3C31DFFD" w14:textId="6DBB4C49" w:rsidR="00C371B8" w:rsidRPr="00002C7A" w:rsidRDefault="008F7795" w:rsidP="00500B2F">
      <w:pPr>
        <w:pStyle w:val="ParagraphNumbered"/>
        <w:jc w:val="both"/>
        <w:rPr>
          <w:lang w:val="en-GB"/>
        </w:rPr>
      </w:pPr>
      <w:r w:rsidRPr="00002C7A">
        <w:rPr>
          <w:lang w:val="en-GB"/>
        </w:rPr>
        <w:t>ComCom</w:t>
      </w:r>
      <w:r w:rsidR="005227B9" w:rsidRPr="00002C7A">
        <w:rPr>
          <w:lang w:val="en-GB"/>
        </w:rPr>
        <w:t xml:space="preserve"> </w:t>
      </w:r>
      <w:r w:rsidR="00E17D1C" w:rsidRPr="00002C7A">
        <w:rPr>
          <w:lang w:val="en-GB"/>
        </w:rPr>
        <w:t>has commissioned The Brattle Group (</w:t>
      </w:r>
      <w:r w:rsidR="0095534E" w:rsidRPr="00002C7A">
        <w:rPr>
          <w:lang w:val="en-GB"/>
        </w:rPr>
        <w:t>“</w:t>
      </w:r>
      <w:r w:rsidR="00E17D1C" w:rsidRPr="00002C7A">
        <w:rPr>
          <w:lang w:val="en-GB"/>
        </w:rPr>
        <w:t>Brattle</w:t>
      </w:r>
      <w:r w:rsidR="0095534E" w:rsidRPr="00002C7A">
        <w:rPr>
          <w:lang w:val="en-GB"/>
        </w:rPr>
        <w:t>”</w:t>
      </w:r>
      <w:r w:rsidR="00E17D1C" w:rsidRPr="00002C7A">
        <w:rPr>
          <w:lang w:val="en-GB"/>
        </w:rPr>
        <w:t xml:space="preserve">) to </w:t>
      </w:r>
      <w:r w:rsidR="0095534E" w:rsidRPr="00002C7A">
        <w:rPr>
          <w:lang w:val="en-GB"/>
        </w:rPr>
        <w:t xml:space="preserve">conduct a comprehensive review of </w:t>
      </w:r>
      <w:r w:rsidR="008E1CC2" w:rsidRPr="00002C7A">
        <w:rPr>
          <w:lang w:val="en-GB"/>
        </w:rPr>
        <w:t>its</w:t>
      </w:r>
      <w:r w:rsidR="0095534E" w:rsidRPr="00002C7A">
        <w:rPr>
          <w:lang w:val="en-GB"/>
        </w:rPr>
        <w:t xml:space="preserve"> current WACC methodology</w:t>
      </w:r>
      <w:r w:rsidR="00876623" w:rsidRPr="00002C7A">
        <w:rPr>
          <w:lang w:val="en-GB"/>
        </w:rPr>
        <w:t xml:space="preserve"> </w:t>
      </w:r>
      <w:r w:rsidR="003E1B0A" w:rsidRPr="00002C7A">
        <w:rPr>
          <w:lang w:val="en-GB"/>
        </w:rPr>
        <w:t>for telecoms services in Georgia and to develop a methodology</w:t>
      </w:r>
      <w:r w:rsidR="00C212B7" w:rsidRPr="00002C7A">
        <w:rPr>
          <w:lang w:val="en-GB"/>
        </w:rPr>
        <w:t xml:space="preserve"> </w:t>
      </w:r>
      <w:r w:rsidR="00A34D7F" w:rsidRPr="00002C7A">
        <w:rPr>
          <w:lang w:val="en-GB"/>
        </w:rPr>
        <w:t>for the calculation of the WACC</w:t>
      </w:r>
      <w:r w:rsidR="00CF6A63" w:rsidRPr="00002C7A">
        <w:rPr>
          <w:lang w:val="en-GB"/>
        </w:rPr>
        <w:t xml:space="preserve"> for the next regulatory period</w:t>
      </w:r>
      <w:r w:rsidR="00E83CB8" w:rsidRPr="00002C7A">
        <w:rPr>
          <w:lang w:val="en-GB"/>
        </w:rPr>
        <w:t xml:space="preserve"> starting in 2026</w:t>
      </w:r>
      <w:r w:rsidR="004E08CF" w:rsidRPr="00002C7A">
        <w:rPr>
          <w:lang w:val="en-GB"/>
        </w:rPr>
        <w:t xml:space="preserve">. </w:t>
      </w:r>
      <w:r w:rsidR="000C12A1" w:rsidRPr="00002C7A">
        <w:rPr>
          <w:lang w:val="en-GB"/>
        </w:rPr>
        <w:t xml:space="preserve">In doing so, </w:t>
      </w:r>
      <w:r w:rsidR="004E08CF" w:rsidRPr="00002C7A">
        <w:rPr>
          <w:lang w:val="en-GB"/>
        </w:rPr>
        <w:t xml:space="preserve">ComCom has asked us </w:t>
      </w:r>
      <w:r w:rsidR="000C12A1" w:rsidRPr="00002C7A">
        <w:rPr>
          <w:lang w:val="en-GB"/>
        </w:rPr>
        <w:t xml:space="preserve">to account </w:t>
      </w:r>
      <w:r w:rsidR="003E1B0A" w:rsidRPr="00002C7A">
        <w:rPr>
          <w:lang w:val="en-GB"/>
        </w:rPr>
        <w:t>for</w:t>
      </w:r>
      <w:r w:rsidR="002C616A" w:rsidRPr="00002C7A">
        <w:rPr>
          <w:lang w:val="en-GB"/>
        </w:rPr>
        <w:t>:</w:t>
      </w:r>
      <w:r w:rsidR="000C12A1" w:rsidRPr="00002C7A">
        <w:rPr>
          <w:lang w:val="en-GB"/>
        </w:rPr>
        <w:t xml:space="preserve"> </w:t>
      </w:r>
    </w:p>
    <w:p w14:paraId="529D7943" w14:textId="7A6226F4" w:rsidR="00C371B8" w:rsidRPr="00002C7A" w:rsidRDefault="00793F0C" w:rsidP="00500B2F">
      <w:pPr>
        <w:pStyle w:val="ParagraphNumbered2"/>
        <w:jc w:val="both"/>
        <w:rPr>
          <w:lang w:val="en-GB"/>
        </w:rPr>
      </w:pPr>
      <w:r w:rsidRPr="00002C7A">
        <w:rPr>
          <w:lang w:val="en-GB"/>
        </w:rPr>
        <w:t>ComCom’s</w:t>
      </w:r>
      <w:r w:rsidR="000C12A1" w:rsidRPr="00002C7A">
        <w:rPr>
          <w:lang w:val="en-GB"/>
        </w:rPr>
        <w:t xml:space="preserve"> c</w:t>
      </w:r>
      <w:r w:rsidR="00032138" w:rsidRPr="00002C7A">
        <w:rPr>
          <w:lang w:val="en-GB"/>
        </w:rPr>
        <w:t xml:space="preserve">urrent methodology, as set out </w:t>
      </w:r>
      <w:r w:rsidR="00C227C1" w:rsidRPr="00002C7A">
        <w:rPr>
          <w:lang w:val="en-GB"/>
        </w:rPr>
        <w:t xml:space="preserve">in ComCom’s </w:t>
      </w:r>
      <w:r w:rsidR="004136E0" w:rsidRPr="00002C7A">
        <w:rPr>
          <w:lang w:val="en-GB"/>
        </w:rPr>
        <w:t>d</w:t>
      </w:r>
      <w:r w:rsidR="00C227C1" w:rsidRPr="00002C7A">
        <w:rPr>
          <w:lang w:val="en-GB"/>
        </w:rPr>
        <w:t>ecision</w:t>
      </w:r>
      <w:r w:rsidR="004136E0" w:rsidRPr="00002C7A">
        <w:rPr>
          <w:lang w:val="en-GB"/>
        </w:rPr>
        <w:t xml:space="preserve"> of June 2022</w:t>
      </w:r>
      <w:r w:rsidR="007F48D5" w:rsidRPr="00002C7A">
        <w:rPr>
          <w:rStyle w:val="FootnoteReference"/>
          <w:lang w:val="en-GB"/>
        </w:rPr>
        <w:footnoteReference w:id="2"/>
      </w:r>
      <w:r w:rsidR="004136E0" w:rsidRPr="00002C7A">
        <w:rPr>
          <w:lang w:val="en-GB"/>
        </w:rPr>
        <w:t xml:space="preserve"> </w:t>
      </w:r>
      <w:r w:rsidR="00574514" w:rsidRPr="00002C7A">
        <w:rPr>
          <w:lang w:val="en-GB"/>
        </w:rPr>
        <w:t xml:space="preserve">and in </w:t>
      </w:r>
      <w:r w:rsidR="00186CE1" w:rsidRPr="00002C7A">
        <w:rPr>
          <w:lang w:val="en-GB"/>
        </w:rPr>
        <w:t xml:space="preserve">the </w:t>
      </w:r>
      <w:r w:rsidR="003E1B0A" w:rsidRPr="00002C7A">
        <w:rPr>
          <w:lang w:val="en-GB"/>
        </w:rPr>
        <w:t>2020 PwC Report</w:t>
      </w:r>
      <w:r w:rsidRPr="00002C7A">
        <w:rPr>
          <w:lang w:val="en-GB"/>
        </w:rPr>
        <w:t>;</w:t>
      </w:r>
      <w:r w:rsidR="002D0D0D" w:rsidRPr="00002C7A">
        <w:rPr>
          <w:rStyle w:val="FootnoteReference"/>
          <w:lang w:val="en-GB"/>
        </w:rPr>
        <w:footnoteReference w:id="3"/>
      </w:r>
      <w:r w:rsidR="00A21D18" w:rsidRPr="00002C7A">
        <w:rPr>
          <w:lang w:val="en-GB"/>
        </w:rPr>
        <w:t xml:space="preserve"> </w:t>
      </w:r>
    </w:p>
    <w:p w14:paraId="6F475EDE" w14:textId="227D5A93" w:rsidR="00BA0017" w:rsidRPr="00002C7A" w:rsidRDefault="00793F0C" w:rsidP="00500B2F">
      <w:pPr>
        <w:pStyle w:val="ParagraphNumbered2"/>
        <w:jc w:val="both"/>
        <w:rPr>
          <w:lang w:val="en-GB"/>
        </w:rPr>
      </w:pPr>
      <w:r w:rsidRPr="00002C7A">
        <w:rPr>
          <w:lang w:val="en-GB"/>
        </w:rPr>
        <w:t>T</w:t>
      </w:r>
      <w:r w:rsidR="000E4786" w:rsidRPr="00002C7A">
        <w:rPr>
          <w:lang w:val="en-GB"/>
        </w:rPr>
        <w:t xml:space="preserve">he recommendations of the </w:t>
      </w:r>
      <w:r w:rsidR="003E1B0A" w:rsidRPr="00002C7A">
        <w:rPr>
          <w:lang w:val="en-GB"/>
        </w:rPr>
        <w:t>European Commission’s guidelines</w:t>
      </w:r>
      <w:r w:rsidRPr="00002C7A">
        <w:rPr>
          <w:lang w:val="en-GB"/>
        </w:rPr>
        <w:t>;</w:t>
      </w:r>
      <w:r w:rsidR="000E4786" w:rsidRPr="00002C7A">
        <w:rPr>
          <w:rStyle w:val="FootnoteReference"/>
          <w:lang w:val="en-GB"/>
        </w:rPr>
        <w:footnoteReference w:id="4"/>
      </w:r>
      <w:r w:rsidR="003E1B0A" w:rsidRPr="00002C7A">
        <w:rPr>
          <w:lang w:val="en-GB"/>
        </w:rPr>
        <w:t xml:space="preserve"> </w:t>
      </w:r>
    </w:p>
    <w:p w14:paraId="7F1FDFFE" w14:textId="4DA0516A" w:rsidR="008A5B56" w:rsidRPr="00002C7A" w:rsidRDefault="00793F0C" w:rsidP="00500B2F">
      <w:pPr>
        <w:pStyle w:val="ParagraphNumbered2"/>
        <w:jc w:val="both"/>
        <w:rPr>
          <w:lang w:val="en-GB"/>
        </w:rPr>
      </w:pPr>
      <w:r w:rsidRPr="00002C7A">
        <w:rPr>
          <w:lang w:val="en-GB"/>
        </w:rPr>
        <w:t>T</w:t>
      </w:r>
      <w:r w:rsidR="003E1B0A" w:rsidRPr="00002C7A">
        <w:rPr>
          <w:lang w:val="en-GB"/>
        </w:rPr>
        <w:t xml:space="preserve">he </w:t>
      </w:r>
      <w:r w:rsidR="006345E1" w:rsidRPr="00002C7A">
        <w:rPr>
          <w:lang w:val="en-GB"/>
        </w:rPr>
        <w:t>annual report</w:t>
      </w:r>
      <w:r w:rsidR="00B82DA3" w:rsidRPr="00002C7A">
        <w:rPr>
          <w:lang w:val="en-GB"/>
        </w:rPr>
        <w:t>s</w:t>
      </w:r>
      <w:r w:rsidR="006345E1" w:rsidRPr="00002C7A">
        <w:rPr>
          <w:lang w:val="en-GB"/>
        </w:rPr>
        <w:t xml:space="preserve"> published by the </w:t>
      </w:r>
      <w:r w:rsidR="00AD4E9F" w:rsidRPr="00002C7A">
        <w:rPr>
          <w:lang w:val="en-GB"/>
        </w:rPr>
        <w:t xml:space="preserve">Body </w:t>
      </w:r>
      <w:r w:rsidR="00704E1E" w:rsidRPr="00002C7A">
        <w:rPr>
          <w:lang w:val="en-GB"/>
        </w:rPr>
        <w:t xml:space="preserve">of European Regulators for Electronic Communications </w:t>
      </w:r>
      <w:r w:rsidR="006345E1" w:rsidRPr="00002C7A">
        <w:rPr>
          <w:lang w:val="en-GB"/>
        </w:rPr>
        <w:t>(“</w:t>
      </w:r>
      <w:r w:rsidR="003E1B0A" w:rsidRPr="00002C7A">
        <w:rPr>
          <w:lang w:val="en-GB"/>
        </w:rPr>
        <w:t>BEREC</w:t>
      </w:r>
      <w:r w:rsidR="006345E1" w:rsidRPr="00002C7A">
        <w:rPr>
          <w:lang w:val="en-GB"/>
        </w:rPr>
        <w:t>”)</w:t>
      </w:r>
      <w:r w:rsidRPr="00002C7A">
        <w:rPr>
          <w:lang w:val="en-GB"/>
        </w:rPr>
        <w:t>;</w:t>
      </w:r>
      <w:r w:rsidR="000E4786" w:rsidRPr="00002C7A">
        <w:rPr>
          <w:rStyle w:val="FootnoteReference"/>
          <w:lang w:val="en-GB"/>
        </w:rPr>
        <w:footnoteReference w:id="5"/>
      </w:r>
      <w:r w:rsidR="00140E99" w:rsidRPr="00002C7A">
        <w:rPr>
          <w:lang w:val="en-GB"/>
        </w:rPr>
        <w:t xml:space="preserve"> and </w:t>
      </w:r>
    </w:p>
    <w:p w14:paraId="44F1C348" w14:textId="6677A026" w:rsidR="00444D8F" w:rsidRPr="00002C7A" w:rsidRDefault="00793F0C" w:rsidP="00444D8F">
      <w:pPr>
        <w:pStyle w:val="ParagraphNumbered2"/>
        <w:jc w:val="both"/>
        <w:rPr>
          <w:lang w:val="en-GB"/>
        </w:rPr>
      </w:pPr>
      <w:r w:rsidRPr="00002C7A">
        <w:rPr>
          <w:lang w:val="en-GB"/>
        </w:rPr>
        <w:t>A</w:t>
      </w:r>
      <w:r w:rsidR="003E1B0A" w:rsidRPr="00002C7A">
        <w:rPr>
          <w:lang w:val="en-GB"/>
        </w:rPr>
        <w:t xml:space="preserve">ny country-specific </w:t>
      </w:r>
      <w:r w:rsidR="00624785" w:rsidRPr="00002C7A">
        <w:rPr>
          <w:lang w:val="en-GB"/>
        </w:rPr>
        <w:t>r</w:t>
      </w:r>
      <w:r w:rsidR="005D5130" w:rsidRPr="00002C7A">
        <w:rPr>
          <w:lang w:val="en-GB"/>
        </w:rPr>
        <w:t>isks</w:t>
      </w:r>
      <w:r w:rsidR="00624785" w:rsidRPr="00002C7A">
        <w:rPr>
          <w:lang w:val="en-GB"/>
        </w:rPr>
        <w:t xml:space="preserve"> </w:t>
      </w:r>
      <w:r w:rsidR="003E1B0A" w:rsidRPr="00002C7A">
        <w:rPr>
          <w:lang w:val="en-GB"/>
        </w:rPr>
        <w:t>relevant to estimating the WACC of telecoms operators in Georgia</w:t>
      </w:r>
      <w:r w:rsidR="00CC0909" w:rsidRPr="00002C7A">
        <w:rPr>
          <w:lang w:val="en-GB"/>
        </w:rPr>
        <w:t>, including any potential currency effects and the relatively small size of the Georgian market</w:t>
      </w:r>
      <w:r w:rsidR="00F30408" w:rsidRPr="00002C7A">
        <w:rPr>
          <w:lang w:val="en-GB"/>
        </w:rPr>
        <w:t>.</w:t>
      </w:r>
    </w:p>
    <w:p w14:paraId="3B5914D7" w14:textId="24AF5DD2" w:rsidR="003E1B0A" w:rsidRPr="00002C7A" w:rsidRDefault="003E1B0A" w:rsidP="00500B2F">
      <w:pPr>
        <w:pStyle w:val="ParagraphNumbered"/>
        <w:jc w:val="both"/>
        <w:rPr>
          <w:lang w:val="en-GB"/>
        </w:rPr>
      </w:pPr>
      <w:r w:rsidRPr="00002C7A">
        <w:rPr>
          <w:lang w:val="en-GB"/>
        </w:rPr>
        <w:t xml:space="preserve">ComCom has </w:t>
      </w:r>
      <w:r w:rsidR="00D178B0" w:rsidRPr="00002C7A">
        <w:rPr>
          <w:lang w:val="en-GB"/>
        </w:rPr>
        <w:t xml:space="preserve">further asked us to assess </w:t>
      </w:r>
      <w:r w:rsidR="00772474" w:rsidRPr="00002C7A">
        <w:rPr>
          <w:lang w:val="en-GB"/>
        </w:rPr>
        <w:t xml:space="preserve">(1) </w:t>
      </w:r>
      <w:r w:rsidR="00590F28" w:rsidRPr="00002C7A">
        <w:rPr>
          <w:lang w:val="en-GB"/>
        </w:rPr>
        <w:t>w</w:t>
      </w:r>
      <w:r w:rsidRPr="00002C7A">
        <w:rPr>
          <w:lang w:val="en-GB"/>
        </w:rPr>
        <w:t>hether the WACC should be differentiated or not for mobile and fixed telecom</w:t>
      </w:r>
      <w:r w:rsidR="00590F28" w:rsidRPr="00002C7A">
        <w:rPr>
          <w:lang w:val="en-GB"/>
        </w:rPr>
        <w:t>s</w:t>
      </w:r>
      <w:r w:rsidRPr="00002C7A">
        <w:rPr>
          <w:lang w:val="en-GB"/>
        </w:rPr>
        <w:t xml:space="preserve"> services</w:t>
      </w:r>
      <w:r w:rsidR="000837C6" w:rsidRPr="00002C7A">
        <w:rPr>
          <w:lang w:val="en-GB"/>
        </w:rPr>
        <w:t>,</w:t>
      </w:r>
      <w:r w:rsidR="00830F38" w:rsidRPr="00002C7A">
        <w:rPr>
          <w:rFonts w:ascii="Segoe UI" w:hAnsi="Segoe UI" w:cs="Segoe UI"/>
          <w:sz w:val="18"/>
          <w:szCs w:val="18"/>
          <w:lang w:val="en-GB"/>
        </w:rPr>
        <w:t xml:space="preserve"> </w:t>
      </w:r>
      <w:r w:rsidR="00220C90" w:rsidRPr="00002C7A">
        <w:rPr>
          <w:lang w:val="en-GB"/>
        </w:rPr>
        <w:t>(2)</w:t>
      </w:r>
      <w:r w:rsidR="00EE0702" w:rsidRPr="00002C7A">
        <w:rPr>
          <w:rFonts w:ascii="Segoe UI" w:hAnsi="Segoe UI" w:cs="Segoe UI"/>
          <w:sz w:val="18"/>
          <w:szCs w:val="18"/>
          <w:lang w:val="en-GB"/>
        </w:rPr>
        <w:t xml:space="preserve"> </w:t>
      </w:r>
      <w:r w:rsidR="000837C6" w:rsidRPr="00002C7A">
        <w:rPr>
          <w:lang w:val="en-GB"/>
        </w:rPr>
        <w:t>w</w:t>
      </w:r>
      <w:r w:rsidR="002A2F37" w:rsidRPr="00002C7A">
        <w:rPr>
          <w:lang w:val="en-GB"/>
        </w:rPr>
        <w:t xml:space="preserve">hether </w:t>
      </w:r>
      <w:r w:rsidR="0020636E" w:rsidRPr="00002C7A">
        <w:rPr>
          <w:lang w:val="en-GB"/>
        </w:rPr>
        <w:t xml:space="preserve">a premium on the WACC </w:t>
      </w:r>
      <w:r w:rsidR="007D6FE3" w:rsidRPr="00002C7A">
        <w:rPr>
          <w:lang w:val="en-GB"/>
        </w:rPr>
        <w:t>should be applied for investments in next-generation networks</w:t>
      </w:r>
      <w:r w:rsidR="004D5E4E" w:rsidRPr="00002C7A">
        <w:rPr>
          <w:lang w:val="en-GB"/>
        </w:rPr>
        <w:t>,</w:t>
      </w:r>
      <w:r w:rsidR="007D6FE3" w:rsidRPr="00002C7A">
        <w:rPr>
          <w:lang w:val="en-GB"/>
        </w:rPr>
        <w:t xml:space="preserve"> including </w:t>
      </w:r>
      <w:r w:rsidR="00F274F1" w:rsidRPr="00002C7A">
        <w:rPr>
          <w:lang w:val="en-GB"/>
        </w:rPr>
        <w:t>fiber</w:t>
      </w:r>
      <w:r w:rsidR="007D6FE3" w:rsidRPr="00002C7A">
        <w:rPr>
          <w:lang w:val="en-GB"/>
        </w:rPr>
        <w:t xml:space="preserve"> and 5G</w:t>
      </w:r>
      <w:r w:rsidR="00024C31" w:rsidRPr="00002C7A">
        <w:rPr>
          <w:lang w:val="en-GB"/>
        </w:rPr>
        <w:t>,</w:t>
      </w:r>
      <w:r w:rsidR="0020636E" w:rsidRPr="00002C7A">
        <w:rPr>
          <w:lang w:val="en-GB"/>
        </w:rPr>
        <w:t xml:space="preserve"> and if so </w:t>
      </w:r>
      <w:r w:rsidR="00024C31" w:rsidRPr="00002C7A">
        <w:rPr>
          <w:lang w:val="en-GB"/>
        </w:rPr>
        <w:t xml:space="preserve">how </w:t>
      </w:r>
      <w:r w:rsidR="00024C31" w:rsidRPr="00002C7A">
        <w:rPr>
          <w:lang w:val="en-GB"/>
        </w:rPr>
        <w:lastRenderedPageBreak/>
        <w:t>large</w:t>
      </w:r>
      <w:r w:rsidR="00CC728A" w:rsidRPr="00002C7A">
        <w:rPr>
          <w:lang w:val="en-GB"/>
        </w:rPr>
        <w:t xml:space="preserve">, and (3) </w:t>
      </w:r>
      <w:r w:rsidR="00EE0702" w:rsidRPr="00002C7A">
        <w:rPr>
          <w:lang w:val="en-GB"/>
        </w:rPr>
        <w:t>any other issue</w:t>
      </w:r>
      <w:r w:rsidR="00CE7969" w:rsidRPr="00002C7A">
        <w:rPr>
          <w:lang w:val="en-GB"/>
        </w:rPr>
        <w:t xml:space="preserve"> relevant to the calculation of the WACC for telecoms services in Georgia</w:t>
      </w:r>
      <w:r w:rsidR="00566E9C" w:rsidRPr="00002C7A">
        <w:rPr>
          <w:lang w:val="en-GB"/>
        </w:rPr>
        <w:t xml:space="preserve"> that </w:t>
      </w:r>
      <w:r w:rsidR="00CC728A" w:rsidRPr="00002C7A">
        <w:rPr>
          <w:lang w:val="en-GB"/>
        </w:rPr>
        <w:t xml:space="preserve">may emerge </w:t>
      </w:r>
      <w:r w:rsidR="00566E9C" w:rsidRPr="00002C7A">
        <w:rPr>
          <w:lang w:val="en-GB"/>
        </w:rPr>
        <w:t>during the project</w:t>
      </w:r>
      <w:r w:rsidR="00EE0702" w:rsidRPr="00002C7A">
        <w:rPr>
          <w:lang w:val="en-GB"/>
        </w:rPr>
        <w:t>.</w:t>
      </w:r>
    </w:p>
    <w:p w14:paraId="5B7144E3" w14:textId="6063B609" w:rsidR="00B34A5B" w:rsidRPr="00002C7A" w:rsidRDefault="341BC336" w:rsidP="00500B2F">
      <w:pPr>
        <w:pStyle w:val="ParagraphNumbered"/>
        <w:jc w:val="both"/>
        <w:rPr>
          <w:lang w:val="en-GB"/>
        </w:rPr>
      </w:pPr>
      <w:r w:rsidRPr="00002C7A">
        <w:rPr>
          <w:lang w:val="en-GB"/>
        </w:rPr>
        <w:t xml:space="preserve">In preparing this report, we use data up to and including </w:t>
      </w:r>
      <w:r w:rsidR="00DD11BF" w:rsidRPr="00002C7A">
        <w:rPr>
          <w:lang w:val="en-GB"/>
        </w:rPr>
        <w:t>30</w:t>
      </w:r>
      <w:r w:rsidRPr="00002C7A">
        <w:rPr>
          <w:lang w:val="en-GB"/>
        </w:rPr>
        <w:t xml:space="preserve"> </w:t>
      </w:r>
      <w:r w:rsidR="00DD11BF" w:rsidRPr="00002C7A">
        <w:rPr>
          <w:lang w:val="en-GB"/>
        </w:rPr>
        <w:t>September</w:t>
      </w:r>
      <w:r w:rsidRPr="00002C7A">
        <w:rPr>
          <w:lang w:val="en-GB"/>
        </w:rPr>
        <w:t xml:space="preserve"> 202</w:t>
      </w:r>
      <w:r w:rsidR="00DD11BF" w:rsidRPr="00002C7A">
        <w:rPr>
          <w:lang w:val="en-GB"/>
        </w:rPr>
        <w:t>5</w:t>
      </w:r>
      <w:r w:rsidRPr="00002C7A">
        <w:rPr>
          <w:lang w:val="en-GB"/>
        </w:rPr>
        <w:t xml:space="preserve"> (measurement date), being the most recent data available at the time of our analysis.</w:t>
      </w:r>
      <w:r w:rsidR="002A7DCC" w:rsidRPr="00002C7A">
        <w:rPr>
          <w:lang w:val="en-GB"/>
        </w:rPr>
        <w:t xml:space="preserve"> </w:t>
      </w:r>
    </w:p>
    <w:p w14:paraId="7A521604" w14:textId="10D55905" w:rsidR="006372DB" w:rsidRPr="00002C7A" w:rsidRDefault="00BA1467" w:rsidP="00500B2F">
      <w:pPr>
        <w:pStyle w:val="ParagraphNumbered"/>
        <w:jc w:val="both"/>
        <w:rPr>
          <w:lang w:val="en-GB"/>
        </w:rPr>
      </w:pPr>
      <w:r w:rsidRPr="00002C7A">
        <w:rPr>
          <w:lang w:val="en-GB"/>
        </w:rPr>
        <w:t xml:space="preserve">In this report we estimate the cost of equity by applying </w:t>
      </w:r>
      <w:r w:rsidR="00F8517F" w:rsidRPr="00002C7A">
        <w:rPr>
          <w:lang w:val="en-GB"/>
        </w:rPr>
        <w:t>the Capital Asset Pricing Model (CAPM)</w:t>
      </w:r>
      <w:r w:rsidR="00F673F2" w:rsidRPr="00002C7A">
        <w:rPr>
          <w:lang w:val="en-GB"/>
        </w:rPr>
        <w:t>.</w:t>
      </w:r>
      <w:r w:rsidR="00975A6D" w:rsidRPr="00002C7A">
        <w:rPr>
          <w:lang w:val="en-GB"/>
        </w:rPr>
        <w:t xml:space="preserve"> </w:t>
      </w:r>
      <w:r w:rsidR="002E6A64" w:rsidRPr="00002C7A">
        <w:rPr>
          <w:lang w:val="en-GB"/>
        </w:rPr>
        <w:t>Using the CAPM</w:t>
      </w:r>
      <w:r w:rsidR="00DD7240" w:rsidRPr="00002C7A">
        <w:rPr>
          <w:lang w:val="en-GB"/>
        </w:rPr>
        <w:t xml:space="preserve"> </w:t>
      </w:r>
      <w:r w:rsidR="002E6A64" w:rsidRPr="00002C7A">
        <w:rPr>
          <w:lang w:val="en-GB"/>
        </w:rPr>
        <w:t xml:space="preserve">makes sense </w:t>
      </w:r>
      <w:r w:rsidR="002146D4" w:rsidRPr="00002C7A">
        <w:rPr>
          <w:lang w:val="en-GB"/>
        </w:rPr>
        <w:t xml:space="preserve">for ComCom </w:t>
      </w:r>
      <w:r w:rsidR="002E6A64" w:rsidRPr="00002C7A">
        <w:rPr>
          <w:lang w:val="en-GB"/>
        </w:rPr>
        <w:t>a</w:t>
      </w:r>
      <w:r w:rsidR="00440C15" w:rsidRPr="00002C7A">
        <w:rPr>
          <w:lang w:val="en-GB"/>
        </w:rPr>
        <w:t xml:space="preserve">s it is </w:t>
      </w:r>
      <w:r w:rsidR="000651AC" w:rsidRPr="00002C7A">
        <w:rPr>
          <w:lang w:val="en-GB"/>
        </w:rPr>
        <w:t>the</w:t>
      </w:r>
      <w:r w:rsidR="00440C15" w:rsidRPr="00002C7A">
        <w:rPr>
          <w:lang w:val="en-GB"/>
        </w:rPr>
        <w:t xml:space="preserve"> </w:t>
      </w:r>
      <w:r w:rsidR="006E14B6" w:rsidRPr="00002C7A">
        <w:rPr>
          <w:lang w:val="en-GB"/>
        </w:rPr>
        <w:t xml:space="preserve">method that </w:t>
      </w:r>
      <w:r w:rsidR="00FD22C5" w:rsidRPr="00002C7A">
        <w:rPr>
          <w:lang w:val="en-GB"/>
        </w:rPr>
        <w:t>a</w:t>
      </w:r>
      <w:r w:rsidR="00894A2B" w:rsidRPr="00002C7A">
        <w:rPr>
          <w:lang w:val="en-GB"/>
        </w:rPr>
        <w:t>ll</w:t>
      </w:r>
      <w:r w:rsidR="006F4DD6" w:rsidRPr="00002C7A">
        <w:rPr>
          <w:lang w:val="en-GB"/>
        </w:rPr>
        <w:t xml:space="preserve"> EU regulators apply</w:t>
      </w:r>
      <w:r w:rsidR="000651AC" w:rsidRPr="00002C7A">
        <w:rPr>
          <w:lang w:val="en-GB"/>
        </w:rPr>
        <w:t xml:space="preserve"> and</w:t>
      </w:r>
      <w:r w:rsidR="006F4DD6" w:rsidRPr="00002C7A">
        <w:rPr>
          <w:lang w:val="en-GB"/>
        </w:rPr>
        <w:t xml:space="preserve"> </w:t>
      </w:r>
      <w:r w:rsidR="003062EE" w:rsidRPr="00002C7A">
        <w:rPr>
          <w:lang w:val="en-GB"/>
        </w:rPr>
        <w:t xml:space="preserve">recommended in </w:t>
      </w:r>
      <w:r w:rsidR="006F4DD6" w:rsidRPr="00002C7A">
        <w:rPr>
          <w:lang w:val="en-GB"/>
        </w:rPr>
        <w:t xml:space="preserve">the </w:t>
      </w:r>
      <w:r w:rsidR="006F74BE" w:rsidRPr="00002C7A">
        <w:rPr>
          <w:lang w:val="en-GB"/>
        </w:rPr>
        <w:t>EC G</w:t>
      </w:r>
      <w:r w:rsidR="00E51E2E" w:rsidRPr="00002C7A">
        <w:rPr>
          <w:lang w:val="en-GB"/>
        </w:rPr>
        <w:t xml:space="preserve">uidelines. </w:t>
      </w:r>
      <w:r w:rsidR="00975A6D" w:rsidRPr="00002C7A">
        <w:rPr>
          <w:lang w:val="en-GB"/>
        </w:rPr>
        <w:t xml:space="preserve"> </w:t>
      </w:r>
      <w:r w:rsidR="00911473" w:rsidRPr="00002C7A">
        <w:rPr>
          <w:lang w:val="en-GB"/>
        </w:rPr>
        <w:t>Hence</w:t>
      </w:r>
      <w:r w:rsidR="00733DF3" w:rsidRPr="00002C7A">
        <w:rPr>
          <w:lang w:val="en-GB"/>
        </w:rPr>
        <w:t>,</w:t>
      </w:r>
      <w:r w:rsidR="00911473" w:rsidRPr="00002C7A">
        <w:rPr>
          <w:lang w:val="en-GB"/>
        </w:rPr>
        <w:t xml:space="preserve"> </w:t>
      </w:r>
      <w:r w:rsidR="00975A6D" w:rsidRPr="00002C7A">
        <w:rPr>
          <w:lang w:val="en-GB"/>
        </w:rPr>
        <w:t xml:space="preserve">we consider it appropriate to continue to apply the CAPM to calculate the cost of equity for telecoms operators in Georgia. Accordingly, </w:t>
      </w:r>
      <w:r w:rsidR="00911473" w:rsidRPr="00002C7A">
        <w:rPr>
          <w:lang w:val="en-GB"/>
        </w:rPr>
        <w:t xml:space="preserve">in this report </w:t>
      </w:r>
      <w:r w:rsidR="00975A6D" w:rsidRPr="00002C7A">
        <w:rPr>
          <w:lang w:val="en-GB"/>
        </w:rPr>
        <w:t>w</w:t>
      </w:r>
      <w:r w:rsidR="00F8517F" w:rsidRPr="00002C7A">
        <w:rPr>
          <w:lang w:val="en-GB"/>
        </w:rPr>
        <w:t>e do not discuss alternative methods of estimating the cost of equity</w:t>
      </w:r>
      <w:r w:rsidR="002146D4" w:rsidRPr="00002C7A">
        <w:rPr>
          <w:lang w:val="en-GB"/>
        </w:rPr>
        <w:t xml:space="preserve">, such as </w:t>
      </w:r>
      <w:r w:rsidR="00440C15" w:rsidRPr="00002C7A">
        <w:rPr>
          <w:lang w:val="en-GB"/>
        </w:rPr>
        <w:t>Fama-French models</w:t>
      </w:r>
      <w:r w:rsidR="002E6A64" w:rsidRPr="00002C7A">
        <w:rPr>
          <w:lang w:val="en-GB"/>
        </w:rPr>
        <w:t xml:space="preserve">. </w:t>
      </w:r>
    </w:p>
    <w:p w14:paraId="25ED8727" w14:textId="66F184A0" w:rsidR="002E32CE" w:rsidRPr="00002C7A" w:rsidRDefault="00754741" w:rsidP="00500B2F">
      <w:pPr>
        <w:pStyle w:val="ParagraphNumbered"/>
        <w:jc w:val="both"/>
        <w:rPr>
          <w:lang w:val="en-GB"/>
        </w:rPr>
      </w:pPr>
      <w:r w:rsidRPr="00002C7A">
        <w:rPr>
          <w:lang w:val="en-GB"/>
        </w:rPr>
        <w:t>W</w:t>
      </w:r>
      <w:r w:rsidR="009F22A9" w:rsidRPr="00002C7A">
        <w:rPr>
          <w:lang w:val="en-GB"/>
        </w:rPr>
        <w:t xml:space="preserve">e structure this report around the </w:t>
      </w:r>
      <w:r w:rsidR="00FE0ED4" w:rsidRPr="00002C7A">
        <w:rPr>
          <w:lang w:val="en-GB"/>
        </w:rPr>
        <w:t xml:space="preserve">key elements of the </w:t>
      </w:r>
      <w:r w:rsidR="006071BA" w:rsidRPr="00002C7A">
        <w:rPr>
          <w:lang w:val="en-GB"/>
        </w:rPr>
        <w:t xml:space="preserve">CAPM and the cost of debt, being </w:t>
      </w:r>
    </w:p>
    <w:p w14:paraId="0C9C8814" w14:textId="7D59048B" w:rsidR="00CB4940" w:rsidRPr="00002C7A" w:rsidRDefault="008F07BC" w:rsidP="00500B2F">
      <w:pPr>
        <w:pStyle w:val="ParagraphNumbered2"/>
        <w:jc w:val="both"/>
        <w:rPr>
          <w:lang w:val="en-GB"/>
        </w:rPr>
      </w:pPr>
      <w:r w:rsidRPr="00002C7A">
        <w:rPr>
          <w:lang w:val="en-GB"/>
        </w:rPr>
        <w:t>The risk-free rate (section</w:t>
      </w:r>
      <w:r w:rsidR="00CB2A53" w:rsidRPr="00002C7A">
        <w:rPr>
          <w:lang w:val="en-GB"/>
        </w:rPr>
        <w:t xml:space="preserve"> </w:t>
      </w:r>
      <w:r w:rsidR="00DD5ECF" w:rsidRPr="00002C7A">
        <w:rPr>
          <w:lang w:val="en-GB"/>
        </w:rPr>
        <w:fldChar w:fldCharType="begin"/>
      </w:r>
      <w:r w:rsidR="00DD5ECF" w:rsidRPr="00002C7A">
        <w:rPr>
          <w:lang w:val="en-GB"/>
        </w:rPr>
        <w:instrText xml:space="preserve"> REF _Ref217031824 \r \h </w:instrText>
      </w:r>
      <w:r w:rsidR="00DD5ECF" w:rsidRPr="00002C7A">
        <w:rPr>
          <w:lang w:val="en-GB"/>
        </w:rPr>
      </w:r>
      <w:r w:rsidR="00DD5ECF" w:rsidRPr="00002C7A">
        <w:rPr>
          <w:lang w:val="en-GB"/>
        </w:rPr>
        <w:fldChar w:fldCharType="separate"/>
      </w:r>
      <w:r w:rsidR="007F093A">
        <w:rPr>
          <w:lang w:val="en-GB"/>
        </w:rPr>
        <w:t>III</w:t>
      </w:r>
      <w:r w:rsidR="00DD5ECF" w:rsidRPr="00002C7A">
        <w:rPr>
          <w:lang w:val="en-GB"/>
        </w:rPr>
        <w:fldChar w:fldCharType="end"/>
      </w:r>
      <w:r w:rsidRPr="00002C7A">
        <w:rPr>
          <w:lang w:val="en-GB"/>
        </w:rPr>
        <w:t>)</w:t>
      </w:r>
      <w:r w:rsidR="0080361E" w:rsidRPr="00002C7A">
        <w:rPr>
          <w:lang w:val="en-GB"/>
        </w:rPr>
        <w:t>.</w:t>
      </w:r>
    </w:p>
    <w:p w14:paraId="43146D2B" w14:textId="1CCCF53D" w:rsidR="008F07BC" w:rsidRPr="00002C7A" w:rsidRDefault="008F07BC" w:rsidP="00500B2F">
      <w:pPr>
        <w:pStyle w:val="ParagraphNumbered2"/>
        <w:jc w:val="both"/>
        <w:rPr>
          <w:lang w:val="en-GB"/>
        </w:rPr>
      </w:pPr>
      <w:r w:rsidRPr="00002C7A">
        <w:rPr>
          <w:lang w:val="en-GB"/>
        </w:rPr>
        <w:t xml:space="preserve">The Equity Risk Premium </w:t>
      </w:r>
      <w:r w:rsidR="003A7C1E" w:rsidRPr="00002C7A">
        <w:rPr>
          <w:lang w:val="en-GB"/>
        </w:rPr>
        <w:t xml:space="preserve">(section </w:t>
      </w:r>
      <w:r w:rsidR="0045747A" w:rsidRPr="00002C7A">
        <w:rPr>
          <w:lang w:val="en-GB"/>
        </w:rPr>
        <w:fldChar w:fldCharType="begin"/>
      </w:r>
      <w:r w:rsidR="0045747A" w:rsidRPr="00002C7A">
        <w:rPr>
          <w:lang w:val="en-GB"/>
        </w:rPr>
        <w:instrText xml:space="preserve"> REF _Ref213873456 \w \h </w:instrText>
      </w:r>
      <w:r w:rsidR="00500B2F" w:rsidRPr="00002C7A">
        <w:rPr>
          <w:lang w:val="en-GB"/>
        </w:rPr>
        <w:instrText xml:space="preserve"> \* MERGEFORMAT </w:instrText>
      </w:r>
      <w:r w:rsidR="0045747A" w:rsidRPr="00002C7A">
        <w:rPr>
          <w:lang w:val="en-GB"/>
        </w:rPr>
      </w:r>
      <w:r w:rsidR="0045747A" w:rsidRPr="00002C7A">
        <w:rPr>
          <w:lang w:val="en-GB"/>
        </w:rPr>
        <w:fldChar w:fldCharType="separate"/>
      </w:r>
      <w:r w:rsidR="007F093A">
        <w:rPr>
          <w:lang w:val="en-GB"/>
        </w:rPr>
        <w:t>IV</w:t>
      </w:r>
      <w:r w:rsidR="0045747A" w:rsidRPr="00002C7A">
        <w:rPr>
          <w:lang w:val="en-GB"/>
        </w:rPr>
        <w:fldChar w:fldCharType="end"/>
      </w:r>
      <w:r w:rsidR="003A7C1E" w:rsidRPr="00002C7A">
        <w:rPr>
          <w:lang w:val="en-GB"/>
        </w:rPr>
        <w:t>)</w:t>
      </w:r>
      <w:r w:rsidR="0080361E" w:rsidRPr="00002C7A">
        <w:rPr>
          <w:lang w:val="en-GB"/>
        </w:rPr>
        <w:t>.</w:t>
      </w:r>
    </w:p>
    <w:p w14:paraId="3CE9D805" w14:textId="7CD3FF01" w:rsidR="003A7C1E" w:rsidRPr="00002C7A" w:rsidRDefault="00CB510D" w:rsidP="00500B2F">
      <w:pPr>
        <w:pStyle w:val="ParagraphNumbered2"/>
        <w:jc w:val="both"/>
        <w:rPr>
          <w:lang w:val="en-GB"/>
        </w:rPr>
      </w:pPr>
      <w:r w:rsidRPr="00002C7A">
        <w:rPr>
          <w:lang w:val="en-GB"/>
        </w:rPr>
        <w:t xml:space="preserve">The calculation of beta, including the selection of peer companies and </w:t>
      </w:r>
      <w:r w:rsidR="009C45FE" w:rsidRPr="00002C7A">
        <w:rPr>
          <w:lang w:val="en-GB"/>
        </w:rPr>
        <w:t xml:space="preserve">the debt level or gearing we assume (sections </w:t>
      </w:r>
      <w:r w:rsidR="0080361E" w:rsidRPr="00002C7A">
        <w:rPr>
          <w:lang w:val="en-GB"/>
        </w:rPr>
        <w:fldChar w:fldCharType="begin"/>
      </w:r>
      <w:r w:rsidR="0080361E" w:rsidRPr="00002C7A">
        <w:rPr>
          <w:lang w:val="en-GB"/>
        </w:rPr>
        <w:instrText xml:space="preserve"> REF _Ref213873465 \w \h </w:instrText>
      </w:r>
      <w:r w:rsidR="00500B2F" w:rsidRPr="00002C7A">
        <w:rPr>
          <w:lang w:val="en-GB"/>
        </w:rPr>
        <w:instrText xml:space="preserve"> \* MERGEFORMAT </w:instrText>
      </w:r>
      <w:r w:rsidR="0080361E" w:rsidRPr="00002C7A">
        <w:rPr>
          <w:lang w:val="en-GB"/>
        </w:rPr>
      </w:r>
      <w:r w:rsidR="0080361E" w:rsidRPr="00002C7A">
        <w:rPr>
          <w:lang w:val="en-GB"/>
        </w:rPr>
        <w:fldChar w:fldCharType="separate"/>
      </w:r>
      <w:r w:rsidR="007F093A">
        <w:rPr>
          <w:lang w:val="en-GB"/>
        </w:rPr>
        <w:t>V</w:t>
      </w:r>
      <w:r w:rsidR="0080361E" w:rsidRPr="00002C7A">
        <w:rPr>
          <w:lang w:val="en-GB"/>
        </w:rPr>
        <w:fldChar w:fldCharType="end"/>
      </w:r>
      <w:r w:rsidR="0080361E" w:rsidRPr="00002C7A">
        <w:rPr>
          <w:lang w:val="en-GB"/>
        </w:rPr>
        <w:t xml:space="preserve"> and </w:t>
      </w:r>
      <w:r w:rsidR="0080361E" w:rsidRPr="00002C7A">
        <w:rPr>
          <w:lang w:val="en-GB"/>
        </w:rPr>
        <w:fldChar w:fldCharType="begin"/>
      </w:r>
      <w:r w:rsidR="0080361E" w:rsidRPr="00002C7A">
        <w:rPr>
          <w:lang w:val="en-GB"/>
        </w:rPr>
        <w:instrText xml:space="preserve"> REF _Ref213873480 \w \h </w:instrText>
      </w:r>
      <w:r w:rsidR="00500B2F" w:rsidRPr="00002C7A">
        <w:rPr>
          <w:lang w:val="en-GB"/>
        </w:rPr>
        <w:instrText xml:space="preserve"> \* MERGEFORMAT </w:instrText>
      </w:r>
      <w:r w:rsidR="0080361E" w:rsidRPr="00002C7A">
        <w:rPr>
          <w:lang w:val="en-GB"/>
        </w:rPr>
      </w:r>
      <w:r w:rsidR="0080361E" w:rsidRPr="00002C7A">
        <w:rPr>
          <w:lang w:val="en-GB"/>
        </w:rPr>
        <w:fldChar w:fldCharType="separate"/>
      </w:r>
      <w:r w:rsidR="007F093A">
        <w:rPr>
          <w:lang w:val="en-GB"/>
        </w:rPr>
        <w:t>VI</w:t>
      </w:r>
      <w:r w:rsidR="0080361E" w:rsidRPr="00002C7A">
        <w:rPr>
          <w:lang w:val="en-GB"/>
        </w:rPr>
        <w:fldChar w:fldCharType="end"/>
      </w:r>
      <w:r w:rsidR="009C45FE" w:rsidRPr="00002C7A">
        <w:rPr>
          <w:lang w:val="en-GB"/>
        </w:rPr>
        <w:t>)</w:t>
      </w:r>
      <w:r w:rsidR="0080361E" w:rsidRPr="00002C7A">
        <w:rPr>
          <w:lang w:val="en-GB"/>
        </w:rPr>
        <w:t>.</w:t>
      </w:r>
    </w:p>
    <w:p w14:paraId="10DF327D" w14:textId="2704AB4A" w:rsidR="009C45FE" w:rsidRPr="00002C7A" w:rsidRDefault="00E57D77" w:rsidP="00500B2F">
      <w:pPr>
        <w:pStyle w:val="ParagraphNumbered2"/>
        <w:jc w:val="both"/>
        <w:rPr>
          <w:lang w:val="en-GB"/>
        </w:rPr>
      </w:pPr>
      <w:r w:rsidRPr="00002C7A">
        <w:rPr>
          <w:lang w:val="en-GB"/>
        </w:rPr>
        <w:t>Cost of debt</w:t>
      </w:r>
      <w:r w:rsidR="0080361E" w:rsidRPr="00002C7A">
        <w:rPr>
          <w:lang w:val="en-GB"/>
        </w:rPr>
        <w:t xml:space="preserve"> (section </w:t>
      </w:r>
      <w:r w:rsidR="0080361E" w:rsidRPr="00002C7A">
        <w:rPr>
          <w:lang w:val="en-GB"/>
        </w:rPr>
        <w:fldChar w:fldCharType="begin"/>
      </w:r>
      <w:r w:rsidR="0080361E" w:rsidRPr="00002C7A">
        <w:rPr>
          <w:lang w:val="en-GB"/>
        </w:rPr>
        <w:instrText xml:space="preserve"> REF _Ref213873490 \w \h </w:instrText>
      </w:r>
      <w:r w:rsidR="00500B2F" w:rsidRPr="00002C7A">
        <w:rPr>
          <w:lang w:val="en-GB"/>
        </w:rPr>
        <w:instrText xml:space="preserve"> \* MERGEFORMAT </w:instrText>
      </w:r>
      <w:r w:rsidR="0080361E" w:rsidRPr="00002C7A">
        <w:rPr>
          <w:lang w:val="en-GB"/>
        </w:rPr>
      </w:r>
      <w:r w:rsidR="0080361E" w:rsidRPr="00002C7A">
        <w:rPr>
          <w:lang w:val="en-GB"/>
        </w:rPr>
        <w:fldChar w:fldCharType="separate"/>
      </w:r>
      <w:r w:rsidR="007F093A">
        <w:rPr>
          <w:lang w:val="en-GB"/>
        </w:rPr>
        <w:t>VII</w:t>
      </w:r>
      <w:r w:rsidR="0080361E" w:rsidRPr="00002C7A">
        <w:rPr>
          <w:lang w:val="en-GB"/>
        </w:rPr>
        <w:fldChar w:fldCharType="end"/>
      </w:r>
      <w:r w:rsidR="0080361E" w:rsidRPr="00002C7A">
        <w:rPr>
          <w:lang w:val="en-GB"/>
        </w:rPr>
        <w:t>).</w:t>
      </w:r>
    </w:p>
    <w:p w14:paraId="5368BF73" w14:textId="7D5BAE44" w:rsidR="008F07BC" w:rsidRPr="00002C7A" w:rsidRDefault="00CE197F" w:rsidP="00500B2F">
      <w:pPr>
        <w:pStyle w:val="ParagraphNumbered"/>
        <w:jc w:val="both"/>
        <w:rPr>
          <w:lang w:val="en-GB"/>
        </w:rPr>
      </w:pPr>
      <w:r w:rsidRPr="00002C7A">
        <w:rPr>
          <w:lang w:val="en-GB"/>
        </w:rPr>
        <w:t xml:space="preserve">We further discuss </w:t>
      </w:r>
      <w:r w:rsidR="005D0B75" w:rsidRPr="00002C7A">
        <w:rPr>
          <w:lang w:val="en-GB"/>
        </w:rPr>
        <w:t xml:space="preserve">In section </w:t>
      </w:r>
      <w:r w:rsidRPr="00002C7A">
        <w:rPr>
          <w:lang w:val="en-GB"/>
        </w:rPr>
        <w:fldChar w:fldCharType="begin"/>
      </w:r>
      <w:r w:rsidRPr="00002C7A">
        <w:rPr>
          <w:lang w:val="en-GB"/>
        </w:rPr>
        <w:instrText xml:space="preserve"> REF _Ref216379188 \w \h </w:instrText>
      </w:r>
      <w:r w:rsidRPr="00002C7A">
        <w:rPr>
          <w:lang w:val="en-GB"/>
        </w:rPr>
      </w:r>
      <w:r w:rsidRPr="00002C7A">
        <w:rPr>
          <w:lang w:val="en-GB"/>
        </w:rPr>
        <w:fldChar w:fldCharType="separate"/>
      </w:r>
      <w:r w:rsidR="007F093A">
        <w:rPr>
          <w:lang w:val="en-GB"/>
        </w:rPr>
        <w:t>VIII</w:t>
      </w:r>
      <w:r w:rsidRPr="00002C7A">
        <w:rPr>
          <w:lang w:val="en-GB"/>
        </w:rPr>
        <w:fldChar w:fldCharType="end"/>
      </w:r>
      <w:r w:rsidRPr="00002C7A">
        <w:rPr>
          <w:lang w:val="en-GB"/>
        </w:rPr>
        <w:t xml:space="preserve"> </w:t>
      </w:r>
      <w:r w:rsidR="000704C8" w:rsidRPr="00002C7A">
        <w:rPr>
          <w:lang w:val="en-GB"/>
        </w:rPr>
        <w:t xml:space="preserve">whether </w:t>
      </w:r>
      <w:r w:rsidR="00FE19F5" w:rsidRPr="00002C7A">
        <w:rPr>
          <w:lang w:val="en-GB"/>
        </w:rPr>
        <w:t>ComCom should continue to apply an NGA premium, and if so what should the premium be</w:t>
      </w:r>
      <w:r w:rsidR="00150F84" w:rsidRPr="00002C7A">
        <w:rPr>
          <w:lang w:val="en-GB"/>
        </w:rPr>
        <w:t xml:space="preserve"> and in section </w:t>
      </w:r>
      <w:r w:rsidR="00150F84" w:rsidRPr="00002C7A">
        <w:rPr>
          <w:lang w:val="en-GB"/>
        </w:rPr>
        <w:fldChar w:fldCharType="begin"/>
      </w:r>
      <w:r w:rsidR="00150F84" w:rsidRPr="00002C7A">
        <w:rPr>
          <w:lang w:val="en-GB"/>
        </w:rPr>
        <w:instrText xml:space="preserve"> REF _Ref216379088 \w \h </w:instrText>
      </w:r>
      <w:r w:rsidR="00150F84" w:rsidRPr="00002C7A">
        <w:rPr>
          <w:lang w:val="en-GB"/>
        </w:rPr>
      </w:r>
      <w:r w:rsidR="00150F84" w:rsidRPr="00002C7A">
        <w:rPr>
          <w:lang w:val="en-GB"/>
        </w:rPr>
        <w:fldChar w:fldCharType="separate"/>
      </w:r>
      <w:r w:rsidR="007F093A">
        <w:rPr>
          <w:lang w:val="en-GB"/>
        </w:rPr>
        <w:t>IX</w:t>
      </w:r>
      <w:r w:rsidR="00150F84" w:rsidRPr="00002C7A">
        <w:rPr>
          <w:lang w:val="en-GB"/>
        </w:rPr>
        <w:fldChar w:fldCharType="end"/>
      </w:r>
      <w:r w:rsidR="00150F84" w:rsidRPr="00002C7A">
        <w:rPr>
          <w:lang w:val="en-GB"/>
        </w:rPr>
        <w:t xml:space="preserve"> whether ComCom should apply a different WACC to fixed and mobile services</w:t>
      </w:r>
      <w:r w:rsidR="00FE19F5" w:rsidRPr="00002C7A">
        <w:rPr>
          <w:lang w:val="en-GB"/>
        </w:rPr>
        <w:t xml:space="preserve">. </w:t>
      </w:r>
    </w:p>
    <w:p w14:paraId="3C2D7ED4" w14:textId="0092169A" w:rsidR="00FE19F5" w:rsidRPr="00002C7A" w:rsidRDefault="00FE19F5" w:rsidP="00500B2F">
      <w:pPr>
        <w:pStyle w:val="ParagraphNumbered"/>
        <w:jc w:val="both"/>
        <w:rPr>
          <w:lang w:val="en-GB"/>
        </w:rPr>
      </w:pPr>
      <w:r w:rsidRPr="00002C7A">
        <w:rPr>
          <w:lang w:val="en-GB"/>
        </w:rPr>
        <w:t xml:space="preserve">We summarise our conclusions in the next section. </w:t>
      </w:r>
    </w:p>
    <w:p w14:paraId="6FFCFA1A" w14:textId="627F9CAA" w:rsidR="00555967" w:rsidRDefault="00CB5DAD" w:rsidP="00500B2F">
      <w:pPr>
        <w:pStyle w:val="Heading1"/>
        <w:jc w:val="both"/>
      </w:pPr>
      <w:bookmarkStart w:id="14" w:name="_Toc219739755"/>
      <w:bookmarkStart w:id="15" w:name="_Toc217060041"/>
      <w:r w:rsidRPr="00E86E52">
        <w:lastRenderedPageBreak/>
        <w:t>Summary</w:t>
      </w:r>
      <w:bookmarkEnd w:id="14"/>
      <w:bookmarkEnd w:id="15"/>
      <w:r w:rsidR="00D238BA" w:rsidRPr="00167A68">
        <w:t xml:space="preserve"> </w:t>
      </w:r>
    </w:p>
    <w:p w14:paraId="2896C06D" w14:textId="47B602A7" w:rsidR="002A7DCC" w:rsidRPr="00002C7A" w:rsidRDefault="00E86E52" w:rsidP="00500B2F">
      <w:pPr>
        <w:pStyle w:val="Heading1Separator"/>
        <w:jc w:val="both"/>
        <w:rPr>
          <w:lang w:val="en-GB" w:eastAsia="en-US"/>
        </w:rPr>
      </w:pPr>
      <w:r w:rsidRPr="00002C7A">
        <w:rPr>
          <w:lang w:val="en-GB" w:eastAsia="en-US"/>
        </w:rPr>
        <w:tab/>
      </w:r>
    </w:p>
    <w:p w14:paraId="3FBD29B5" w14:textId="77777777" w:rsidR="00AC62A5" w:rsidRDefault="00E76937" w:rsidP="00500B2F">
      <w:pPr>
        <w:pStyle w:val="Heading2"/>
        <w:jc w:val="both"/>
      </w:pPr>
      <w:bookmarkStart w:id="16" w:name="_Toc219739756"/>
      <w:bookmarkStart w:id="17" w:name="_Toc217060042"/>
      <w:bookmarkStart w:id="18" w:name="_Toc73455309"/>
      <w:bookmarkStart w:id="19" w:name="_Toc78563285"/>
      <w:bookmarkStart w:id="20" w:name="_Toc99716125"/>
      <w:bookmarkStart w:id="21" w:name="_Toc99716218"/>
      <w:bookmarkStart w:id="22" w:name="_Toc99728399"/>
      <w:bookmarkStart w:id="23" w:name="_Toc100325559"/>
      <w:r>
        <w:t>Cost of equity</w:t>
      </w:r>
      <w:bookmarkEnd w:id="16"/>
      <w:bookmarkEnd w:id="17"/>
    </w:p>
    <w:p w14:paraId="17CA68DC" w14:textId="2CCDAB37" w:rsidR="00F3697D" w:rsidRDefault="00F3697D" w:rsidP="00672910">
      <w:pPr>
        <w:pStyle w:val="Heading3"/>
      </w:pPr>
      <w:bookmarkStart w:id="24" w:name="_Ref217031808"/>
      <w:bookmarkStart w:id="25" w:name="_Toc219739757"/>
      <w:bookmarkStart w:id="26" w:name="_Toc217060043"/>
      <w:r>
        <w:t>Risk-free rate</w:t>
      </w:r>
      <w:bookmarkEnd w:id="24"/>
      <w:bookmarkEnd w:id="25"/>
      <w:bookmarkEnd w:id="26"/>
    </w:p>
    <w:p w14:paraId="4B25902B" w14:textId="77777777" w:rsidR="00F3697D" w:rsidRPr="00002C7A" w:rsidRDefault="00F3697D" w:rsidP="00F3697D">
      <w:pPr>
        <w:pStyle w:val="ParagraphNumbered"/>
        <w:jc w:val="both"/>
        <w:rPr>
          <w:lang w:val="en-GB"/>
        </w:rPr>
      </w:pPr>
      <w:r w:rsidRPr="00002C7A">
        <w:rPr>
          <w:lang w:val="en-GB" w:eastAsia="en-US"/>
        </w:rPr>
        <w:t xml:space="preserve">We recommend ComCom to calculate the risk-free rate taking the one-year average of 10-year government bonds in Georgia </w:t>
      </w:r>
      <w:r w:rsidRPr="00002C7A">
        <w:rPr>
          <w:lang w:val="en-GB"/>
        </w:rPr>
        <w:t xml:space="preserve">plus an adjustment of 60 basis points to reflect the spread between 20-year and 10-year government bonds. </w:t>
      </w:r>
    </w:p>
    <w:p w14:paraId="7B18B010" w14:textId="77777777" w:rsidR="00F3697D" w:rsidRPr="00002C7A" w:rsidRDefault="00F3697D" w:rsidP="00F3697D">
      <w:pPr>
        <w:pStyle w:val="ParagraphNumbered"/>
        <w:jc w:val="both"/>
        <w:rPr>
          <w:lang w:val="en-GB"/>
        </w:rPr>
      </w:pPr>
      <w:r w:rsidRPr="00002C7A">
        <w:rPr>
          <w:lang w:val="en-GB"/>
        </w:rPr>
        <w:t>The use of Georgian government bonds as the risk-free rate is consistent with the recommendations of the EC Guidelines and more broadly with international regulatory practice. All regulators that we are aware of either use the bond yields of their country to calculate the risk-free rate or, exceptionally, use the risk-free rate of a very low risk (AAA rated) bond trading in the same currency, and then make an explicit adjustment for country risk based on the yields of their own bonds. The latter would not be a practical solution for Georgia as there are no other government bonds with a AAA rating trading in GEL.</w:t>
      </w:r>
    </w:p>
    <w:p w14:paraId="7D274BF9" w14:textId="6CC28C5E" w:rsidR="00F3697D" w:rsidRPr="00002C7A" w:rsidRDefault="00F3697D" w:rsidP="00F3697D">
      <w:pPr>
        <w:pStyle w:val="ParagraphNumbered"/>
        <w:jc w:val="both"/>
        <w:rPr>
          <w:lang w:val="en-GB" w:eastAsia="en-US"/>
        </w:rPr>
      </w:pPr>
      <w:r w:rsidRPr="00002C7A">
        <w:rPr>
          <w:lang w:val="en-GB" w:eastAsia="en-US"/>
        </w:rPr>
        <w:t>A second important aspect of the risk-free rate calculation is the averaging period. While the EC Guidelines recommend using a five-year-averaging period,</w:t>
      </w:r>
      <w:r w:rsidR="00F93A93" w:rsidRPr="00002C7A">
        <w:rPr>
          <w:rStyle w:val="FootnoteReference"/>
          <w:lang w:val="en-GB" w:eastAsia="en-US"/>
        </w:rPr>
        <w:footnoteReference w:id="6"/>
      </w:r>
      <w:r w:rsidRPr="00002C7A">
        <w:rPr>
          <w:lang w:val="en-GB" w:eastAsia="en-US"/>
        </w:rPr>
        <w:t xml:space="preserve"> there are at least two reasons why a five-year averaging is not appropriate for calculating the WACC of telecoms services in Georgia. </w:t>
      </w:r>
      <w:r w:rsidRPr="00002C7A">
        <w:rPr>
          <w:i/>
          <w:lang w:val="en-GB" w:eastAsia="en-US"/>
        </w:rPr>
        <w:t>First</w:t>
      </w:r>
      <w:r w:rsidRPr="00002C7A">
        <w:rPr>
          <w:lang w:val="en-GB" w:eastAsia="en-US"/>
        </w:rPr>
        <w:t>, there is no basis to think that the average of the risk-free rate of the last five years will be the best predictor of the risk-free rate for the next regulatory period. All things equal, the best predictor of the future risk-free rate is the current yield. S</w:t>
      </w:r>
      <w:r w:rsidRPr="00002C7A">
        <w:rPr>
          <w:i/>
          <w:lang w:val="en-GB" w:eastAsia="en-US"/>
        </w:rPr>
        <w:t>econd</w:t>
      </w:r>
      <w:r w:rsidRPr="00002C7A">
        <w:rPr>
          <w:lang w:val="en-GB" w:eastAsia="en-US"/>
        </w:rPr>
        <w:t>, many European regulators have departed from the EC Guidelines because the use of a five-year averaging period generated unreasonable results. Therefore, consistent with the recommendations in the Brattle 2016 report for the European Commission (“Brattle 2016 Report”),</w:t>
      </w:r>
      <w:r w:rsidRPr="00002C7A">
        <w:rPr>
          <w:rStyle w:val="FootnoteReference"/>
          <w:lang w:val="en-GB" w:eastAsia="en-US"/>
        </w:rPr>
        <w:footnoteReference w:id="7"/>
      </w:r>
      <w:r w:rsidRPr="00002C7A">
        <w:rPr>
          <w:lang w:val="en-GB" w:eastAsia="en-US"/>
        </w:rPr>
        <w:t xml:space="preserve"> we recommend using an averaging period of one-year. </w:t>
      </w:r>
    </w:p>
    <w:p w14:paraId="679A7A87" w14:textId="77777777" w:rsidR="00F3697D" w:rsidRPr="00002C7A" w:rsidRDefault="00F3697D" w:rsidP="00F3697D">
      <w:pPr>
        <w:pStyle w:val="ParagraphNumbered"/>
        <w:jc w:val="both"/>
        <w:rPr>
          <w:lang w:val="en-GB"/>
        </w:rPr>
      </w:pPr>
      <w:r w:rsidRPr="00002C7A">
        <w:rPr>
          <w:lang w:val="en-GB"/>
        </w:rPr>
        <w:t>Finally, to ensure consistency with the ERP, ComCom should ideally calculate the risk-free rate based on 20-years bonds. However, this approach is not feasible in the present case, because there are currently no traded 20-year Georgian government bonds. As an alternative, we recommend ComCom use bonds with a maturity of 10 years and to apply an adjustment of 60 basis points to reflect the spread between 20-year and 10-year government bonds.</w:t>
      </w:r>
    </w:p>
    <w:p w14:paraId="2C5B7C9D" w14:textId="24CA4754" w:rsidR="00F3697D" w:rsidRPr="00002C7A" w:rsidRDefault="00F3697D" w:rsidP="00F3697D">
      <w:pPr>
        <w:pStyle w:val="ParagraphNumbered"/>
        <w:jc w:val="both"/>
        <w:rPr>
          <w:lang w:val="en-GB"/>
        </w:rPr>
      </w:pPr>
      <w:r w:rsidRPr="00002C7A">
        <w:rPr>
          <w:lang w:val="en-GB" w:eastAsia="en-US"/>
        </w:rPr>
        <w:lastRenderedPageBreak/>
        <w:t xml:space="preserve">Adding a </w:t>
      </w:r>
      <w:r w:rsidRPr="00002C7A">
        <w:rPr>
          <w:lang w:val="en-GB"/>
        </w:rPr>
        <w:t>60</w:t>
      </w:r>
      <w:r w:rsidRPr="00002C7A">
        <w:rPr>
          <w:lang w:val="en-GB" w:eastAsia="en-US"/>
        </w:rPr>
        <w:t xml:space="preserve"> basis points adjustment to the one-year average yield of 9.1</w:t>
      </w:r>
      <w:r w:rsidR="00925176" w:rsidRPr="00002C7A">
        <w:rPr>
          <w:lang w:val="en-GB" w:eastAsia="en-US"/>
        </w:rPr>
        <w:t>0</w:t>
      </w:r>
      <w:r w:rsidRPr="00002C7A">
        <w:rPr>
          <w:lang w:val="en-GB" w:eastAsia="en-US"/>
        </w:rPr>
        <w:t>% results in a risk-free rate of 9.70%</w:t>
      </w:r>
      <w:r w:rsidRPr="00002C7A">
        <w:rPr>
          <w:lang w:val="en-GB"/>
        </w:rPr>
        <w:t>.</w:t>
      </w:r>
    </w:p>
    <w:p w14:paraId="3C294F0D" w14:textId="0C2EB6F2" w:rsidR="00F3697D" w:rsidRDefault="00A321DA" w:rsidP="00BA0938">
      <w:pPr>
        <w:pStyle w:val="Heading3"/>
      </w:pPr>
      <w:bookmarkStart w:id="27" w:name="_Toc219739758"/>
      <w:bookmarkStart w:id="28" w:name="_Toc217060044"/>
      <w:r>
        <w:t>Equity Risk</w:t>
      </w:r>
      <w:r w:rsidR="007153A0">
        <w:t xml:space="preserve"> Premium (ERP)</w:t>
      </w:r>
      <w:bookmarkEnd w:id="27"/>
      <w:bookmarkEnd w:id="28"/>
    </w:p>
    <w:p w14:paraId="32EFE4A4" w14:textId="5A0507B7" w:rsidR="00E735CA" w:rsidRPr="00002C7A" w:rsidRDefault="00E735CA" w:rsidP="00E735CA">
      <w:pPr>
        <w:pStyle w:val="ParagraphNumbered"/>
        <w:jc w:val="both"/>
        <w:rPr>
          <w:lang w:val="en-GB"/>
        </w:rPr>
      </w:pPr>
      <w:r w:rsidRPr="00002C7A">
        <w:rPr>
          <w:lang w:val="en-GB"/>
        </w:rPr>
        <w:t>The equity risk premium (ERP) measures the additional return, or premium, needed to compensate investors for the risk of holding risky equit</w:t>
      </w:r>
      <w:r w:rsidR="00EA70AF">
        <w:rPr>
          <w:lang w:val="en-GB"/>
        </w:rPr>
        <w:t>i</w:t>
      </w:r>
      <w:r w:rsidRPr="00002C7A">
        <w:rPr>
          <w:lang w:val="en-GB"/>
        </w:rPr>
        <w:t xml:space="preserve">es, or shares, as opposed to holding a risk-free asset. Importantly, and unlike the risk-free rate, the ERP is not observable. </w:t>
      </w:r>
    </w:p>
    <w:p w14:paraId="38233475" w14:textId="41BAEAEB" w:rsidR="00E735CA" w:rsidRPr="00002C7A" w:rsidRDefault="00E735CA" w:rsidP="00E735CA">
      <w:pPr>
        <w:pStyle w:val="ParagraphNumbered"/>
        <w:jc w:val="both"/>
        <w:rPr>
          <w:lang w:val="en-GB" w:eastAsia="en-US"/>
        </w:rPr>
      </w:pPr>
      <w:r w:rsidRPr="00002C7A">
        <w:rPr>
          <w:lang w:val="en-GB"/>
        </w:rPr>
        <w:t>Regulators generally estimate the ERP using historical data, by looking at long-run averages of the excess returns of stocks over bonds across countries. The source of historical data that most EU regulators use is the annual publication by DMS which provides long-run estimates of the average realized ERPs from the 1900. The EC Guidelines also recommend estimating a European ERP based on historical data on the realized arithmetic average of the ERP for European countries. Alternative methods for estimating the ERP are dividend growth models (DGM), which reflect the implied premium resulting from current stock prices and assumed dividend growth rate, and survey data. DGMs, however, tend to be volatile and driven by assumptions, whereas survey data shows very large variability and is often driven by optimism or pessimism about the market outlook. Accordingly</w:t>
      </w:r>
      <w:r w:rsidR="00AB601E" w:rsidRPr="00002C7A">
        <w:rPr>
          <w:lang w:val="en-GB"/>
        </w:rPr>
        <w:t>,</w:t>
      </w:r>
      <w:r w:rsidRPr="00002C7A">
        <w:rPr>
          <w:lang w:val="en-GB"/>
        </w:rPr>
        <w:t xml:space="preserve"> we recommend ComCom to estimate the ERP for telecoms services in Georgia based on historical data, also consistent with the EC Guidelines.</w:t>
      </w:r>
    </w:p>
    <w:p w14:paraId="39A02DEB" w14:textId="77777777" w:rsidR="00E735CA" w:rsidRPr="00002C7A" w:rsidRDefault="00E735CA" w:rsidP="00E735CA">
      <w:pPr>
        <w:pStyle w:val="ParagraphNumbered"/>
        <w:jc w:val="both"/>
        <w:rPr>
          <w:lang w:val="en-GB"/>
        </w:rPr>
      </w:pPr>
      <w:r w:rsidRPr="00002C7A">
        <w:rPr>
          <w:lang w:val="en-GB"/>
        </w:rPr>
        <w:t xml:space="preserve">A second important Issue to consider when estimating the ERP is the geographic scope. In principle, there is no such thing as a ‘Georgian ERP’ or a US ERP. At the extreme, if investors where perfectly diversified over the world, it would make sense to try and measure a ‘worldwide’ ERP. In practise, however, economists have found evidence of ‘home bias’. That is, investors have a tendency to invest more in markets to which they are geographically closer, or they are familiar with, and often with which the investor shares a common language. At the same time, it would be too extreme to suppose that investors only concentrated on their own country, and did not make investments outside. </w:t>
      </w:r>
    </w:p>
    <w:p w14:paraId="73D55616" w14:textId="5E18256E" w:rsidR="006E1C8F" w:rsidRPr="00002C7A" w:rsidRDefault="00E735CA" w:rsidP="003552CE">
      <w:pPr>
        <w:pStyle w:val="ParagraphNumbered"/>
        <w:jc w:val="both"/>
        <w:rPr>
          <w:lang w:val="en-GB"/>
        </w:rPr>
      </w:pPr>
      <w:r w:rsidRPr="00002C7A">
        <w:rPr>
          <w:lang w:val="en-GB"/>
        </w:rPr>
        <w:t xml:space="preserve">The EC Guidelines recommend EU member states to consider a European ERP. However, while Georgia has applied for membership, Georgia is not yet part of the EU. Hence, a question remains as the relevant geographic scope of the ERP for Georgia. In principle, one could consider countries that are similar to Georgia and try to estimate a weighted average ERP for those countries. However, long-run historical data for such countries do not exist. </w:t>
      </w:r>
      <w:r w:rsidR="00350BA5" w:rsidRPr="00002C7A">
        <w:rPr>
          <w:lang w:val="en-GB"/>
        </w:rPr>
        <w:t xml:space="preserve">This narrows down the calculation of the ERP to two options: considering a European ERP or a world ERP. </w:t>
      </w:r>
    </w:p>
    <w:p w14:paraId="152B2B93" w14:textId="1B09984D" w:rsidR="006E1C8F" w:rsidRPr="00002C7A" w:rsidRDefault="00E735CA" w:rsidP="006E1C8F">
      <w:pPr>
        <w:pStyle w:val="ParagraphNumbered"/>
        <w:rPr>
          <w:lang w:val="en-GB"/>
        </w:rPr>
      </w:pPr>
      <w:r w:rsidRPr="00002C7A">
        <w:rPr>
          <w:lang w:val="en-GB"/>
        </w:rPr>
        <w:t xml:space="preserve">Our analysis of the DMS data indicates that the market cap weighted average of the ERP for Europe (5.9% in 2025) is lower than the weighted average for all DMS countries (6.8% in </w:t>
      </w:r>
      <w:r w:rsidRPr="00002C7A">
        <w:rPr>
          <w:lang w:val="en-GB"/>
        </w:rPr>
        <w:lastRenderedPageBreak/>
        <w:t xml:space="preserve">2025). On the other hand, composite indices published by DMS show a </w:t>
      </w:r>
      <w:r w:rsidR="006E1C8F" w:rsidRPr="00002C7A">
        <w:rPr>
          <w:lang w:val="en-GB"/>
        </w:rPr>
        <w:t xml:space="preserve">lower and similar value of the ERP for Europe and the world (4.6% in 2025). </w:t>
      </w:r>
      <w:r w:rsidR="007A4CDC" w:rsidRPr="00002C7A">
        <w:rPr>
          <w:lang w:val="en-GB"/>
        </w:rPr>
        <w:t>Effectively, this evidence suggests that the difference between the ERP for Europe and the world ERP, if any, should be small.</w:t>
      </w:r>
    </w:p>
    <w:p w14:paraId="2407606C" w14:textId="04784647" w:rsidR="007D74EC" w:rsidRPr="00002C7A" w:rsidRDefault="008B5611" w:rsidP="008B5611">
      <w:pPr>
        <w:pStyle w:val="ParagraphNumbered"/>
        <w:rPr>
          <w:lang w:val="en-GB"/>
        </w:rPr>
      </w:pPr>
      <w:r w:rsidRPr="00002C7A">
        <w:rPr>
          <w:lang w:val="en-GB"/>
        </w:rPr>
        <w:t xml:space="preserve">We further note that </w:t>
      </w:r>
      <w:r w:rsidR="007D74EC" w:rsidRPr="00002C7A">
        <w:rPr>
          <w:lang w:val="en-GB"/>
        </w:rPr>
        <w:t xml:space="preserve">there is no good theoretical reason why Georgia would have a higher ERP than average European countries. Also, the higher country risk of Georgia is already considered in the risk-free rate. Hence having a higher ‘Georgian’ ERP would risk double-counting such country risk. </w:t>
      </w:r>
    </w:p>
    <w:p w14:paraId="074D1373" w14:textId="152CCE1D" w:rsidR="00E735CA" w:rsidRPr="00002C7A" w:rsidRDefault="007D74EC">
      <w:pPr>
        <w:pStyle w:val="ParagraphNumbered"/>
        <w:jc w:val="both"/>
        <w:rPr>
          <w:lang w:val="en-GB"/>
        </w:rPr>
      </w:pPr>
      <w:r w:rsidRPr="00002C7A">
        <w:rPr>
          <w:lang w:val="en-GB"/>
        </w:rPr>
        <w:t>Based on the above consideration, we recommend ComCom to select BEREC’s estimate of the ERP for Europe from BEREC’s annual publication, as the methodology employed is transparent and provides an estimate that is reasonable and comes from an objective source.  This approach results in a value of the ERP for telecoms services in Georgia equal to 5.9%</w:t>
      </w:r>
      <w:r w:rsidR="009201C1" w:rsidRPr="00002C7A">
        <w:rPr>
          <w:lang w:val="en-GB"/>
        </w:rPr>
        <w:t>.</w:t>
      </w:r>
    </w:p>
    <w:p w14:paraId="2426653A" w14:textId="77777777" w:rsidR="00A1013C" w:rsidRDefault="00A1013C" w:rsidP="005F5910">
      <w:pPr>
        <w:pStyle w:val="Heading3"/>
      </w:pPr>
      <w:bookmarkStart w:id="29" w:name="_Toc219739759"/>
      <w:bookmarkStart w:id="30" w:name="_Toc217060045"/>
      <w:r>
        <w:t>Selection of the peer group</w:t>
      </w:r>
      <w:bookmarkEnd w:id="29"/>
      <w:bookmarkEnd w:id="30"/>
    </w:p>
    <w:p w14:paraId="1D1D7E71" w14:textId="77777777" w:rsidR="00DB4399" w:rsidRPr="00002C7A" w:rsidRDefault="00DB4399" w:rsidP="00DB4399">
      <w:pPr>
        <w:pStyle w:val="ParagraphNumbered"/>
        <w:jc w:val="both"/>
        <w:rPr>
          <w:lang w:val="en-GB"/>
        </w:rPr>
      </w:pPr>
      <w:r w:rsidRPr="00002C7A">
        <w:rPr>
          <w:lang w:val="en-GB"/>
        </w:rPr>
        <w:t>The regulated Georgian companies in the telecommunications sector are not listed on a stock exchange. Therefore, to estimate the beta parameter, we need to find publicly traded firms with similar systematic risks. We refer to these companies as the ‘comparables’ or ‘peers’.</w:t>
      </w:r>
    </w:p>
    <w:p w14:paraId="0F8875CB" w14:textId="77777777" w:rsidR="00DB4399" w:rsidRPr="00002C7A" w:rsidRDefault="00DB4399" w:rsidP="00DB4399">
      <w:pPr>
        <w:pStyle w:val="ParagraphNumbered"/>
        <w:jc w:val="both"/>
        <w:rPr>
          <w:lang w:val="en-GB"/>
        </w:rPr>
      </w:pPr>
      <w:r w:rsidRPr="00002C7A">
        <w:rPr>
          <w:lang w:val="en-GB"/>
        </w:rPr>
        <w:t>In 2020, PwC considered a sample of 13 companies that own electric communication infrastructures, which included companies from Europe (10), China (1) and Russia (2). On the other hand, BEREC’s annual report regularly calculates betas considering only European peers.</w:t>
      </w:r>
      <w:r w:rsidRPr="00002C7A">
        <w:rPr>
          <w:rStyle w:val="FootnoteReference"/>
          <w:lang w:val="en-GB"/>
        </w:rPr>
        <w:footnoteReference w:id="8"/>
      </w:r>
      <w:r w:rsidRPr="00002C7A">
        <w:rPr>
          <w:lang w:val="en-GB"/>
        </w:rPr>
        <w:t xml:space="preserve"> We create a ‘long list’ of peers by starting with the peer groups of companies considered in the PwC report and in the latest BEREC report, as well as the peer groups considered in prior Brattle reports for the telecoms sector, including three companies outside of Europe. From this group, we exclude the two Russian companies due to the lack of public trading and financial data.</w:t>
      </w:r>
    </w:p>
    <w:p w14:paraId="011B9DD4" w14:textId="77777777" w:rsidR="00DB4399" w:rsidRPr="00002C7A" w:rsidRDefault="00DB4399" w:rsidP="00DB4399">
      <w:pPr>
        <w:pStyle w:val="ParagraphNumbered"/>
        <w:jc w:val="both"/>
        <w:rPr>
          <w:lang w:val="en-GB"/>
        </w:rPr>
      </w:pPr>
      <w:r w:rsidRPr="00002C7A">
        <w:rPr>
          <w:lang w:val="en-GB"/>
        </w:rPr>
        <w:t xml:space="preserve">Because the regulatory framework under which a telecoms firm operates determines how the firm’s revenues and profits vary under different economic circumstances, it will be a key determinant of the firm’s systematic risk. For this reason, we should ideally select peers from countries with a broadly similar regulatory framework as the Georgian framework. </w:t>
      </w:r>
    </w:p>
    <w:p w14:paraId="1B828085" w14:textId="2441334D" w:rsidR="00DB4399" w:rsidRPr="00002C7A" w:rsidRDefault="00DB4399" w:rsidP="00DB4399">
      <w:pPr>
        <w:pStyle w:val="ParagraphNumbered"/>
        <w:jc w:val="both"/>
        <w:rPr>
          <w:lang w:val="en-GB"/>
        </w:rPr>
      </w:pPr>
      <w:r w:rsidRPr="00002C7A">
        <w:rPr>
          <w:lang w:val="en-GB"/>
        </w:rPr>
        <w:t xml:space="preserve">We note that </w:t>
      </w:r>
      <w:r w:rsidR="00897161" w:rsidRPr="00002C7A">
        <w:rPr>
          <w:lang w:val="en-GB"/>
        </w:rPr>
        <w:t>companies</w:t>
      </w:r>
      <w:r w:rsidRPr="00002C7A">
        <w:rPr>
          <w:lang w:val="en-GB"/>
        </w:rPr>
        <w:t xml:space="preserve"> operating in EU countries share a similar regulatory framework with Georgia and should definitely be considered in the analysis. Also, the broad number of European peers already provides us with a large enough sample to obtain a robust beta </w:t>
      </w:r>
      <w:r w:rsidRPr="00002C7A">
        <w:rPr>
          <w:lang w:val="en-GB"/>
        </w:rPr>
        <w:lastRenderedPageBreak/>
        <w:t>estimate.</w:t>
      </w:r>
      <w:r w:rsidRPr="00002C7A">
        <w:rPr>
          <w:rStyle w:val="FootnoteReference"/>
          <w:lang w:val="en-GB"/>
        </w:rPr>
        <w:footnoteReference w:id="9"/>
      </w:r>
      <w:r w:rsidRPr="00002C7A">
        <w:rPr>
          <w:lang w:val="en-GB"/>
        </w:rPr>
        <w:t xml:space="preserve"> On the other hand, we note that it is unclear whether the regulatory framework in China is similar to the regulatory framework in Georgia. Therefore, including betas of Chinese firms might not provide an accurate estimate of the beta for telecoms firms in Georgia. Accordingly, we recommend ComCom to estimate beta considering only the European peers. </w:t>
      </w:r>
    </w:p>
    <w:p w14:paraId="6659C668" w14:textId="1C8E3D41" w:rsidR="00DB4399" w:rsidRPr="00002C7A" w:rsidRDefault="00DB4399" w:rsidP="00DB4399">
      <w:pPr>
        <w:pStyle w:val="ParagraphNumbered"/>
        <w:jc w:val="both"/>
        <w:rPr>
          <w:lang w:val="en-GB"/>
        </w:rPr>
      </w:pPr>
      <w:r w:rsidRPr="00002C7A">
        <w:rPr>
          <w:lang w:val="en-GB"/>
        </w:rPr>
        <w:t>To obtain a reliable beta estimate, we apply several screening criteria to each of the candidate peers. Specifically, we exclude companies that are not sufficiently liquid, companies with a credit rating below investment grade and companies that were involved in substantial M&amp;A activity. After application of these criteria we end up with a sample of 20 European companies.</w:t>
      </w:r>
    </w:p>
    <w:p w14:paraId="588D9B01" w14:textId="3E4ED3F8" w:rsidR="005F5910" w:rsidRDefault="005F5910" w:rsidP="005F5910">
      <w:pPr>
        <w:pStyle w:val="Heading3"/>
      </w:pPr>
      <w:bookmarkStart w:id="31" w:name="_Toc219739760"/>
      <w:bookmarkStart w:id="32" w:name="_Toc217060046"/>
      <w:r>
        <w:t>Beta and gearing</w:t>
      </w:r>
      <w:bookmarkEnd w:id="31"/>
      <w:bookmarkEnd w:id="32"/>
    </w:p>
    <w:p w14:paraId="407FDDF3" w14:textId="77777777" w:rsidR="00116F8F" w:rsidRPr="00002C7A" w:rsidRDefault="00116F8F" w:rsidP="00116F8F">
      <w:pPr>
        <w:pStyle w:val="ParagraphNumbered"/>
        <w:jc w:val="both"/>
        <w:rPr>
          <w:lang w:val="en-GB"/>
        </w:rPr>
      </w:pPr>
      <w:r w:rsidRPr="00002C7A">
        <w:rPr>
          <w:lang w:val="en-GB" w:eastAsia="en-US"/>
        </w:rPr>
        <w:t xml:space="preserve">Consistent with the EC Guidelines, we estimate the equity betas for the peer group using a five-year estimation window and weekly data </w:t>
      </w:r>
      <w:r w:rsidRPr="00002C7A">
        <w:rPr>
          <w:lang w:val="en-GB"/>
        </w:rPr>
        <w:t>frequency. We estimate equity betas by returns of individual stocks on the returns on a reference market index. We select broad industrial indices as the reference market index for each peer. Specifically, we use the STOXX Europe Total Market Index for European companies and the FTSE All-Share for UK companies.</w:t>
      </w:r>
    </w:p>
    <w:p w14:paraId="04727A9D" w14:textId="77777777" w:rsidR="00116F8F" w:rsidRPr="00002C7A" w:rsidRDefault="00116F8F" w:rsidP="00116F8F">
      <w:pPr>
        <w:pStyle w:val="ParagraphNumbered"/>
        <w:jc w:val="both"/>
        <w:rPr>
          <w:lang w:val="en-GB"/>
        </w:rPr>
      </w:pPr>
      <w:r w:rsidRPr="00002C7A">
        <w:rPr>
          <w:lang w:val="en-GB"/>
        </w:rPr>
        <w:t xml:space="preserve">Consistent with the recommendations of the EC Guidelines, we unlever the equity betas using of the Modigliani and Miller formula and a debt beta. We calculate the gearing of each peer taking the average of quarterly gearing ratios over the same time horizon used to estimate the beta. We calculate the quarterly gearing ratios by dividing quarterly net debt over quarterly market capitalization. As a measure of debt beta, we select a value of 0.1 for all peers. We note that, in principle, the debt beta of the peers varies with their risk of default. In practice, however, the rating of the peers fall within a narrow range – between BBB- and A- – and the EC Guidelines recommend using a single value of debt beta to reduce complexity and improve transparency. </w:t>
      </w:r>
    </w:p>
    <w:p w14:paraId="36D68984" w14:textId="1D988713" w:rsidR="00116F8F" w:rsidRPr="00002C7A" w:rsidRDefault="00116F8F" w:rsidP="00116F8F">
      <w:pPr>
        <w:pStyle w:val="ParagraphNumbered"/>
        <w:jc w:val="both"/>
        <w:rPr>
          <w:lang w:val="en-GB"/>
        </w:rPr>
      </w:pPr>
      <w:r w:rsidRPr="00002C7A">
        <w:rPr>
          <w:lang w:val="en-GB"/>
        </w:rPr>
        <w:t>Overall, we calculate a median asset beta of 0.40 and a median gearing (D/E) of 71%. We recommend ComCom to apply th</w:t>
      </w:r>
      <w:r w:rsidR="008D086B">
        <w:rPr>
          <w:lang w:val="en-GB"/>
        </w:rPr>
        <w:t>ese</w:t>
      </w:r>
      <w:r w:rsidRPr="00002C7A">
        <w:rPr>
          <w:lang w:val="en-GB"/>
        </w:rPr>
        <w:t xml:space="preserve"> values in calculating the WACC for telecoms services in Georgia.</w:t>
      </w:r>
    </w:p>
    <w:p w14:paraId="07C52A8E" w14:textId="0EC2A472" w:rsidR="002269FF" w:rsidRPr="00002C7A" w:rsidRDefault="00116F8F" w:rsidP="002269FF">
      <w:pPr>
        <w:pStyle w:val="ParagraphNumbered"/>
        <w:jc w:val="both"/>
        <w:rPr>
          <w:lang w:val="en-GB" w:eastAsia="en-US"/>
        </w:rPr>
      </w:pPr>
      <w:r w:rsidRPr="00002C7A">
        <w:rPr>
          <w:lang w:val="en-GB"/>
        </w:rPr>
        <w:t>Finall</w:t>
      </w:r>
      <w:r w:rsidR="00AE560B" w:rsidRPr="00002C7A">
        <w:rPr>
          <w:lang w:val="en-GB"/>
        </w:rPr>
        <w:t>y</w:t>
      </w:r>
      <w:r w:rsidRPr="00002C7A">
        <w:rPr>
          <w:lang w:val="en-GB"/>
        </w:rPr>
        <w:t xml:space="preserve">, ComCom has further asked us to consider whether the relatively small size of the Georgian market could potentially affect the systematic risk of telecoms operators. To evaluate this potential impact, </w:t>
      </w:r>
      <w:r w:rsidRPr="00002C7A">
        <w:rPr>
          <w:lang w:val="en-GB" w:eastAsia="en-US"/>
        </w:rPr>
        <w:t>we have analy</w:t>
      </w:r>
      <w:r w:rsidR="000E64E8">
        <w:rPr>
          <w:lang w:val="en-GB" w:eastAsia="en-US"/>
        </w:rPr>
        <w:t>s</w:t>
      </w:r>
      <w:r w:rsidRPr="00002C7A">
        <w:rPr>
          <w:lang w:val="en-GB" w:eastAsia="en-US"/>
        </w:rPr>
        <w:t xml:space="preserve">ed the relation between the estimated betas and demographic variables including land area, population and GDP per capita. Intuitively, a </w:t>
      </w:r>
      <w:r w:rsidRPr="00002C7A">
        <w:rPr>
          <w:lang w:val="en-GB" w:eastAsia="en-US"/>
        </w:rPr>
        <w:lastRenderedPageBreak/>
        <w:t xml:space="preserve">larger area could involve higher investments and risk, everything else equal. Conversely, a higher population might increase economies of density and reduce risk. Similarly, higher GDP per capita might imply a lower price sensitivity of consumers. Our analysis finds </w:t>
      </w:r>
      <w:r w:rsidRPr="00002C7A">
        <w:rPr>
          <w:lang w:val="en-GB"/>
        </w:rPr>
        <w:t xml:space="preserve">no evidence of a statistically significant relation between land area and population and a firm’s beta. </w:t>
      </w:r>
      <w:r w:rsidRPr="00002C7A">
        <w:rPr>
          <w:lang w:val="en-GB" w:eastAsia="en-US"/>
        </w:rPr>
        <w:t>Hence, we conclude that there is no impact of country size on the systematic risk of telecoms operators and, as a result, there is no need to adjust the asset beta to account for Georgia’s relatively small size.</w:t>
      </w:r>
    </w:p>
    <w:p w14:paraId="72E3B0E4" w14:textId="15AA4246" w:rsidR="008C7BC3" w:rsidRDefault="00AC62A5" w:rsidP="00500B2F">
      <w:pPr>
        <w:pStyle w:val="Heading2"/>
        <w:jc w:val="both"/>
      </w:pPr>
      <w:bookmarkStart w:id="33" w:name="_Toc219739761"/>
      <w:bookmarkStart w:id="34" w:name="_Toc217060047"/>
      <w:r>
        <w:t>Cost of debt</w:t>
      </w:r>
      <w:bookmarkEnd w:id="33"/>
      <w:bookmarkEnd w:id="34"/>
    </w:p>
    <w:p w14:paraId="74BBFCE4" w14:textId="77777777" w:rsidR="00BA383B" w:rsidRPr="00002C7A" w:rsidRDefault="00BA383B" w:rsidP="00BA383B">
      <w:pPr>
        <w:pStyle w:val="ParagraphNumbered"/>
        <w:jc w:val="both"/>
        <w:rPr>
          <w:lang w:val="en-GB"/>
        </w:rPr>
      </w:pPr>
      <w:r w:rsidRPr="00002C7A">
        <w:rPr>
          <w:lang w:val="en-GB"/>
        </w:rPr>
        <w:t xml:space="preserve">In 2020, PwC calculated the cost of debt as the sum of a debt premium over the risk-free rate. The debt premium, in turn, was calculated by subtracting the risk-free rate from the one-year average interest rate on corporate loans in Georgia, as published by the National Bank of Georgia. </w:t>
      </w:r>
    </w:p>
    <w:p w14:paraId="6AE1BC6C" w14:textId="77777777" w:rsidR="00BA383B" w:rsidRPr="00002C7A" w:rsidRDefault="00BA383B" w:rsidP="00BA383B">
      <w:pPr>
        <w:pStyle w:val="ParagraphNumbered"/>
        <w:jc w:val="both"/>
        <w:rPr>
          <w:lang w:val="en-GB"/>
        </w:rPr>
      </w:pPr>
      <w:r w:rsidRPr="00002C7A">
        <w:rPr>
          <w:lang w:val="en-GB"/>
        </w:rPr>
        <w:t>In contrast, the EC Guidelines recommend calculating the cost of debt as the sum of the risk-free rate plus a debt premium, both calculated based on five-year averages. The EC Guidelines recommend calculating the debt premium based on the spread between long-term corporate bonds with maturity as close as possible to 10 years and national government bonds of similar maturity.</w:t>
      </w:r>
      <w:r w:rsidRPr="00002C7A">
        <w:rPr>
          <w:rStyle w:val="FootnoteReference"/>
          <w:lang w:val="en-GB"/>
        </w:rPr>
        <w:footnoteReference w:id="10"/>
      </w:r>
      <w:r w:rsidRPr="00002C7A">
        <w:rPr>
          <w:lang w:val="en-GB"/>
        </w:rPr>
        <w:t xml:space="preserve"> Consistent with the EC Guidelines, BEREC calculates annually operator-specific debt premia using secondary market data on yields for bonds issued by the individual operator and domestic risk-free rate, striving for a maturity of 10 years and with a five-year averaging window.</w:t>
      </w:r>
      <w:r w:rsidRPr="00002C7A">
        <w:rPr>
          <w:rStyle w:val="FootnoteReference"/>
          <w:lang w:val="en-GB"/>
        </w:rPr>
        <w:footnoteReference w:id="11"/>
      </w:r>
    </w:p>
    <w:p w14:paraId="71067657" w14:textId="2739F2DE" w:rsidR="00BA383B" w:rsidRPr="00002C7A" w:rsidRDefault="00BA383B" w:rsidP="00BA383B">
      <w:pPr>
        <w:pStyle w:val="ParagraphNumbered"/>
        <w:jc w:val="both"/>
        <w:rPr>
          <w:lang w:val="en-GB"/>
        </w:rPr>
      </w:pPr>
      <w:r w:rsidRPr="00002C7A">
        <w:rPr>
          <w:lang w:val="en-GB"/>
        </w:rPr>
        <w:t xml:space="preserve">To develop a robust methodology and arrive at a reasonable cost of debt calculation we consider </w:t>
      </w:r>
      <w:r w:rsidR="00CC15EB">
        <w:rPr>
          <w:lang w:val="en-GB"/>
        </w:rPr>
        <w:t>four</w:t>
      </w:r>
      <w:r w:rsidR="00CC15EB" w:rsidRPr="00002C7A">
        <w:rPr>
          <w:lang w:val="en-GB"/>
        </w:rPr>
        <w:t xml:space="preserve"> </w:t>
      </w:r>
      <w:r w:rsidRPr="00002C7A">
        <w:rPr>
          <w:lang w:val="en-GB"/>
        </w:rPr>
        <w:t>alternative approaches:</w:t>
      </w:r>
    </w:p>
    <w:p w14:paraId="1FF6D23B" w14:textId="7A7E8D3B" w:rsidR="00BA383B" w:rsidRPr="00002C7A" w:rsidRDefault="00BA383B" w:rsidP="00BA383B">
      <w:pPr>
        <w:pStyle w:val="ParagraphNumbered2"/>
        <w:rPr>
          <w:lang w:val="en-GB"/>
        </w:rPr>
      </w:pPr>
      <w:r w:rsidRPr="00002C7A">
        <w:rPr>
          <w:lang w:val="en-GB"/>
        </w:rPr>
        <w:t xml:space="preserve">First, we consider the methodology used by PwC. This methodology has the advantage of calculating directly the debt premium for companies operating in Georgia. </w:t>
      </w:r>
      <w:r w:rsidR="00790FE6">
        <w:rPr>
          <w:lang w:val="en-GB"/>
        </w:rPr>
        <w:t>T</w:t>
      </w:r>
      <w:r w:rsidRPr="00002C7A">
        <w:rPr>
          <w:lang w:val="en-GB"/>
        </w:rPr>
        <w:t>his methodology results in a debt premium of 3.81%.</w:t>
      </w:r>
    </w:p>
    <w:p w14:paraId="5AEBE731" w14:textId="6CA1B361" w:rsidR="00BA383B" w:rsidRPr="00002C7A" w:rsidRDefault="00BA383B" w:rsidP="00BA383B">
      <w:pPr>
        <w:pStyle w:val="ParagraphNumbered2"/>
        <w:rPr>
          <w:lang w:val="en-GB"/>
        </w:rPr>
      </w:pPr>
      <w:r w:rsidRPr="00002C7A">
        <w:rPr>
          <w:lang w:val="en-GB"/>
        </w:rPr>
        <w:t>Second, we calculate the debt premium taking the difference between the embedded cost of debt of operators in Georgia resulting from their annual accounts and the contemporaneous risk-free rate. This methodology has the advantage that it calculates the debt premium paid by the operators in Georgia directly from the companies for which we are calculating the WACC. On the downside, the sample is small as there are only two companies for which we can calculate the spread – Cellfie and Silknet</w:t>
      </w:r>
      <w:r w:rsidR="004411A5">
        <w:rPr>
          <w:lang w:val="en-GB"/>
        </w:rPr>
        <w:t xml:space="preserve"> – and many of the debts are in US dollars and Euros</w:t>
      </w:r>
      <w:r w:rsidRPr="00002C7A">
        <w:rPr>
          <w:lang w:val="en-GB"/>
        </w:rPr>
        <w:t xml:space="preserve">. This methodology results in a debt </w:t>
      </w:r>
      <w:r w:rsidRPr="00002C7A">
        <w:rPr>
          <w:lang w:val="en-GB"/>
        </w:rPr>
        <w:lastRenderedPageBreak/>
        <w:t xml:space="preserve">premium of </w:t>
      </w:r>
      <w:r w:rsidR="00E558FA">
        <w:rPr>
          <w:lang w:val="en-GB"/>
        </w:rPr>
        <w:t>2.00</w:t>
      </w:r>
      <w:r w:rsidRPr="00002C7A">
        <w:rPr>
          <w:lang w:val="en-GB"/>
        </w:rPr>
        <w:t xml:space="preserve">% over the contemporaneous yield on 10-year Georgian government bonds. </w:t>
      </w:r>
      <w:r w:rsidR="00AC37F7">
        <w:rPr>
          <w:lang w:val="en-GB"/>
        </w:rPr>
        <w:t xml:space="preserve">If we add the </w:t>
      </w:r>
      <w:r w:rsidR="007F0F37">
        <w:rPr>
          <w:lang w:val="en-GB"/>
        </w:rPr>
        <w:t xml:space="preserve">premium suggested by </w:t>
      </w:r>
      <w:r w:rsidR="00DF582F">
        <w:rPr>
          <w:lang w:val="en-GB"/>
        </w:rPr>
        <w:t>one of</w:t>
      </w:r>
      <w:r w:rsidR="00AC37F7">
        <w:rPr>
          <w:lang w:val="en-GB"/>
        </w:rPr>
        <w:t xml:space="preserve"> </w:t>
      </w:r>
      <w:r w:rsidR="00E558FA">
        <w:rPr>
          <w:lang w:val="en-GB"/>
        </w:rPr>
        <w:t xml:space="preserve">the stakeholders to account for currency risks, we </w:t>
      </w:r>
      <w:r w:rsidR="001E004A">
        <w:rPr>
          <w:lang w:val="en-GB"/>
        </w:rPr>
        <w:t>would obtain a premium of around 3.00%.</w:t>
      </w:r>
      <w:r w:rsidRPr="00002C7A">
        <w:rPr>
          <w:lang w:val="en-GB"/>
        </w:rPr>
        <w:t xml:space="preserve"> </w:t>
      </w:r>
      <w:r w:rsidR="002A55D5">
        <w:rPr>
          <w:lang w:val="en-GB"/>
        </w:rPr>
        <w:t>This value is a maximum, because some of the debt is in Lari and so no premium is needed.</w:t>
      </w:r>
    </w:p>
    <w:p w14:paraId="271120C3" w14:textId="59ACC554" w:rsidR="00BA383B" w:rsidRPr="00002C7A" w:rsidRDefault="00BA383B" w:rsidP="00BA383B">
      <w:pPr>
        <w:pStyle w:val="ParagraphNumbered2"/>
        <w:rPr>
          <w:lang w:val="en-GB"/>
        </w:rPr>
      </w:pPr>
      <w:r w:rsidRPr="00002C7A">
        <w:rPr>
          <w:lang w:val="en-GB"/>
        </w:rPr>
        <w:t>Third, we consider the debt premia paid by European telecom</w:t>
      </w:r>
      <w:r w:rsidR="00C37321" w:rsidRPr="00002C7A">
        <w:rPr>
          <w:lang w:val="en-GB"/>
        </w:rPr>
        <w:t>s</w:t>
      </w:r>
      <w:r w:rsidRPr="00002C7A">
        <w:rPr>
          <w:lang w:val="en-GB"/>
        </w:rPr>
        <w:t xml:space="preserve"> operators as calculated in the BEREC annual reports. Overall, we observe that debt premia paid by European telecom</w:t>
      </w:r>
      <w:r w:rsidR="00C37321" w:rsidRPr="00002C7A">
        <w:rPr>
          <w:lang w:val="en-GB"/>
        </w:rPr>
        <w:t>s</w:t>
      </w:r>
      <w:r w:rsidRPr="00002C7A">
        <w:rPr>
          <w:lang w:val="en-GB"/>
        </w:rPr>
        <w:t xml:space="preserve"> operators range between 0.53% for Telefónica and 3.05% for DIGI Communications, with an average of 1.34%. We further note that the debt premium for companies below investment grade is significantly higher than the average, with Telecom Italia (BB) at 2.23% and DIGI Communications (BB-) at 3.05%. </w:t>
      </w:r>
      <w:r w:rsidR="007B652C">
        <w:rPr>
          <w:lang w:val="en-GB"/>
        </w:rPr>
        <w:t xml:space="preserve">The average </w:t>
      </w:r>
      <w:r w:rsidR="003B29A0">
        <w:rPr>
          <w:lang w:val="en-GB"/>
        </w:rPr>
        <w:t xml:space="preserve">debt premium </w:t>
      </w:r>
      <w:r w:rsidR="00235857">
        <w:rPr>
          <w:lang w:val="en-GB"/>
        </w:rPr>
        <w:t>for the two companies below investment grade is equal to 2.</w:t>
      </w:r>
      <w:r w:rsidR="00BD435C">
        <w:rPr>
          <w:lang w:val="en-GB"/>
        </w:rPr>
        <w:t>64%.</w:t>
      </w:r>
    </w:p>
    <w:p w14:paraId="16949421" w14:textId="410ECDE5" w:rsidR="004213AA" w:rsidRPr="00002C7A" w:rsidRDefault="004213AA" w:rsidP="00BA383B">
      <w:pPr>
        <w:pStyle w:val="ParagraphNumbered2"/>
        <w:rPr>
          <w:lang w:val="en-GB"/>
        </w:rPr>
      </w:pPr>
      <w:r>
        <w:rPr>
          <w:lang w:val="en-GB"/>
        </w:rPr>
        <w:t xml:space="preserve">Fourth, </w:t>
      </w:r>
      <w:r w:rsidR="00404B32">
        <w:rPr>
          <w:lang w:val="en-GB"/>
        </w:rPr>
        <w:t xml:space="preserve">the National Bank of Georgia </w:t>
      </w:r>
      <w:r w:rsidR="00404B32" w:rsidRPr="00404B32">
        <w:rPr>
          <w:lang w:val="en-GB"/>
        </w:rPr>
        <w:t xml:space="preserve">publishes the estimated interest rates or yields for Georgian BB rated debt denominated in </w:t>
      </w:r>
      <w:r w:rsidR="00EA0C14">
        <w:rPr>
          <w:lang w:val="en-GB"/>
        </w:rPr>
        <w:t xml:space="preserve">Georgian </w:t>
      </w:r>
      <w:r w:rsidR="00404B32" w:rsidRPr="00404B32">
        <w:rPr>
          <w:lang w:val="en-GB"/>
        </w:rPr>
        <w:t xml:space="preserve">Lari for different maturities – a ‘BB Corporate Curve’. We understand that </w:t>
      </w:r>
      <w:r w:rsidR="00404B32">
        <w:rPr>
          <w:lang w:val="en-GB"/>
        </w:rPr>
        <w:t xml:space="preserve">the Bank </w:t>
      </w:r>
      <w:r w:rsidR="00404B32" w:rsidRPr="00404B32">
        <w:rPr>
          <w:lang w:val="en-GB"/>
        </w:rPr>
        <w:t xml:space="preserve">calculates the BB Corporate Curve by adding a spread to the yield curve for Georgian government bonds, also in Lari. As of 30 September 2025, </w:t>
      </w:r>
      <w:r w:rsidR="00755784">
        <w:rPr>
          <w:lang w:val="en-GB"/>
        </w:rPr>
        <w:t xml:space="preserve">the </w:t>
      </w:r>
      <w:r w:rsidR="00755784" w:rsidRPr="00404B32">
        <w:rPr>
          <w:lang w:val="en-GB"/>
        </w:rPr>
        <w:t xml:space="preserve">BB Corporate Curve </w:t>
      </w:r>
      <w:r w:rsidR="00404B32" w:rsidRPr="00404B32">
        <w:rPr>
          <w:lang w:val="en-GB"/>
        </w:rPr>
        <w:t xml:space="preserve">implied </w:t>
      </w:r>
      <w:r w:rsidR="00755784">
        <w:rPr>
          <w:lang w:val="en-GB"/>
        </w:rPr>
        <w:t xml:space="preserve">a </w:t>
      </w:r>
      <w:r w:rsidR="00404B32" w:rsidRPr="00404B32">
        <w:rPr>
          <w:lang w:val="en-GB"/>
        </w:rPr>
        <w:t>spread of 4.44%</w:t>
      </w:r>
      <w:r w:rsidR="00C95C89">
        <w:rPr>
          <w:lang w:val="en-GB"/>
        </w:rPr>
        <w:t xml:space="preserve"> for </w:t>
      </w:r>
      <w:r w:rsidR="009C766F">
        <w:rPr>
          <w:lang w:val="en-GB"/>
        </w:rPr>
        <w:t>10-year corporate bonds</w:t>
      </w:r>
      <w:r w:rsidR="00404B32" w:rsidRPr="00404B32">
        <w:rPr>
          <w:lang w:val="en-GB"/>
        </w:rPr>
        <w:t>.</w:t>
      </w:r>
    </w:p>
    <w:p w14:paraId="6FEB77CB" w14:textId="38DB56E7" w:rsidR="0042651E" w:rsidRDefault="00FC074A" w:rsidP="00BA383B">
      <w:pPr>
        <w:pStyle w:val="ParagraphNumbered"/>
        <w:jc w:val="both"/>
        <w:rPr>
          <w:lang w:val="en-GB"/>
        </w:rPr>
      </w:pPr>
      <w:r>
        <w:rPr>
          <w:lang w:val="en-GB"/>
        </w:rPr>
        <w:t xml:space="preserve">We </w:t>
      </w:r>
      <w:r w:rsidR="002A55D5">
        <w:rPr>
          <w:lang w:val="en-GB"/>
        </w:rPr>
        <w:t>conclude</w:t>
      </w:r>
      <w:r>
        <w:rPr>
          <w:lang w:val="en-GB"/>
        </w:rPr>
        <w:t xml:space="preserve"> that</w:t>
      </w:r>
      <w:r w:rsidR="007A6905">
        <w:rPr>
          <w:lang w:val="en-GB"/>
        </w:rPr>
        <w:t>:</w:t>
      </w:r>
      <w:r>
        <w:rPr>
          <w:lang w:val="en-GB"/>
        </w:rPr>
        <w:t xml:space="preserve"> </w:t>
      </w:r>
    </w:p>
    <w:p w14:paraId="10845A79" w14:textId="158D512A" w:rsidR="00790FE6" w:rsidRDefault="003F2F64" w:rsidP="007D2606">
      <w:pPr>
        <w:pStyle w:val="ParagraphNumbered2"/>
      </w:pPr>
      <w:r>
        <w:t>T</w:t>
      </w:r>
      <w:r w:rsidR="00790FE6" w:rsidRPr="00002C7A">
        <w:t xml:space="preserve">here is a risk that the </w:t>
      </w:r>
      <w:r w:rsidR="001C1B80">
        <w:t xml:space="preserve">cost of debt </w:t>
      </w:r>
      <w:r w:rsidR="003A3201">
        <w:t xml:space="preserve">estimated using the previous PwC method </w:t>
      </w:r>
      <w:r w:rsidR="00790FE6" w:rsidRPr="00002C7A">
        <w:t xml:space="preserve">overstates the cost of debt of </w:t>
      </w:r>
      <w:r w:rsidR="00790FE6" w:rsidRPr="00120602">
        <w:t xml:space="preserve">telecoms operators </w:t>
      </w:r>
      <w:r w:rsidR="00790FE6" w:rsidRPr="00002C7A">
        <w:t xml:space="preserve">in Georgia, because telecoms operators are likely to obtain better rates than the average borrower in Georgia. </w:t>
      </w:r>
    </w:p>
    <w:p w14:paraId="22AD34F6" w14:textId="2BC0A30C" w:rsidR="007D2606" w:rsidRDefault="006C6572" w:rsidP="007D2606">
      <w:pPr>
        <w:pStyle w:val="ParagraphNumbered2"/>
      </w:pPr>
      <w:r>
        <w:t xml:space="preserve">The </w:t>
      </w:r>
      <w:r w:rsidR="005C1FBF" w:rsidRPr="005C1FBF">
        <w:t>cost of debt rate estimated from the operators</w:t>
      </w:r>
      <w:r w:rsidR="008D3B76">
        <w:t>’</w:t>
      </w:r>
      <w:r w:rsidR="005C1FBF" w:rsidRPr="005C1FBF">
        <w:t xml:space="preserve"> accounts is </w:t>
      </w:r>
      <w:r w:rsidR="00D232F0">
        <w:t>prob</w:t>
      </w:r>
      <w:r w:rsidR="00A072F6">
        <w:t>lematic</w:t>
      </w:r>
      <w:r w:rsidR="005C1FBF" w:rsidRPr="005C1FBF">
        <w:t xml:space="preserve">, because the data includes </w:t>
      </w:r>
      <w:r w:rsidR="00CB02F4">
        <w:t xml:space="preserve">debt issued in foreign </w:t>
      </w:r>
      <w:r w:rsidR="005C1FBF" w:rsidRPr="005C1FBF">
        <w:t>currenc</w:t>
      </w:r>
      <w:r w:rsidR="00CB02F4">
        <w:t>ies</w:t>
      </w:r>
      <w:r w:rsidR="005C1FBF" w:rsidRPr="005C1FBF">
        <w:t xml:space="preserve"> </w:t>
      </w:r>
      <w:r w:rsidR="00C47566">
        <w:t xml:space="preserve">while </w:t>
      </w:r>
      <w:r w:rsidR="005C1FBF" w:rsidRPr="005C1FBF">
        <w:t xml:space="preserve">the data for debt </w:t>
      </w:r>
      <w:r w:rsidR="00532EA8">
        <w:t xml:space="preserve">in Georgian Lari </w:t>
      </w:r>
      <w:r w:rsidR="005C1FBF" w:rsidRPr="005C1FBF">
        <w:t>is patchy and volatile</w:t>
      </w:r>
      <w:r w:rsidR="00A072F6">
        <w:t>;</w:t>
      </w:r>
    </w:p>
    <w:p w14:paraId="19EC4749" w14:textId="0D27ACE8" w:rsidR="00A072F6" w:rsidRDefault="00030DE6" w:rsidP="007D2606">
      <w:pPr>
        <w:pStyle w:val="ParagraphNumbered2"/>
      </w:pPr>
      <w:r>
        <w:t>T</w:t>
      </w:r>
      <w:r w:rsidRPr="00030DE6">
        <w:t xml:space="preserve">he spread resulting from the BB Corporate Curve </w:t>
      </w:r>
      <w:r w:rsidRPr="00120602">
        <w:t xml:space="preserve">is significantly </w:t>
      </w:r>
      <w:r w:rsidRPr="00030DE6">
        <w:t>higher than the average spread for corporate loans in Georgia</w:t>
      </w:r>
      <w:r w:rsidR="000E70ED">
        <w:t>, and</w:t>
      </w:r>
      <w:r w:rsidRPr="00030DE6">
        <w:t xml:space="preserve"> higher than the highest spread</w:t>
      </w:r>
      <w:r w:rsidRPr="00120602">
        <w:t xml:space="preserve"> calculated </w:t>
      </w:r>
      <w:r w:rsidRPr="00030DE6">
        <w:t>for telecoms operators by BEREC, equal to 3.05%.</w:t>
      </w:r>
      <w:r w:rsidR="000E70ED">
        <w:t xml:space="preserve"> </w:t>
      </w:r>
      <w:r w:rsidR="002E7EB2">
        <w:t xml:space="preserve">Given the lack of transparency underlying the methodology </w:t>
      </w:r>
      <w:r w:rsidR="00BA1811">
        <w:t xml:space="preserve">we prefer </w:t>
      </w:r>
      <w:r w:rsidR="00BA1811" w:rsidRPr="00120602">
        <w:t xml:space="preserve">not </w:t>
      </w:r>
      <w:r w:rsidR="00BA1811">
        <w:t xml:space="preserve">to reply on this method. </w:t>
      </w:r>
    </w:p>
    <w:p w14:paraId="26743987" w14:textId="0AD6EBE9" w:rsidR="007529CA" w:rsidRPr="007529CA" w:rsidRDefault="002A55D5">
      <w:pPr>
        <w:pStyle w:val="ParagraphNumbered"/>
        <w:jc w:val="both"/>
      </w:pPr>
      <w:r>
        <w:rPr>
          <w:lang w:val="en-GB"/>
        </w:rPr>
        <w:t>Given the above, w</w:t>
      </w:r>
      <w:r w:rsidR="00BA1811" w:rsidRPr="000C0710">
        <w:rPr>
          <w:lang w:val="en-GB"/>
        </w:rPr>
        <w:t xml:space="preserve">e </w:t>
      </w:r>
      <w:r>
        <w:rPr>
          <w:lang w:val="en-GB"/>
        </w:rPr>
        <w:t>find</w:t>
      </w:r>
      <w:r w:rsidR="00BA1811" w:rsidRPr="000C0710">
        <w:rPr>
          <w:lang w:val="en-GB"/>
        </w:rPr>
        <w:t xml:space="preserve"> that deriving a cost of debt from the BEREC data will likely give the most reliable estimate of the cost of debt for Georgian operators. </w:t>
      </w:r>
      <w:r w:rsidR="00A170D1">
        <w:rPr>
          <w:lang w:val="en-GB"/>
        </w:rPr>
        <w:t xml:space="preserve">Given the ratings of </w:t>
      </w:r>
      <w:r w:rsidR="007A6779">
        <w:rPr>
          <w:lang w:val="en-GB"/>
        </w:rPr>
        <w:t>t</w:t>
      </w:r>
      <w:r w:rsidR="00A170D1">
        <w:rPr>
          <w:lang w:val="en-GB"/>
        </w:rPr>
        <w:t xml:space="preserve">elecoms operators in Georgia, </w:t>
      </w:r>
      <w:r w:rsidR="00C26673">
        <w:rPr>
          <w:lang w:val="en-GB"/>
        </w:rPr>
        <w:t>rather</w:t>
      </w:r>
      <w:r w:rsidR="00BA1811" w:rsidRPr="000C0710">
        <w:rPr>
          <w:lang w:val="en-GB"/>
        </w:rPr>
        <w:t xml:space="preserve"> than </w:t>
      </w:r>
      <w:r w:rsidR="00C26673" w:rsidRPr="0001762D">
        <w:rPr>
          <w:lang w:val="en-GB"/>
        </w:rPr>
        <w:t>tak</w:t>
      </w:r>
      <w:r w:rsidR="007B52AA">
        <w:rPr>
          <w:lang w:val="en-GB"/>
        </w:rPr>
        <w:t>ing the</w:t>
      </w:r>
      <w:r w:rsidR="00C26673">
        <w:rPr>
          <w:lang w:val="en-GB"/>
        </w:rPr>
        <w:t xml:space="preserve"> average</w:t>
      </w:r>
      <w:r w:rsidR="007860EB">
        <w:rPr>
          <w:lang w:val="en-GB"/>
        </w:rPr>
        <w:t>,</w:t>
      </w:r>
      <w:r w:rsidR="00C26673">
        <w:rPr>
          <w:lang w:val="en-GB"/>
        </w:rPr>
        <w:t xml:space="preserve"> </w:t>
      </w:r>
      <w:r w:rsidR="00BA1811" w:rsidRPr="000C0710">
        <w:rPr>
          <w:lang w:val="en-GB"/>
        </w:rPr>
        <w:t xml:space="preserve">we </w:t>
      </w:r>
      <w:r w:rsidR="0033111A">
        <w:rPr>
          <w:lang w:val="en-GB"/>
        </w:rPr>
        <w:t>use</w:t>
      </w:r>
      <w:r w:rsidR="00BA1811" w:rsidRPr="000C0710">
        <w:rPr>
          <w:lang w:val="en-GB"/>
        </w:rPr>
        <w:t xml:space="preserve"> the average spread for Telecom Italia and DIGI Communications, the lowest-rated operators in the BEREC sample. This yields a debt spread of 2.64%.</w:t>
      </w:r>
      <w:r w:rsidR="00BA1811">
        <w:rPr>
          <w:rStyle w:val="FootnoteReference"/>
          <w:lang w:val="en-GB"/>
        </w:rPr>
        <w:footnoteReference w:id="12"/>
      </w:r>
      <w:r w:rsidR="00BA1811" w:rsidRPr="000C0710">
        <w:rPr>
          <w:lang w:val="en-GB"/>
        </w:rPr>
        <w:t xml:space="preserve"> </w:t>
      </w:r>
    </w:p>
    <w:p w14:paraId="02A66E58" w14:textId="1FA0572D" w:rsidR="00BA1811" w:rsidRPr="00DC048E" w:rsidRDefault="0052476B">
      <w:pPr>
        <w:pStyle w:val="ParagraphNumbered"/>
        <w:jc w:val="both"/>
      </w:pPr>
      <w:r>
        <w:lastRenderedPageBreak/>
        <w:t xml:space="preserve">We note that a debt </w:t>
      </w:r>
      <w:r w:rsidR="006615A4">
        <w:t xml:space="preserve">spread </w:t>
      </w:r>
      <w:r>
        <w:t>of 2.64%</w:t>
      </w:r>
      <w:r w:rsidR="006615A4">
        <w:t xml:space="preserve"> is higher than the </w:t>
      </w:r>
      <w:r w:rsidR="00413C6E">
        <w:t>2</w:t>
      </w:r>
      <w:r w:rsidR="00602189">
        <w:t>.</w:t>
      </w:r>
      <w:r w:rsidR="00C74205">
        <w:t xml:space="preserve">00% </w:t>
      </w:r>
      <w:r w:rsidR="0075572B">
        <w:t>derived from the companies accounts</w:t>
      </w:r>
      <w:r w:rsidR="002A55D5">
        <w:t xml:space="preserve"> and</w:t>
      </w:r>
      <w:r w:rsidR="0075572B">
        <w:t xml:space="preserve"> the 3</w:t>
      </w:r>
      <w:r w:rsidR="001C3940">
        <w:t xml:space="preserve">.00% </w:t>
      </w:r>
      <w:r w:rsidR="002A55D5">
        <w:t xml:space="preserve">ceiling </w:t>
      </w:r>
      <w:r w:rsidR="001C3940">
        <w:t>we obtain</w:t>
      </w:r>
      <w:r w:rsidR="0075572B">
        <w:t xml:space="preserve"> </w:t>
      </w:r>
      <w:r w:rsidR="001C3940" w:rsidRPr="0001762D">
        <w:rPr>
          <w:lang w:val="en-GB"/>
        </w:rPr>
        <w:t>if we adopt the currency risk adjustment proposed in the stakeholder analysis.</w:t>
      </w:r>
      <w:r w:rsidR="001C3940">
        <w:rPr>
          <w:lang w:val="en-GB"/>
        </w:rPr>
        <w:t xml:space="preserve"> </w:t>
      </w:r>
      <w:r w:rsidR="002A55D5">
        <w:rPr>
          <w:lang w:val="en-GB"/>
        </w:rPr>
        <w:t>This confirms that the value is reasonable</w:t>
      </w:r>
      <w:r w:rsidR="007071F7">
        <w:rPr>
          <w:lang w:val="en-GB"/>
        </w:rPr>
        <w:t>.</w:t>
      </w:r>
      <w:r w:rsidR="00BA1811">
        <w:rPr>
          <w:lang w:val="en-GB"/>
        </w:rPr>
        <w:t xml:space="preserve"> </w:t>
      </w:r>
    </w:p>
    <w:p w14:paraId="35AB613D" w14:textId="13283753" w:rsidR="00116F8F" w:rsidRPr="00002C7A" w:rsidRDefault="00BA1811">
      <w:pPr>
        <w:pStyle w:val="ParagraphNumbered"/>
        <w:jc w:val="both"/>
        <w:rPr>
          <w:lang w:val="en-GB" w:eastAsia="en-US"/>
        </w:rPr>
      </w:pPr>
      <w:r>
        <w:t xml:space="preserve">Adding </w:t>
      </w:r>
      <w:r w:rsidR="00A56A58">
        <w:t>a 2.64%</w:t>
      </w:r>
      <w:r>
        <w:t xml:space="preserve"> spread to the risk-free rate results in a cost of debt of 11.74% on a pre-tax basis, or 9.98% on an after-tax basis. </w:t>
      </w:r>
      <w:r w:rsidR="005375F9">
        <w:t xml:space="preserve">The </w:t>
      </w:r>
      <w:r w:rsidR="00394412">
        <w:t xml:space="preserve">cost of debt </w:t>
      </w:r>
      <w:r w:rsidR="005375F9">
        <w:t xml:space="preserve">we estimate </w:t>
      </w:r>
      <w:r w:rsidR="00394412">
        <w:t xml:space="preserve">is </w:t>
      </w:r>
      <w:r w:rsidR="000B5EE0">
        <w:t>similar to, or higher than</w:t>
      </w:r>
      <w:r w:rsidR="005375F9">
        <w:t>,</w:t>
      </w:r>
      <w:r w:rsidR="000B5EE0">
        <w:t xml:space="preserve"> </w:t>
      </w:r>
      <w:r w:rsidR="005375F9">
        <w:t xml:space="preserve">the costs of debt estimated by the stakeholder analysis, after removing a maturity premium with which we disagree. </w:t>
      </w:r>
      <w:r w:rsidR="00BA383B" w:rsidRPr="00002C7A">
        <w:rPr>
          <w:lang w:val="en-GB"/>
        </w:rPr>
        <w:t xml:space="preserve"> </w:t>
      </w:r>
    </w:p>
    <w:p w14:paraId="6C83AE60" w14:textId="77777777" w:rsidR="00A42ADE" w:rsidRDefault="00951FF1" w:rsidP="00A42ADE">
      <w:pPr>
        <w:pStyle w:val="Heading2"/>
      </w:pPr>
      <w:bookmarkStart w:id="35" w:name="_Toc219739762"/>
      <w:bookmarkStart w:id="36" w:name="_Toc217060048"/>
      <w:bookmarkStart w:id="37" w:name="_Ref99711610"/>
      <w:bookmarkStart w:id="38" w:name="_Toc99716103"/>
      <w:bookmarkStart w:id="39" w:name="_Toc99716196"/>
      <w:bookmarkStart w:id="40" w:name="_Toc99728376"/>
      <w:bookmarkStart w:id="41" w:name="_Toc100325537"/>
      <w:bookmarkEnd w:id="18"/>
      <w:bookmarkEnd w:id="19"/>
      <w:bookmarkEnd w:id="20"/>
      <w:bookmarkEnd w:id="21"/>
      <w:bookmarkEnd w:id="22"/>
      <w:bookmarkEnd w:id="23"/>
      <w:r w:rsidRPr="00951FF1">
        <w:t>Relevance of an NGA premium</w:t>
      </w:r>
      <w:bookmarkEnd w:id="35"/>
      <w:bookmarkEnd w:id="36"/>
    </w:p>
    <w:p w14:paraId="2B9696B7" w14:textId="72CC27B2" w:rsidR="00A42ADE" w:rsidRPr="00002C7A" w:rsidRDefault="008705B0" w:rsidP="008705B0">
      <w:pPr>
        <w:pStyle w:val="ParagraphNumbered"/>
        <w:numPr>
          <w:ilvl w:val="0"/>
          <w:numId w:val="0"/>
        </w:numPr>
        <w:rPr>
          <w:b/>
          <w:lang w:val="en-GB"/>
        </w:rPr>
      </w:pPr>
      <w:r w:rsidRPr="00002C7A">
        <w:rPr>
          <w:b/>
          <w:lang w:val="en-GB"/>
        </w:rPr>
        <w:t>Regulatory precedent and evidence on the fiber premium</w:t>
      </w:r>
    </w:p>
    <w:p w14:paraId="0E3CCFBB" w14:textId="77777777" w:rsidR="0050718B" w:rsidRPr="00002C7A" w:rsidRDefault="0050718B" w:rsidP="0050718B">
      <w:pPr>
        <w:pStyle w:val="ParagraphNumbered"/>
        <w:rPr>
          <w:lang w:val="en-GB" w:eastAsia="en-GB"/>
        </w:rPr>
      </w:pPr>
      <w:r w:rsidRPr="00002C7A">
        <w:rPr>
          <w:lang w:val="en-GB"/>
        </w:rPr>
        <w:t xml:space="preserve">The notion of a fiber premium in the economic regulation of telecoms networks dates back to EC Recommendation 2010/572/EU of 20 September 2010. In the Recommendation, the European Commission recommended, for the purposes of calculating tariffs, that the WACC of the SMP operator in EU member states should reflect the higher risk of investments in fiber relative to the risks of operating the copper network. </w:t>
      </w:r>
      <w:r w:rsidRPr="00002C7A">
        <w:rPr>
          <w:lang w:val="en-GB" w:eastAsia="en-GB"/>
        </w:rPr>
        <w:t xml:space="preserve">To this end, recognizing that the development of fiber networks, especially in their initial phases, entails significant risks due to high irreversible investment costs and demand uncertainty, the Commission recommended that NRAs incorporate a risk premium into the WACC, including, where justified, a fiber premium over the WACC for the copper network. </w:t>
      </w:r>
    </w:p>
    <w:p w14:paraId="4DF9E6CA" w14:textId="71237577" w:rsidR="0050718B" w:rsidRPr="00002C7A" w:rsidRDefault="0050718B" w:rsidP="0050718B">
      <w:pPr>
        <w:pStyle w:val="ParagraphNumbered"/>
        <w:rPr>
          <w:lang w:val="en-GB"/>
        </w:rPr>
      </w:pPr>
      <w:r w:rsidRPr="00002C7A">
        <w:rPr>
          <w:lang w:val="en-GB"/>
        </w:rPr>
        <w:t>The rationale for including a fiber premium for fiber investments compared to the WACC for copper networks was further analy</w:t>
      </w:r>
      <w:r w:rsidR="000E64E8">
        <w:rPr>
          <w:lang w:val="en-GB"/>
        </w:rPr>
        <w:t>s</w:t>
      </w:r>
      <w:r w:rsidRPr="00002C7A">
        <w:rPr>
          <w:lang w:val="en-GB"/>
        </w:rPr>
        <w:t>ed in the 2016 Brattle Report for the European Commission. The study identified three main reasons why the WACC for NGA networks could be higher than the WACC for copper networks:</w:t>
      </w:r>
    </w:p>
    <w:p w14:paraId="0717B385" w14:textId="77777777" w:rsidR="0050718B" w:rsidRPr="00002C7A" w:rsidRDefault="0050718B" w:rsidP="0050718B">
      <w:pPr>
        <w:pStyle w:val="ParagraphNumbered2"/>
        <w:rPr>
          <w:lang w:val="en-GB"/>
        </w:rPr>
      </w:pPr>
      <w:r w:rsidRPr="00002C7A">
        <w:rPr>
          <w:lang w:val="en-GB"/>
        </w:rPr>
        <w:t xml:space="preserve">Capital leverage: The fiber business requires large investments to build fiber networks. Commitments to make large investment may increase beta, since they are a commitment for cash flows, and increase the volatility of returns. </w:t>
      </w:r>
    </w:p>
    <w:p w14:paraId="334EAA84" w14:textId="77777777" w:rsidR="0050718B" w:rsidRPr="00002C7A" w:rsidRDefault="0050718B" w:rsidP="0050718B">
      <w:pPr>
        <w:pStyle w:val="ParagraphNumbered2"/>
        <w:rPr>
          <w:lang w:val="en-GB"/>
        </w:rPr>
      </w:pPr>
      <w:r w:rsidRPr="00002C7A">
        <w:rPr>
          <w:lang w:val="en-GB"/>
        </w:rPr>
        <w:t xml:space="preserve">Demand uncertainty: demand for fiber services may be more sensitive to changes in economic performance and income. This could be the case, for example, if fiber demand could be seen as a premium product. </w:t>
      </w:r>
    </w:p>
    <w:p w14:paraId="6BF06271" w14:textId="77777777" w:rsidR="0050718B" w:rsidRPr="00002C7A" w:rsidRDefault="0050718B" w:rsidP="0050718B">
      <w:pPr>
        <w:pStyle w:val="ParagraphNumbered2"/>
        <w:rPr>
          <w:lang w:val="en-GB"/>
        </w:rPr>
      </w:pPr>
      <w:r w:rsidRPr="00002C7A">
        <w:rPr>
          <w:lang w:val="en-GB"/>
        </w:rPr>
        <w:t>Long-lived assets: new fiber assets are long-lived, and so their value will be more sensitive to changes in macroeconomic conditions than a copper network, which has a shorter remaining lifetime.</w:t>
      </w:r>
    </w:p>
    <w:p w14:paraId="7FFD76BE" w14:textId="77777777" w:rsidR="0050718B" w:rsidRPr="00002C7A" w:rsidRDefault="0050718B" w:rsidP="0050718B">
      <w:pPr>
        <w:pStyle w:val="ParagraphNumbered"/>
        <w:rPr>
          <w:lang w:val="en-GB"/>
        </w:rPr>
      </w:pPr>
      <w:r w:rsidRPr="00002C7A">
        <w:rPr>
          <w:lang w:val="en-GB"/>
        </w:rPr>
        <w:t xml:space="preserve">A further reason to recognize a fiber premium, attributable to EC Recommendation 2010/572/EU and accepted in practice by some EU regulators, relates to the irreversible nature of investments in fiber, whereby the SMP operator making the investment in fiber </w:t>
      </w:r>
      <w:r w:rsidRPr="00002C7A">
        <w:rPr>
          <w:lang w:val="en-GB"/>
        </w:rPr>
        <w:lastRenderedPageBreak/>
        <w:t>effectively foregoes the value of the option to postpone the investment decision to a later date, and for this it must be remunerated.</w:t>
      </w:r>
    </w:p>
    <w:p w14:paraId="39C1543B" w14:textId="6F716FDD" w:rsidR="0050718B" w:rsidRPr="00002C7A" w:rsidRDefault="0050718B" w:rsidP="0050718B">
      <w:pPr>
        <w:pStyle w:val="ParagraphNumbered"/>
        <w:rPr>
          <w:lang w:val="en-GB" w:eastAsia="en-GB"/>
        </w:rPr>
      </w:pPr>
      <w:r w:rsidRPr="00002C7A">
        <w:rPr>
          <w:lang w:val="en-GB" w:eastAsia="en-GB"/>
        </w:rPr>
        <w:t>Consistent with the recommendations of EC Recommendation 2010/572/EU, several NRAs have analy</w:t>
      </w:r>
      <w:r w:rsidR="000E64E8">
        <w:rPr>
          <w:lang w:val="en-GB" w:eastAsia="en-GB"/>
        </w:rPr>
        <w:t>s</w:t>
      </w:r>
      <w:r w:rsidRPr="00002C7A">
        <w:rPr>
          <w:lang w:val="en-GB" w:eastAsia="en-GB"/>
        </w:rPr>
        <w:t xml:space="preserve">ed the relative risk of fiber investments compared to copper networks. These analyses identified the need to include a Fiber Premium to compensate for the increased risk of new investments in fiber, noting, however, that the increased risk of such investments, and the associated additional remuneration required, should decrease with the rollout of the network. In subsequent market analyses, several regulators have reduced the fiber premium to account for the lower risk of fiber investments due to the increased coverage of the new NGA network. In some cases, regulators have removed the regulation of NGA network access altogether, having determined that the basis for ex ante regulation was no longer present. </w:t>
      </w:r>
    </w:p>
    <w:p w14:paraId="48C922FD" w14:textId="77777777" w:rsidR="0050718B" w:rsidRPr="00002C7A" w:rsidRDefault="0050718B" w:rsidP="0050718B">
      <w:pPr>
        <w:pStyle w:val="ParagraphNumbered"/>
        <w:rPr>
          <w:lang w:val="en-GB"/>
        </w:rPr>
      </w:pPr>
      <w:r w:rsidRPr="00002C7A">
        <w:rPr>
          <w:lang w:val="en-GB" w:eastAsia="en-GB"/>
        </w:rPr>
        <w:t xml:space="preserve">As of today, only 7 NRAs currently maintain a Fiber Premium in the WACC for fiber networks, with an average premium of 1.45%.  In contrast, the 12 NRA which have applied a fiber premium at some point in the past </w:t>
      </w:r>
      <w:r w:rsidRPr="00002C7A">
        <w:rPr>
          <w:lang w:val="en-GB"/>
        </w:rPr>
        <w:t xml:space="preserve">initially selected </w:t>
      </w:r>
      <w:r w:rsidRPr="00002C7A">
        <w:rPr>
          <w:lang w:val="en-GB" w:eastAsia="en-GB"/>
        </w:rPr>
        <w:t>fiber premiums ranged between 0.61% in Slovenia and Luxembourg and 4.81% in Spain, with an average of 2.39%.</w:t>
      </w:r>
    </w:p>
    <w:p w14:paraId="2FBC99D7" w14:textId="7D632E66" w:rsidR="008705B0" w:rsidRPr="00002C7A" w:rsidRDefault="00445A3B" w:rsidP="008705B0">
      <w:pPr>
        <w:pStyle w:val="ParagraphNumbered"/>
        <w:numPr>
          <w:ilvl w:val="0"/>
          <w:numId w:val="0"/>
        </w:numPr>
        <w:rPr>
          <w:b/>
          <w:lang w:val="en-GB"/>
        </w:rPr>
      </w:pPr>
      <w:r w:rsidRPr="00002C7A">
        <w:rPr>
          <w:b/>
          <w:lang w:val="en-GB"/>
        </w:rPr>
        <w:t>Recommendation on the relevance of a WACC premium for investments in next-generation networks in Georgia</w:t>
      </w:r>
    </w:p>
    <w:p w14:paraId="5D785092" w14:textId="17EC36E1" w:rsidR="00282D86" w:rsidRPr="00002C7A" w:rsidRDefault="00282D86" w:rsidP="00282D86">
      <w:pPr>
        <w:pStyle w:val="ParagraphNumbered"/>
        <w:rPr>
          <w:lang w:val="en-GB"/>
        </w:rPr>
      </w:pPr>
      <w:r w:rsidRPr="00002C7A">
        <w:rPr>
          <w:lang w:val="en-GB"/>
        </w:rPr>
        <w:t>The capital leverage, demand uncertainty and long-lived nature of investments in new fiber assets may justify the provision of a WACC premium, particularly in the early years of the investments. However, the case for allowing a premium reduces over time, and no premium should be applied when the investments have been completed and demand uncertainty is resolved.</w:t>
      </w:r>
      <w:r w:rsidR="0023238F" w:rsidRPr="00002C7A">
        <w:rPr>
          <w:lang w:val="en-GB"/>
        </w:rPr>
        <w:t xml:space="preserve"> </w:t>
      </w:r>
    </w:p>
    <w:p w14:paraId="6BB7E70C" w14:textId="77777777" w:rsidR="00282D86" w:rsidRPr="00002C7A" w:rsidRDefault="00282D86" w:rsidP="00282D86">
      <w:pPr>
        <w:pStyle w:val="ParagraphNumbered"/>
        <w:rPr>
          <w:lang w:val="en-GB"/>
        </w:rPr>
      </w:pPr>
      <w:r w:rsidRPr="00002C7A">
        <w:rPr>
          <w:lang w:val="en-GB"/>
        </w:rPr>
        <w:t xml:space="preserve">The deployment and adoption of the fiber network is extremely high in Georgia, which makes the application of a general fiber premium to the WACC for existing fiber assets no longer relevant. Effectively, for existing assets investments have been made and demand uncertainty has been positively resolved.  </w:t>
      </w:r>
    </w:p>
    <w:p w14:paraId="0927BACA" w14:textId="713F1EBF" w:rsidR="00282D86" w:rsidRPr="00002C7A" w:rsidRDefault="00282D86" w:rsidP="00282D86">
      <w:pPr>
        <w:pStyle w:val="ParagraphNumbered"/>
        <w:rPr>
          <w:lang w:val="en-GB"/>
        </w:rPr>
      </w:pPr>
      <w:r w:rsidRPr="00002C7A">
        <w:rPr>
          <w:lang w:val="en-GB"/>
        </w:rPr>
        <w:t>However, as of today</w:t>
      </w:r>
      <w:r w:rsidR="00F93A93" w:rsidRPr="00002C7A">
        <w:rPr>
          <w:lang w:val="en-GB"/>
        </w:rPr>
        <w:t>, many</w:t>
      </w:r>
      <w:r w:rsidRPr="00002C7A">
        <w:rPr>
          <w:lang w:val="en-GB"/>
        </w:rPr>
        <w:t xml:space="preserve"> fiber connections in Georgia are still </w:t>
      </w:r>
      <w:r w:rsidRPr="00002C7A">
        <w:rPr>
          <w:i/>
          <w:lang w:val="en-GB"/>
        </w:rPr>
        <w:t>fiber-to-the-building</w:t>
      </w:r>
      <w:r w:rsidRPr="00002C7A">
        <w:rPr>
          <w:lang w:val="en-GB"/>
        </w:rPr>
        <w:t xml:space="preserve"> (FTTB) and over 90% of subscri</w:t>
      </w:r>
      <w:r w:rsidR="0033353F" w:rsidRPr="00002C7A">
        <w:rPr>
          <w:lang w:val="en-GB"/>
        </w:rPr>
        <w:t>ptions have</w:t>
      </w:r>
      <w:r w:rsidRPr="00002C7A">
        <w:rPr>
          <w:lang w:val="en-GB"/>
        </w:rPr>
        <w:t xml:space="preserve"> connection speed</w:t>
      </w:r>
      <w:r w:rsidR="0033353F" w:rsidRPr="00002C7A">
        <w:rPr>
          <w:lang w:val="en-GB"/>
        </w:rPr>
        <w:t>s</w:t>
      </w:r>
      <w:r w:rsidRPr="00002C7A">
        <w:rPr>
          <w:lang w:val="en-GB"/>
        </w:rPr>
        <w:t xml:space="preserve"> of 70 Mbps or lower.</w:t>
      </w:r>
      <w:r w:rsidRPr="00002C7A">
        <w:rPr>
          <w:rStyle w:val="FootnoteReference"/>
          <w:lang w:val="en-GB"/>
        </w:rPr>
        <w:footnoteReference w:id="13"/>
      </w:r>
      <w:r w:rsidRPr="00002C7A">
        <w:rPr>
          <w:lang w:val="en-GB"/>
        </w:rPr>
        <w:t xml:space="preserve"> Importantly, significant investments will need to be made to improve connectivity across the country, in line with Georgia’s national broadband plan, </w:t>
      </w:r>
      <w:r w:rsidR="00135976" w:rsidRPr="00002C7A">
        <w:rPr>
          <w:lang w:val="en-GB"/>
        </w:rPr>
        <w:t>including</w:t>
      </w:r>
      <w:r w:rsidRPr="00002C7A">
        <w:rPr>
          <w:lang w:val="en-GB"/>
        </w:rPr>
        <w:t xml:space="preserve"> for upgrading existing FTTB connections to </w:t>
      </w:r>
      <w:r w:rsidRPr="00002C7A">
        <w:rPr>
          <w:i/>
          <w:lang w:val="en-GB"/>
        </w:rPr>
        <w:t>fiber-to-the home</w:t>
      </w:r>
      <w:r w:rsidRPr="00002C7A">
        <w:rPr>
          <w:lang w:val="en-GB"/>
        </w:rPr>
        <w:t xml:space="preserve"> (FTTH) and for deployment of the fiber network in rural areas. Also, </w:t>
      </w:r>
      <w:r w:rsidR="001629DD" w:rsidRPr="00002C7A">
        <w:rPr>
          <w:lang w:val="en-GB"/>
        </w:rPr>
        <w:t xml:space="preserve">In the mobile market, all three operators </w:t>
      </w:r>
      <w:r w:rsidR="00F93A93" w:rsidRPr="00002C7A">
        <w:rPr>
          <w:lang w:val="en-GB"/>
        </w:rPr>
        <w:t xml:space="preserve">have </w:t>
      </w:r>
      <w:r w:rsidR="001629DD" w:rsidRPr="00002C7A">
        <w:rPr>
          <w:lang w:val="en-GB"/>
        </w:rPr>
        <w:t xml:space="preserve">acquired 5G </w:t>
      </w:r>
      <w:r w:rsidR="00EB0582" w:rsidRPr="00002C7A">
        <w:rPr>
          <w:lang w:val="en-GB"/>
        </w:rPr>
        <w:t>licenses</w:t>
      </w:r>
      <w:r w:rsidR="001629DD" w:rsidRPr="00002C7A">
        <w:rPr>
          <w:lang w:val="en-GB"/>
        </w:rPr>
        <w:t xml:space="preserve"> over the period 2023–2025. However, only one operator has deployed 5G nationwide, while the </w:t>
      </w:r>
      <w:r w:rsidR="001629DD" w:rsidRPr="00002C7A">
        <w:rPr>
          <w:lang w:val="en-GB"/>
        </w:rPr>
        <w:lastRenderedPageBreak/>
        <w:t xml:space="preserve">other two still need to undertake </w:t>
      </w:r>
      <w:r w:rsidR="00F93A93" w:rsidRPr="00002C7A">
        <w:rPr>
          <w:lang w:val="en-GB"/>
        </w:rPr>
        <w:t>significant</w:t>
      </w:r>
      <w:r w:rsidR="001629DD" w:rsidRPr="00002C7A">
        <w:rPr>
          <w:lang w:val="en-GB"/>
        </w:rPr>
        <w:t xml:space="preserve"> investments to expand coverage and improve connectivity.</w:t>
      </w:r>
    </w:p>
    <w:p w14:paraId="54357B93" w14:textId="77777777" w:rsidR="00282D86" w:rsidRPr="00002C7A" w:rsidRDefault="00282D86" w:rsidP="00282D86">
      <w:pPr>
        <w:pStyle w:val="ParagraphNumbered"/>
        <w:rPr>
          <w:lang w:val="en-GB" w:eastAsia="en-GB"/>
        </w:rPr>
      </w:pPr>
      <w:r w:rsidRPr="00002C7A">
        <w:rPr>
          <w:lang w:val="en-GB"/>
        </w:rPr>
        <w:t>Accordingly, we recommend ComCom to apply a fiber premium for:</w:t>
      </w:r>
    </w:p>
    <w:p w14:paraId="22D285FA" w14:textId="20DF76C7" w:rsidR="00282D86" w:rsidRPr="00002C7A" w:rsidRDefault="00282D86" w:rsidP="00F93A93">
      <w:pPr>
        <w:pStyle w:val="ParagraphNumbered2"/>
        <w:rPr>
          <w:lang w:val="en-GB" w:eastAsia="en-GB"/>
        </w:rPr>
      </w:pPr>
      <w:r w:rsidRPr="00002C7A">
        <w:rPr>
          <w:b/>
          <w:lang w:val="en-GB" w:eastAsia="en-GB"/>
        </w:rPr>
        <w:t>Investments in network upgrades</w:t>
      </w:r>
      <w:r w:rsidRPr="00002C7A">
        <w:rPr>
          <w:lang w:val="en-GB" w:eastAsia="en-GB"/>
        </w:rPr>
        <w:t xml:space="preserve">. This shall include investments for upgrading of FTTB connections to FTTH and any related upgrade of the primary network and equipment. This may also include large network upgrades aimed at increasing the overall throughput capacity of the network and/or reduce the number of users per shared network element, ultimately resulting in </w:t>
      </w:r>
      <w:r w:rsidR="00F93A93" w:rsidRPr="00002C7A">
        <w:rPr>
          <w:lang w:val="en-GB" w:eastAsia="en-GB"/>
        </w:rPr>
        <w:t xml:space="preserve">the </w:t>
      </w:r>
      <w:r w:rsidR="00126AA9" w:rsidRPr="00002C7A">
        <w:rPr>
          <w:lang w:val="en-GB" w:eastAsia="en-GB"/>
        </w:rPr>
        <w:t xml:space="preserve">possibility to provide </w:t>
      </w:r>
      <w:r w:rsidRPr="00002C7A">
        <w:rPr>
          <w:lang w:val="en-GB" w:eastAsia="en-GB"/>
        </w:rPr>
        <w:t xml:space="preserve">higher connection speeds for the end users. </w:t>
      </w:r>
    </w:p>
    <w:p w14:paraId="016A9DEB" w14:textId="77777777" w:rsidR="00282D86" w:rsidRPr="00002C7A" w:rsidRDefault="00282D86" w:rsidP="00F93A93">
      <w:pPr>
        <w:pStyle w:val="ParagraphNumbered2"/>
        <w:rPr>
          <w:lang w:val="en-GB" w:eastAsia="en-GB"/>
        </w:rPr>
      </w:pPr>
      <w:r w:rsidRPr="00002C7A">
        <w:rPr>
          <w:b/>
          <w:lang w:val="en-GB" w:eastAsia="en-GB"/>
        </w:rPr>
        <w:t>Investment in new infrastructure development</w:t>
      </w:r>
      <w:r w:rsidRPr="00002C7A">
        <w:rPr>
          <w:lang w:val="en-GB" w:eastAsia="en-GB"/>
        </w:rPr>
        <w:t>, such as deployment in rural areas, where a fiber network does not yet exist and/or where other technologies are currently in use.</w:t>
      </w:r>
    </w:p>
    <w:p w14:paraId="7238E888" w14:textId="77777777" w:rsidR="00282D86" w:rsidRPr="00002C7A" w:rsidRDefault="00282D86" w:rsidP="00F93A93">
      <w:pPr>
        <w:pStyle w:val="ParagraphNumbered2"/>
        <w:rPr>
          <w:lang w:val="en-GB" w:eastAsia="en-GB"/>
        </w:rPr>
      </w:pPr>
      <w:r w:rsidRPr="00002C7A">
        <w:rPr>
          <w:b/>
          <w:lang w:val="en-GB" w:eastAsia="en-GB"/>
        </w:rPr>
        <w:t>Investment in 5G and future generation mobile</w:t>
      </w:r>
      <w:r w:rsidRPr="00002C7A">
        <w:rPr>
          <w:lang w:val="en-GB" w:eastAsia="en-GB"/>
        </w:rPr>
        <w:t>.</w:t>
      </w:r>
    </w:p>
    <w:p w14:paraId="6FDDCEE3" w14:textId="191F24A4" w:rsidR="003229E0" w:rsidRPr="00002C7A" w:rsidRDefault="003229E0">
      <w:pPr>
        <w:pStyle w:val="ParagraphNumbered"/>
        <w:rPr>
          <w:lang w:val="en-GB" w:eastAsia="en-GB"/>
        </w:rPr>
      </w:pPr>
      <w:r w:rsidRPr="00002C7A">
        <w:rPr>
          <w:lang w:val="en-GB" w:eastAsia="en-GB"/>
        </w:rPr>
        <w:t xml:space="preserve">For the investments falling under items a.-c. above, </w:t>
      </w:r>
      <w:r w:rsidR="006345CF" w:rsidRPr="00002C7A">
        <w:rPr>
          <w:lang w:val="en-GB" w:eastAsia="en-GB"/>
        </w:rPr>
        <w:t xml:space="preserve">ComCom should apply </w:t>
      </w:r>
      <w:r w:rsidR="007C7196" w:rsidRPr="00002C7A">
        <w:rPr>
          <w:lang w:val="en-GB" w:eastAsia="en-GB"/>
        </w:rPr>
        <w:t xml:space="preserve">the NGA premium </w:t>
      </w:r>
      <w:r w:rsidR="006345CF" w:rsidRPr="00002C7A">
        <w:rPr>
          <w:lang w:val="en-GB" w:eastAsia="en-GB"/>
        </w:rPr>
        <w:t>in calculating tariffs in</w:t>
      </w:r>
      <w:r w:rsidRPr="00002C7A">
        <w:rPr>
          <w:lang w:val="en-GB" w:eastAsia="en-GB"/>
        </w:rPr>
        <w:t xml:space="preserve"> any relevant wholesale market which may be defined, analysed and regulated by the ComCom during the </w:t>
      </w:r>
      <w:r w:rsidR="00FA229A">
        <w:rPr>
          <w:lang w:val="en-GB" w:eastAsia="en-GB"/>
        </w:rPr>
        <w:t>regulatory</w:t>
      </w:r>
      <w:r w:rsidRPr="00002C7A">
        <w:rPr>
          <w:lang w:val="en-GB" w:eastAsia="en-GB"/>
        </w:rPr>
        <w:t xml:space="preserve"> period.</w:t>
      </w:r>
      <w:r w:rsidRPr="00002C7A">
        <w:rPr>
          <w:rStyle w:val="FootnoteReference"/>
          <w:lang w:val="en-GB" w:eastAsia="en-GB"/>
        </w:rPr>
        <w:footnoteReference w:id="14"/>
      </w:r>
      <w:r w:rsidRPr="00002C7A">
        <w:rPr>
          <w:lang w:val="en-GB" w:eastAsia="en-GB"/>
        </w:rPr>
        <w:t xml:space="preserve"> </w:t>
      </w:r>
    </w:p>
    <w:p w14:paraId="2AC2E908" w14:textId="45DDE951" w:rsidR="0049428D" w:rsidRPr="00383168" w:rsidRDefault="00282D86">
      <w:pPr>
        <w:pStyle w:val="ParagraphNumbered"/>
        <w:rPr>
          <w:lang w:val="en-GB"/>
        </w:rPr>
      </w:pPr>
      <w:r w:rsidRPr="00383168">
        <w:rPr>
          <w:lang w:val="en-GB"/>
        </w:rPr>
        <w:t xml:space="preserve">As regards the size of the applicable premium, we recommend ComCom to consider the range of values of the fiber premiums selected by European regulators. </w:t>
      </w:r>
      <w:r w:rsidRPr="00383168">
        <w:rPr>
          <w:lang w:val="en-GB" w:eastAsia="en-GB"/>
        </w:rPr>
        <w:t xml:space="preserve">Overall, </w:t>
      </w:r>
      <w:r w:rsidR="0049428D" w:rsidRPr="00383168">
        <w:rPr>
          <w:lang w:val="en-GB" w:eastAsia="en-GB"/>
        </w:rPr>
        <w:t>we recommend ComCom to select a value of the fiber premium of 2%. This value is lower than the 2.39% average of the premiums initially selected by European regulators, reflecting the lower risk of investing in fiber today as the technology has matured and demand has increased. At the same time, this value is higher than the average premium of 1.45% currently applied in Europe</w:t>
      </w:r>
      <w:r w:rsidR="00383168" w:rsidRPr="00383168">
        <w:rPr>
          <w:lang w:val="en-GB" w:eastAsia="en-GB"/>
        </w:rPr>
        <w:t>, reflecting the need to provide a higher premium in the remuneration of new investments.</w:t>
      </w:r>
    </w:p>
    <w:p w14:paraId="5C8A85BA" w14:textId="0F2B38C6" w:rsidR="00951FF1" w:rsidRDefault="00B62268" w:rsidP="00A42ADE">
      <w:pPr>
        <w:pStyle w:val="Heading2"/>
      </w:pPr>
      <w:bookmarkStart w:id="42" w:name="_Toc219739763"/>
      <w:bookmarkStart w:id="43" w:name="_Toc217060049"/>
      <w:r w:rsidRPr="00B62268">
        <w:lastRenderedPageBreak/>
        <w:t>Application of a different WACC for mobile and fixed Telecommunications operators</w:t>
      </w:r>
      <w:bookmarkEnd w:id="42"/>
      <w:bookmarkEnd w:id="43"/>
    </w:p>
    <w:p w14:paraId="0D5139D0" w14:textId="77777777" w:rsidR="00F17922" w:rsidRPr="00002C7A" w:rsidRDefault="00F17922" w:rsidP="00F17922">
      <w:pPr>
        <w:pStyle w:val="ParagraphNumbered"/>
        <w:jc w:val="both"/>
        <w:rPr>
          <w:lang w:val="en-GB" w:eastAsia="en-US"/>
        </w:rPr>
      </w:pPr>
      <w:r w:rsidRPr="00002C7A">
        <w:rPr>
          <w:lang w:val="en-GB"/>
        </w:rPr>
        <w:t>Although the systematic risk of operating a fixed network may potentially differ from the systematic risks of operating a mobile network, there are three main reasons why a differentiation of the WACC may not be advisable nor feasible in practice.</w:t>
      </w:r>
    </w:p>
    <w:p w14:paraId="002397A4" w14:textId="1886DDD3" w:rsidR="00F17922" w:rsidRPr="00002C7A" w:rsidRDefault="00F17922" w:rsidP="00D43B6E">
      <w:pPr>
        <w:pStyle w:val="ParagraphNumbered2"/>
        <w:rPr>
          <w:lang w:val="en-GB" w:eastAsia="en-US"/>
        </w:rPr>
      </w:pPr>
      <w:r w:rsidRPr="00002C7A">
        <w:rPr>
          <w:i/>
          <w:lang w:val="en-GB" w:eastAsia="en-US"/>
        </w:rPr>
        <w:t>First</w:t>
      </w:r>
      <w:r w:rsidRPr="00002C7A">
        <w:rPr>
          <w:lang w:val="en-GB" w:eastAsia="en-US"/>
        </w:rPr>
        <w:t>, there is technological convergence. This implies that the potential difference in systematic risk, if any, is likely shrinking.</w:t>
      </w:r>
    </w:p>
    <w:p w14:paraId="707D0F18" w14:textId="1BD05909" w:rsidR="00F17922" w:rsidRPr="00002C7A" w:rsidRDefault="00F17922" w:rsidP="00D43B6E">
      <w:pPr>
        <w:pStyle w:val="ParagraphNumbered2"/>
        <w:rPr>
          <w:lang w:val="en-GB" w:eastAsia="en-US"/>
        </w:rPr>
      </w:pPr>
      <w:r w:rsidRPr="00002C7A">
        <w:rPr>
          <w:i/>
          <w:lang w:val="en-GB" w:eastAsia="en-US"/>
        </w:rPr>
        <w:t>Second</w:t>
      </w:r>
      <w:r w:rsidRPr="00002C7A">
        <w:rPr>
          <w:lang w:val="en-GB" w:eastAsia="en-US"/>
        </w:rPr>
        <w:t>, all telecoms firms in the sample of peers are integrated fixed and mobile operators, so that a separate beta for fixed and mobile cannot be estimated.</w:t>
      </w:r>
    </w:p>
    <w:p w14:paraId="08B9057B" w14:textId="22F47DB2" w:rsidR="00F17922" w:rsidRPr="00002C7A" w:rsidRDefault="00F17922" w:rsidP="00D43B6E">
      <w:pPr>
        <w:pStyle w:val="ParagraphNumbered2"/>
        <w:rPr>
          <w:lang w:val="en-GB" w:eastAsia="en-US"/>
        </w:rPr>
      </w:pPr>
      <w:r w:rsidRPr="00002C7A">
        <w:rPr>
          <w:i/>
          <w:lang w:val="en-GB" w:eastAsia="en-US"/>
        </w:rPr>
        <w:t>Third</w:t>
      </w:r>
      <w:r w:rsidRPr="00002C7A">
        <w:rPr>
          <w:lang w:val="en-GB" w:eastAsia="en-US"/>
        </w:rPr>
        <w:t>, we are not aware of any regulator applying a different WACC for mobile services.</w:t>
      </w:r>
    </w:p>
    <w:p w14:paraId="5FA7E282" w14:textId="11643EC0" w:rsidR="00A42ADE" w:rsidRPr="00002C7A" w:rsidRDefault="00355B55">
      <w:pPr>
        <w:pStyle w:val="ParagraphNumbered"/>
        <w:jc w:val="both"/>
        <w:rPr>
          <w:lang w:val="en-GB" w:eastAsia="en-US"/>
        </w:rPr>
      </w:pPr>
      <w:r w:rsidRPr="00002C7A">
        <w:rPr>
          <w:lang w:val="en-GB" w:eastAsia="en-US"/>
        </w:rPr>
        <w:t>Accordingly</w:t>
      </w:r>
      <w:r w:rsidR="00F17922" w:rsidRPr="00002C7A">
        <w:rPr>
          <w:lang w:val="en-GB" w:eastAsia="en-US"/>
        </w:rPr>
        <w:t>, we recommend ComCom to apply a common WACC to regulated fixed and mobile services.</w:t>
      </w:r>
    </w:p>
    <w:p w14:paraId="0CF587F3" w14:textId="77777777" w:rsidR="00F17922" w:rsidRPr="008C14A2" w:rsidRDefault="00F17922" w:rsidP="00F17922">
      <w:pPr>
        <w:pStyle w:val="Heading2"/>
        <w:jc w:val="both"/>
      </w:pPr>
      <w:bookmarkStart w:id="44" w:name="_Toc219739764"/>
      <w:bookmarkStart w:id="45" w:name="_Toc217060050"/>
      <w:bookmarkStart w:id="46" w:name="_Toc8902962"/>
      <w:bookmarkStart w:id="47" w:name="_Toc9850263"/>
      <w:bookmarkStart w:id="48" w:name="_Ref73367478"/>
      <w:bookmarkStart w:id="49" w:name="_Toc73455310"/>
      <w:bookmarkStart w:id="50" w:name="_Toc78563286"/>
      <w:bookmarkStart w:id="51" w:name="_Toc99716126"/>
      <w:bookmarkStart w:id="52" w:name="_Toc99716219"/>
      <w:bookmarkStart w:id="53" w:name="_Toc99728400"/>
      <w:bookmarkStart w:id="54" w:name="_Ref100319571"/>
      <w:bookmarkStart w:id="55" w:name="_Toc100325560"/>
      <w:bookmarkStart w:id="56" w:name="_Ref213873450"/>
      <w:bookmarkEnd w:id="37"/>
      <w:bookmarkEnd w:id="38"/>
      <w:bookmarkEnd w:id="39"/>
      <w:bookmarkEnd w:id="40"/>
      <w:bookmarkEnd w:id="41"/>
      <w:r w:rsidRPr="008C14A2">
        <w:t xml:space="preserve">WACC of the </w:t>
      </w:r>
      <w:r>
        <w:t xml:space="preserve">Telecommunications Sector </w:t>
      </w:r>
      <w:r w:rsidRPr="008C14A2">
        <w:t xml:space="preserve">in </w:t>
      </w:r>
      <w:r>
        <w:t>Georgia</w:t>
      </w:r>
      <w:bookmarkEnd w:id="44"/>
      <w:bookmarkEnd w:id="45"/>
    </w:p>
    <w:p w14:paraId="426D25C2" w14:textId="4C943967" w:rsidR="00F17922" w:rsidRPr="00002C7A" w:rsidRDefault="00F17922" w:rsidP="00F17922">
      <w:pPr>
        <w:pStyle w:val="ParagraphNumbered"/>
        <w:jc w:val="both"/>
        <w:rPr>
          <w:lang w:val="en-GB"/>
        </w:rPr>
      </w:pPr>
      <w:r w:rsidRPr="00002C7A">
        <w:rPr>
          <w:lang w:val="en-GB"/>
        </w:rPr>
        <w:fldChar w:fldCharType="begin"/>
      </w:r>
      <w:r w:rsidRPr="00002C7A">
        <w:rPr>
          <w:lang w:val="en-GB"/>
        </w:rPr>
        <w:instrText xml:space="preserve"> REF _Ref99711604 \h  \* MERGEFORMAT </w:instrText>
      </w:r>
      <w:r w:rsidRPr="00002C7A">
        <w:rPr>
          <w:lang w:val="en-GB"/>
        </w:rPr>
      </w:r>
      <w:r w:rsidRPr="00002C7A">
        <w:rPr>
          <w:lang w:val="en-GB"/>
        </w:rPr>
        <w:fldChar w:fldCharType="separate"/>
      </w:r>
      <w:r w:rsidR="007F093A" w:rsidRPr="007F093A">
        <w:rPr>
          <w:lang w:val="en-GB"/>
        </w:rPr>
        <w:t>Table 1</w:t>
      </w:r>
      <w:r w:rsidRPr="00002C7A">
        <w:rPr>
          <w:lang w:val="en-GB"/>
        </w:rPr>
        <w:fldChar w:fldCharType="end"/>
      </w:r>
      <w:r w:rsidRPr="00002C7A">
        <w:rPr>
          <w:lang w:val="en-GB"/>
        </w:rPr>
        <w:t xml:space="preserve">, below, details our calculation of the nominal pre-tax WACC for the telecommunications sector in Georgia. </w:t>
      </w:r>
    </w:p>
    <w:p w14:paraId="704E4AF5" w14:textId="45339BD2" w:rsidR="00F17922" w:rsidRPr="002A0656" w:rsidRDefault="00F17922" w:rsidP="00F17922">
      <w:pPr>
        <w:pStyle w:val="Caption"/>
        <w:jc w:val="both"/>
      </w:pPr>
      <w:bookmarkStart w:id="57" w:name="_Ref99711604"/>
      <w:bookmarkStart w:id="58" w:name="_Toc99716102"/>
      <w:bookmarkStart w:id="59" w:name="_Toc99716195"/>
      <w:bookmarkStart w:id="60" w:name="_Toc99728375"/>
      <w:bookmarkStart w:id="61" w:name="_Toc100325536"/>
      <w:bookmarkStart w:id="62" w:name="_Toc219739793"/>
      <w:bookmarkStart w:id="63" w:name="_Toc217060077"/>
      <w:r w:rsidRPr="008C14A2">
        <w:lastRenderedPageBreak/>
        <w:t xml:space="preserve">Table </w:t>
      </w:r>
      <w:r w:rsidRPr="008C14A2">
        <w:fldChar w:fldCharType="begin"/>
      </w:r>
      <w:r w:rsidRPr="008C14A2">
        <w:rPr>
          <w:noProof/>
        </w:rPr>
        <w:instrText xml:space="preserve"> SEQ Table \* ARABIC </w:instrText>
      </w:r>
      <w:r w:rsidRPr="008C14A2">
        <w:rPr>
          <w:noProof/>
        </w:rPr>
        <w:fldChar w:fldCharType="separate"/>
      </w:r>
      <w:r w:rsidR="007F093A">
        <w:rPr>
          <w:noProof/>
        </w:rPr>
        <w:t>1</w:t>
      </w:r>
      <w:r w:rsidRPr="008C14A2">
        <w:fldChar w:fldCharType="end"/>
      </w:r>
      <w:bookmarkEnd w:id="57"/>
      <w:r w:rsidRPr="008C14A2">
        <w:t xml:space="preserve">: WACC for </w:t>
      </w:r>
      <w:bookmarkEnd w:id="58"/>
      <w:bookmarkEnd w:id="59"/>
      <w:bookmarkEnd w:id="60"/>
      <w:bookmarkEnd w:id="61"/>
      <w:r w:rsidRPr="00E86E52">
        <w:t>Telecommunications</w:t>
      </w:r>
      <w:r>
        <w:t xml:space="preserve"> sector in Georgia</w:t>
      </w:r>
      <w:bookmarkEnd w:id="62"/>
      <w:bookmarkEnd w:id="63"/>
    </w:p>
    <w:p w14:paraId="069E7DC9" w14:textId="0F3ED22B" w:rsidR="00F17922" w:rsidRDefault="0049774F" w:rsidP="00F17922">
      <w:pPr>
        <w:pStyle w:val="Figure"/>
        <w:jc w:val="both"/>
      </w:pPr>
      <w:r w:rsidRPr="0049774F">
        <w:drawing>
          <wp:inline distT="0" distB="0" distL="0" distR="0" wp14:anchorId="65B1F42C" wp14:editId="4FB28901">
            <wp:extent cx="4688840" cy="4391025"/>
            <wp:effectExtent l="0" t="0" r="0" b="9525"/>
            <wp:docPr id="473999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840" cy="4391025"/>
                    </a:xfrm>
                    <a:prstGeom prst="rect">
                      <a:avLst/>
                    </a:prstGeom>
                    <a:noFill/>
                    <a:ln>
                      <a:noFill/>
                    </a:ln>
                  </pic:spPr>
                </pic:pic>
              </a:graphicData>
            </a:graphic>
          </wp:inline>
        </w:drawing>
      </w:r>
    </w:p>
    <w:p w14:paraId="5F864373" w14:textId="77777777" w:rsidR="00E17D1C" w:rsidRPr="008C14A2" w:rsidRDefault="00E17D1C" w:rsidP="00500B2F">
      <w:pPr>
        <w:pStyle w:val="Heading1"/>
        <w:jc w:val="both"/>
      </w:pPr>
      <w:bookmarkStart w:id="64" w:name="_Ref217031824"/>
      <w:bookmarkStart w:id="65" w:name="_Toc219739765"/>
      <w:bookmarkStart w:id="66" w:name="_Toc217060051"/>
      <w:r w:rsidRPr="008C14A2">
        <w:lastRenderedPageBreak/>
        <w:t>The Risk-</w:t>
      </w:r>
      <w:r w:rsidRPr="00E86E52">
        <w:t>Free</w:t>
      </w:r>
      <w:r w:rsidRPr="008C14A2">
        <w:t xml:space="preserve"> Rate</w:t>
      </w:r>
      <w:bookmarkEnd w:id="46"/>
      <w:bookmarkEnd w:id="47"/>
      <w:bookmarkEnd w:id="48"/>
      <w:bookmarkEnd w:id="49"/>
      <w:bookmarkEnd w:id="50"/>
      <w:bookmarkEnd w:id="51"/>
      <w:bookmarkEnd w:id="52"/>
      <w:bookmarkEnd w:id="53"/>
      <w:bookmarkEnd w:id="54"/>
      <w:bookmarkEnd w:id="55"/>
      <w:bookmarkEnd w:id="56"/>
      <w:bookmarkEnd w:id="64"/>
      <w:bookmarkEnd w:id="65"/>
      <w:bookmarkEnd w:id="66"/>
    </w:p>
    <w:p w14:paraId="3F3BC856" w14:textId="456E9474" w:rsidR="006F139E" w:rsidRPr="00002C7A" w:rsidRDefault="00E86E52" w:rsidP="00500B2F">
      <w:pPr>
        <w:pStyle w:val="Heading1Separator"/>
        <w:jc w:val="both"/>
        <w:rPr>
          <w:lang w:val="en-GB"/>
        </w:rPr>
      </w:pPr>
      <w:bookmarkStart w:id="67" w:name="_Toc99728401"/>
      <w:bookmarkStart w:id="68" w:name="_Toc100325561"/>
      <w:r w:rsidRPr="00002C7A">
        <w:rPr>
          <w:lang w:val="en-GB"/>
        </w:rPr>
        <w:tab/>
      </w:r>
    </w:p>
    <w:p w14:paraId="38C276D5" w14:textId="3E647FB6" w:rsidR="004D423A" w:rsidRPr="00002C7A" w:rsidRDefault="008211F2" w:rsidP="00500B2F">
      <w:pPr>
        <w:pStyle w:val="ParagraphNumbered"/>
        <w:jc w:val="both"/>
        <w:rPr>
          <w:lang w:val="en-GB" w:eastAsia="en-US"/>
        </w:rPr>
      </w:pPr>
      <w:r w:rsidRPr="00002C7A">
        <w:rPr>
          <w:lang w:val="en-GB" w:eastAsia="en-US"/>
        </w:rPr>
        <w:t xml:space="preserve">There are three </w:t>
      </w:r>
      <w:r w:rsidRPr="00002C7A">
        <w:rPr>
          <w:lang w:val="en-GB"/>
        </w:rPr>
        <w:t>important</w:t>
      </w:r>
      <w:r w:rsidRPr="00002C7A">
        <w:rPr>
          <w:lang w:val="en-GB" w:eastAsia="en-US"/>
        </w:rPr>
        <w:t xml:space="preserve"> aspects to consider when calculating the risk-free rate:</w:t>
      </w:r>
    </w:p>
    <w:p w14:paraId="31C86427" w14:textId="43B6BEAC" w:rsidR="0002792C" w:rsidRPr="00002C7A" w:rsidRDefault="009D0B83" w:rsidP="00500B2F">
      <w:pPr>
        <w:pStyle w:val="ParagraphNumbered2"/>
        <w:jc w:val="both"/>
        <w:rPr>
          <w:lang w:val="en-GB" w:eastAsia="en-US"/>
        </w:rPr>
      </w:pPr>
      <w:r w:rsidRPr="00002C7A">
        <w:rPr>
          <w:b/>
          <w:lang w:val="en-GB" w:eastAsia="en-US"/>
        </w:rPr>
        <w:t xml:space="preserve">Reference </w:t>
      </w:r>
      <w:r w:rsidR="0002792C" w:rsidRPr="00002C7A">
        <w:rPr>
          <w:b/>
          <w:lang w:val="en-GB" w:eastAsia="en-US"/>
        </w:rPr>
        <w:t>country</w:t>
      </w:r>
      <w:r w:rsidR="0002792C" w:rsidRPr="00002C7A">
        <w:rPr>
          <w:lang w:val="en-GB" w:eastAsia="en-US"/>
        </w:rPr>
        <w:t xml:space="preserve">: </w:t>
      </w:r>
      <w:r w:rsidR="009F0463" w:rsidRPr="00002C7A">
        <w:rPr>
          <w:lang w:val="en-GB" w:eastAsia="en-US"/>
        </w:rPr>
        <w:t xml:space="preserve">Which </w:t>
      </w:r>
      <w:r w:rsidR="009F0463" w:rsidRPr="00002C7A">
        <w:rPr>
          <w:lang w:val="en-GB"/>
        </w:rPr>
        <w:t>country</w:t>
      </w:r>
      <w:r w:rsidR="009F0463" w:rsidRPr="00002C7A">
        <w:rPr>
          <w:lang w:val="en-GB" w:eastAsia="en-US"/>
        </w:rPr>
        <w:t>-bond should be used?</w:t>
      </w:r>
    </w:p>
    <w:p w14:paraId="28D46D9C" w14:textId="0C34C495" w:rsidR="00A02FB3" w:rsidRPr="00002C7A" w:rsidRDefault="00A02FB3" w:rsidP="00500B2F">
      <w:pPr>
        <w:pStyle w:val="ParagraphNumbered2"/>
        <w:jc w:val="both"/>
        <w:rPr>
          <w:lang w:val="en-GB" w:eastAsia="en-US"/>
        </w:rPr>
      </w:pPr>
      <w:r w:rsidRPr="00002C7A">
        <w:rPr>
          <w:b/>
          <w:lang w:val="en-GB" w:eastAsia="en-US"/>
        </w:rPr>
        <w:t>Averaging period</w:t>
      </w:r>
      <w:r w:rsidRPr="00002C7A">
        <w:rPr>
          <w:lang w:val="en-GB" w:eastAsia="en-US"/>
        </w:rPr>
        <w:t xml:space="preserve">: </w:t>
      </w:r>
      <w:r w:rsidR="001E1EA8">
        <w:rPr>
          <w:lang w:val="en-GB" w:eastAsia="en-US"/>
        </w:rPr>
        <w:t>O</w:t>
      </w:r>
      <w:r w:rsidRPr="00002C7A">
        <w:rPr>
          <w:lang w:val="en-GB" w:eastAsia="en-US"/>
        </w:rPr>
        <w:t xml:space="preserve">ver what period should we measure yields? </w:t>
      </w:r>
    </w:p>
    <w:p w14:paraId="2BAD72A0" w14:textId="77777777" w:rsidR="00A02FB3" w:rsidRPr="00002C7A" w:rsidRDefault="00A02FB3" w:rsidP="00500B2F">
      <w:pPr>
        <w:pStyle w:val="ParagraphNumbered2"/>
        <w:jc w:val="both"/>
        <w:rPr>
          <w:lang w:val="en-GB" w:eastAsia="en-US"/>
        </w:rPr>
      </w:pPr>
      <w:r w:rsidRPr="00002C7A">
        <w:rPr>
          <w:b/>
          <w:lang w:val="en-GB" w:eastAsia="en-US"/>
        </w:rPr>
        <w:t>Bond maturity</w:t>
      </w:r>
      <w:r w:rsidRPr="00002C7A">
        <w:rPr>
          <w:lang w:val="en-GB" w:eastAsia="en-US"/>
        </w:rPr>
        <w:t xml:space="preserve">: </w:t>
      </w:r>
      <w:r w:rsidR="009F0463" w:rsidRPr="00002C7A">
        <w:rPr>
          <w:lang w:val="en-GB" w:eastAsia="en-US"/>
        </w:rPr>
        <w:t>Which bond maturity</w:t>
      </w:r>
      <w:r w:rsidRPr="00002C7A">
        <w:rPr>
          <w:lang w:val="en-GB" w:eastAsia="en-US"/>
        </w:rPr>
        <w:t xml:space="preserve"> should be used? </w:t>
      </w:r>
    </w:p>
    <w:p w14:paraId="2CA89D9C" w14:textId="77777777" w:rsidR="003C220A" w:rsidRPr="00002C7A" w:rsidRDefault="003C220A" w:rsidP="00500B2F">
      <w:pPr>
        <w:pStyle w:val="ParagraphNumbered"/>
        <w:jc w:val="both"/>
        <w:rPr>
          <w:lang w:val="en-GB" w:eastAsia="en-US"/>
        </w:rPr>
      </w:pPr>
      <w:r w:rsidRPr="00002C7A">
        <w:rPr>
          <w:lang w:val="en-GB" w:eastAsia="en-US"/>
        </w:rPr>
        <w:t>In 2020, PwC calculated the risk-free rate taking the one-year average yield of Georgian government bonds with a maturity of 8-10 years, as published by the National Bank of Georgia. In contrast, the EC Guidelines recommend taking the five-year average yield of 10-year local government bonds, with an annual update of the parameter.</w:t>
      </w:r>
      <w:r w:rsidRPr="00002C7A">
        <w:rPr>
          <w:rStyle w:val="FootnoteReference"/>
          <w:lang w:val="en-GB" w:eastAsia="en-US"/>
        </w:rPr>
        <w:t xml:space="preserve"> </w:t>
      </w:r>
      <w:r w:rsidRPr="00002C7A">
        <w:rPr>
          <w:rStyle w:val="FootnoteReference"/>
          <w:lang w:val="en-GB" w:eastAsia="en-US"/>
        </w:rPr>
        <w:footnoteReference w:id="15"/>
      </w:r>
      <w:r w:rsidRPr="00002C7A">
        <w:rPr>
          <w:lang w:val="en-GB" w:eastAsia="en-US"/>
        </w:rPr>
        <w:t xml:space="preserve"> According to the EC Guidelines, using a five-year period ensures consistency of the risk-free rate calculation with the calculation of other WACC parameters, also based on a five-year average.</w:t>
      </w:r>
    </w:p>
    <w:p w14:paraId="3435ECF9" w14:textId="7A5181D8" w:rsidR="009F0463" w:rsidRPr="00002C7A" w:rsidRDefault="00412720" w:rsidP="00500B2F">
      <w:pPr>
        <w:pStyle w:val="ParagraphNumbered"/>
        <w:jc w:val="both"/>
        <w:rPr>
          <w:lang w:val="en-GB" w:eastAsia="en-US"/>
        </w:rPr>
      </w:pPr>
      <w:r w:rsidRPr="00002C7A">
        <w:rPr>
          <w:lang w:val="en-GB" w:eastAsia="en-US"/>
        </w:rPr>
        <w:t>Below, w</w:t>
      </w:r>
      <w:r w:rsidR="009F0463" w:rsidRPr="00002C7A">
        <w:rPr>
          <w:lang w:val="en-GB" w:eastAsia="en-US"/>
        </w:rPr>
        <w:t xml:space="preserve">e </w:t>
      </w:r>
      <w:r w:rsidR="002E25CB" w:rsidRPr="00002C7A">
        <w:rPr>
          <w:lang w:val="en-GB" w:eastAsia="en-US"/>
        </w:rPr>
        <w:t xml:space="preserve">first </w:t>
      </w:r>
      <w:r w:rsidR="009F0463" w:rsidRPr="00002C7A">
        <w:rPr>
          <w:lang w:val="en-GB" w:eastAsia="en-US"/>
        </w:rPr>
        <w:t xml:space="preserve">discuss </w:t>
      </w:r>
      <w:r w:rsidR="00900C3C" w:rsidRPr="00002C7A">
        <w:rPr>
          <w:lang w:val="en-GB" w:eastAsia="en-US"/>
        </w:rPr>
        <w:t xml:space="preserve">our recommendations </w:t>
      </w:r>
      <w:r w:rsidR="000E5DF1" w:rsidRPr="00002C7A">
        <w:rPr>
          <w:lang w:val="en-GB" w:eastAsia="en-US"/>
        </w:rPr>
        <w:t xml:space="preserve">on how to address </w:t>
      </w:r>
      <w:r w:rsidR="009F0463" w:rsidRPr="00002C7A">
        <w:rPr>
          <w:lang w:val="en-GB" w:eastAsia="en-US"/>
        </w:rPr>
        <w:t xml:space="preserve">these </w:t>
      </w:r>
      <w:r w:rsidR="000E5DF1" w:rsidRPr="00002C7A">
        <w:rPr>
          <w:lang w:val="en-GB" w:eastAsia="en-US"/>
        </w:rPr>
        <w:t xml:space="preserve">three </w:t>
      </w:r>
      <w:r w:rsidR="009F0463" w:rsidRPr="00002C7A">
        <w:rPr>
          <w:lang w:val="en-GB" w:eastAsia="en-US"/>
        </w:rPr>
        <w:t xml:space="preserve">issues </w:t>
      </w:r>
      <w:r w:rsidR="000E5DF1" w:rsidRPr="00002C7A">
        <w:rPr>
          <w:lang w:val="en-GB" w:eastAsia="en-US"/>
        </w:rPr>
        <w:t>and then calculate the risk-free rate</w:t>
      </w:r>
      <w:r w:rsidR="00A215E0" w:rsidRPr="00002C7A">
        <w:rPr>
          <w:lang w:val="en-GB" w:eastAsia="en-US"/>
        </w:rPr>
        <w:t xml:space="preserve"> for telecoms services in Georgia </w:t>
      </w:r>
      <w:r w:rsidR="00AB1FBC" w:rsidRPr="00002C7A">
        <w:rPr>
          <w:lang w:val="en-GB" w:eastAsia="en-US"/>
        </w:rPr>
        <w:t>as of the measurement date</w:t>
      </w:r>
      <w:r w:rsidR="009F0463" w:rsidRPr="00002C7A">
        <w:rPr>
          <w:lang w:val="en-GB" w:eastAsia="en-US"/>
        </w:rPr>
        <w:t>.</w:t>
      </w:r>
    </w:p>
    <w:p w14:paraId="3D724D1E" w14:textId="5BA077E3" w:rsidR="00A02FB3" w:rsidRDefault="00A02FB3" w:rsidP="00500B2F">
      <w:pPr>
        <w:pStyle w:val="Heading2"/>
        <w:jc w:val="both"/>
      </w:pPr>
      <w:bookmarkStart w:id="69" w:name="_Toc219739766"/>
      <w:bookmarkStart w:id="70" w:name="_Toc217060052"/>
      <w:r w:rsidRPr="00E86E52">
        <w:t>Reference</w:t>
      </w:r>
      <w:r>
        <w:t xml:space="preserve"> Country</w:t>
      </w:r>
      <w:bookmarkEnd w:id="69"/>
      <w:bookmarkEnd w:id="70"/>
    </w:p>
    <w:p w14:paraId="6C30A19A" w14:textId="3C7B56F6" w:rsidR="00856D3F" w:rsidRPr="00002C7A" w:rsidRDefault="00F32D6C" w:rsidP="00500B2F">
      <w:pPr>
        <w:pStyle w:val="ParagraphNumbered"/>
        <w:jc w:val="both"/>
        <w:rPr>
          <w:lang w:val="en-GB"/>
        </w:rPr>
      </w:pPr>
      <w:r w:rsidRPr="00002C7A">
        <w:rPr>
          <w:lang w:val="en-GB" w:eastAsia="en-US"/>
        </w:rPr>
        <w:t xml:space="preserve">We </w:t>
      </w:r>
      <w:r w:rsidR="00FE05E2" w:rsidRPr="00002C7A">
        <w:rPr>
          <w:lang w:val="en-GB" w:eastAsia="en-US"/>
        </w:rPr>
        <w:t>agree with PwC and the EC Guidelines that</w:t>
      </w:r>
      <w:r w:rsidR="00AC7BEE" w:rsidRPr="00002C7A">
        <w:rPr>
          <w:lang w:val="en-GB" w:eastAsia="en-US"/>
        </w:rPr>
        <w:t xml:space="preserve"> taking </w:t>
      </w:r>
      <w:r w:rsidR="0000268B" w:rsidRPr="00002C7A">
        <w:rPr>
          <w:lang w:val="en-GB" w:eastAsia="en-US"/>
        </w:rPr>
        <w:t xml:space="preserve">the yield of Georgian Government bonds </w:t>
      </w:r>
      <w:r w:rsidR="00034EB1" w:rsidRPr="00002C7A">
        <w:rPr>
          <w:lang w:val="en-GB" w:eastAsia="en-US"/>
        </w:rPr>
        <w:t>is appropriate</w:t>
      </w:r>
      <w:r w:rsidR="00062812" w:rsidRPr="00002C7A">
        <w:rPr>
          <w:lang w:val="en-GB" w:eastAsia="en-US"/>
        </w:rPr>
        <w:t xml:space="preserve"> and consistent with the consolidated regulatory practice in many countries and sectors. </w:t>
      </w:r>
      <w:r w:rsidR="00AE6C25" w:rsidRPr="00002C7A">
        <w:rPr>
          <w:lang w:val="en-GB" w:eastAsia="en-US"/>
        </w:rPr>
        <w:t>I</w:t>
      </w:r>
      <w:r w:rsidR="004252AE" w:rsidRPr="00002C7A">
        <w:rPr>
          <w:lang w:val="en-GB" w:eastAsia="en-US"/>
        </w:rPr>
        <w:t xml:space="preserve">n </w:t>
      </w:r>
      <w:r w:rsidR="00197866" w:rsidRPr="00002C7A">
        <w:rPr>
          <w:lang w:val="en-GB"/>
        </w:rPr>
        <w:t>estimating</w:t>
      </w:r>
      <w:r w:rsidR="001D6640" w:rsidRPr="00002C7A">
        <w:rPr>
          <w:lang w:val="en-GB"/>
        </w:rPr>
        <w:t xml:space="preserve"> the cost of equity, regulators generally use the yield on </w:t>
      </w:r>
      <w:r w:rsidR="00770909" w:rsidRPr="00002C7A">
        <w:rPr>
          <w:lang w:val="en-GB"/>
        </w:rPr>
        <w:t>the</w:t>
      </w:r>
      <w:r w:rsidR="00DB6C7C" w:rsidRPr="00002C7A">
        <w:rPr>
          <w:lang w:val="en-GB"/>
        </w:rPr>
        <w:t xml:space="preserve"> </w:t>
      </w:r>
      <w:r w:rsidR="001D6640" w:rsidRPr="00002C7A">
        <w:rPr>
          <w:lang w:val="en-GB"/>
        </w:rPr>
        <w:t xml:space="preserve">government bonds </w:t>
      </w:r>
      <w:r w:rsidR="00770909" w:rsidRPr="00002C7A">
        <w:rPr>
          <w:lang w:val="en-GB"/>
        </w:rPr>
        <w:t xml:space="preserve">of the country in which the </w:t>
      </w:r>
      <w:r w:rsidR="00121EAC" w:rsidRPr="00002C7A">
        <w:rPr>
          <w:lang w:val="en-GB"/>
        </w:rPr>
        <w:t>regulated entity is operating</w:t>
      </w:r>
      <w:r w:rsidR="0060730A" w:rsidRPr="00002C7A">
        <w:rPr>
          <w:lang w:val="en-GB"/>
        </w:rPr>
        <w:t xml:space="preserve">. We refer </w:t>
      </w:r>
      <w:r w:rsidR="001D6640" w:rsidRPr="00002C7A">
        <w:rPr>
          <w:lang w:val="en-GB"/>
        </w:rPr>
        <w:t xml:space="preserve">to </w:t>
      </w:r>
      <w:r w:rsidR="0060730A" w:rsidRPr="00002C7A">
        <w:rPr>
          <w:lang w:val="en-GB"/>
        </w:rPr>
        <w:t xml:space="preserve">these as </w:t>
      </w:r>
      <w:r w:rsidR="00936F9E" w:rsidRPr="00002C7A">
        <w:rPr>
          <w:lang w:val="en-GB"/>
        </w:rPr>
        <w:t>‘</w:t>
      </w:r>
      <w:r w:rsidR="0060730A" w:rsidRPr="00002C7A">
        <w:rPr>
          <w:lang w:val="en-GB"/>
        </w:rPr>
        <w:t xml:space="preserve">local government bonds’ meaning that the bonds are </w:t>
      </w:r>
      <w:r w:rsidR="005F5DA5" w:rsidRPr="00002C7A">
        <w:rPr>
          <w:lang w:val="en-GB"/>
        </w:rPr>
        <w:t xml:space="preserve">local to the regulated company. </w:t>
      </w:r>
    </w:p>
    <w:p w14:paraId="10979B77" w14:textId="20FC0078" w:rsidR="00AE6C25" w:rsidRPr="00002C7A" w:rsidRDefault="00AE6C25" w:rsidP="00500B2F">
      <w:pPr>
        <w:pStyle w:val="ParagraphNumbered"/>
        <w:jc w:val="both"/>
        <w:rPr>
          <w:lang w:val="en-GB"/>
        </w:rPr>
      </w:pPr>
      <w:r w:rsidRPr="00002C7A">
        <w:rPr>
          <w:lang w:val="en-GB" w:eastAsia="en-US"/>
        </w:rPr>
        <w:t>I</w:t>
      </w:r>
      <w:r w:rsidR="00325728" w:rsidRPr="00002C7A">
        <w:rPr>
          <w:lang w:val="en-GB" w:eastAsia="en-US"/>
        </w:rPr>
        <w:t>n</w:t>
      </w:r>
      <w:r w:rsidRPr="00002C7A">
        <w:rPr>
          <w:lang w:val="en-GB" w:eastAsia="en-US"/>
        </w:rPr>
        <w:t xml:space="preserve"> theory, </w:t>
      </w:r>
      <w:r w:rsidR="00C94D77" w:rsidRPr="00002C7A">
        <w:rPr>
          <w:lang w:val="en-GB" w:eastAsia="en-US"/>
        </w:rPr>
        <w:t>u</w:t>
      </w:r>
      <w:r w:rsidRPr="00002C7A">
        <w:rPr>
          <w:lang w:val="en-GB" w:eastAsia="en-US"/>
        </w:rPr>
        <w:t xml:space="preserve">nder the CAPM, the risk-free rate should reflect the rate of return on a hypothetical risk-free asset. Clearly, Georgian Government bonds are not risk-free. </w:t>
      </w:r>
      <w:r w:rsidR="00A0351E" w:rsidRPr="00002C7A">
        <w:rPr>
          <w:lang w:val="en-GB" w:eastAsia="en-US"/>
        </w:rPr>
        <w:t xml:space="preserve">Yields on Georgian Government bonds are several percentage points higher than a true risk-free rate, which would be measured by, for example, yields on German government bonds. </w:t>
      </w:r>
      <w:r w:rsidR="00D020E4" w:rsidRPr="00002C7A">
        <w:rPr>
          <w:lang w:val="en-GB" w:eastAsia="en-US"/>
        </w:rPr>
        <w:t>The difference between the yield on a Georgian Government bonds and German gover</w:t>
      </w:r>
      <w:r w:rsidR="00DC4EC5" w:rsidRPr="00002C7A">
        <w:rPr>
          <w:lang w:val="en-GB" w:eastAsia="en-US"/>
        </w:rPr>
        <w:t xml:space="preserve">nment bonds reflects two factors. </w:t>
      </w:r>
      <w:r w:rsidR="007C4F39" w:rsidRPr="00002C7A">
        <w:rPr>
          <w:lang w:val="en-GB" w:eastAsia="en-US"/>
        </w:rPr>
        <w:t>The first is currency and inflation risk. Georgian Government bonds are denominated in Georgian L</w:t>
      </w:r>
      <w:r w:rsidR="007C4F39" w:rsidRPr="00002C7A">
        <w:rPr>
          <w:lang w:val="en-GB"/>
        </w:rPr>
        <w:t xml:space="preserve">ari (GEL), and </w:t>
      </w:r>
      <w:r w:rsidR="007C4F39" w:rsidRPr="00002C7A">
        <w:rPr>
          <w:lang w:val="en-GB" w:eastAsia="en-US"/>
        </w:rPr>
        <w:t xml:space="preserve">German government bonds are denominated </w:t>
      </w:r>
      <w:r w:rsidR="00A625D0" w:rsidRPr="00002C7A">
        <w:rPr>
          <w:lang w:val="en-GB" w:eastAsia="en-US"/>
        </w:rPr>
        <w:t>i</w:t>
      </w:r>
      <w:r w:rsidR="007C4F39" w:rsidRPr="00002C7A">
        <w:rPr>
          <w:lang w:val="en-GB" w:eastAsia="en-US"/>
        </w:rPr>
        <w:t xml:space="preserve">n Euros. </w:t>
      </w:r>
      <w:r w:rsidR="00E6002D" w:rsidRPr="00002C7A">
        <w:rPr>
          <w:lang w:val="en-GB" w:eastAsia="en-US"/>
        </w:rPr>
        <w:t xml:space="preserve">Investors in Georgian Government bonds will need to be compensated for the risk of the depreciation of the GEL against currencies like the </w:t>
      </w:r>
      <w:r w:rsidR="00555F27" w:rsidRPr="00002C7A">
        <w:rPr>
          <w:lang w:val="en-GB" w:eastAsia="en-US"/>
        </w:rPr>
        <w:t xml:space="preserve">Euro. The higher yield on Georgian Government bonds relative to German Government bonds compensates investors for this </w:t>
      </w:r>
      <w:r w:rsidR="00555F27" w:rsidRPr="00002C7A">
        <w:rPr>
          <w:lang w:val="en-GB" w:eastAsia="en-US"/>
        </w:rPr>
        <w:lastRenderedPageBreak/>
        <w:t xml:space="preserve">risk. </w:t>
      </w:r>
      <w:r w:rsidR="00303A05" w:rsidRPr="00002C7A">
        <w:rPr>
          <w:lang w:val="en-GB"/>
        </w:rPr>
        <w:t>ComCom calculates a cost of capital to remunerate assets valued in GEL</w:t>
      </w:r>
      <w:r w:rsidR="00303A05" w:rsidRPr="00002C7A">
        <w:rPr>
          <w:lang w:val="en-GB" w:eastAsia="en-US"/>
        </w:rPr>
        <w:t>. Hence i</w:t>
      </w:r>
      <w:r w:rsidR="00555F27" w:rsidRPr="00002C7A">
        <w:rPr>
          <w:lang w:val="en-GB" w:eastAsia="en-US"/>
        </w:rPr>
        <w:t xml:space="preserve">t makes sense that the same </w:t>
      </w:r>
      <w:r w:rsidR="00016113" w:rsidRPr="00002C7A">
        <w:rPr>
          <w:lang w:val="en-GB" w:eastAsia="en-US"/>
        </w:rPr>
        <w:t>compensation would be given to investors in Georgian assets</w:t>
      </w:r>
      <w:r w:rsidR="00C95083" w:rsidRPr="00002C7A">
        <w:rPr>
          <w:lang w:val="en-GB" w:eastAsia="en-US"/>
        </w:rPr>
        <w:t xml:space="preserve">, including telecoms infrastructure </w:t>
      </w:r>
      <w:r w:rsidR="00E81DB0">
        <w:rPr>
          <w:lang w:val="en-GB" w:eastAsia="en-US"/>
        </w:rPr>
        <w:t xml:space="preserve">that </w:t>
      </w:r>
      <w:r w:rsidR="00C95083" w:rsidRPr="00002C7A">
        <w:rPr>
          <w:lang w:val="en-GB" w:eastAsia="en-US"/>
        </w:rPr>
        <w:t xml:space="preserve">earns its revenues in GEL. </w:t>
      </w:r>
    </w:p>
    <w:p w14:paraId="56D2197C" w14:textId="4793ADB1" w:rsidR="0012465A" w:rsidRPr="00002C7A" w:rsidRDefault="0012465A" w:rsidP="00500B2F">
      <w:pPr>
        <w:pStyle w:val="ParagraphNumbered"/>
        <w:jc w:val="both"/>
        <w:rPr>
          <w:lang w:val="en-GB"/>
        </w:rPr>
      </w:pPr>
      <w:r w:rsidRPr="00002C7A">
        <w:rPr>
          <w:lang w:val="en-GB" w:eastAsia="en-US"/>
        </w:rPr>
        <w:t xml:space="preserve">The second reason for the difference is higher default risk for </w:t>
      </w:r>
      <w:r w:rsidR="002F5C06" w:rsidRPr="00002C7A">
        <w:rPr>
          <w:lang w:val="en-GB" w:eastAsia="en-US"/>
        </w:rPr>
        <w:t xml:space="preserve">Georgian Government bonds relative to </w:t>
      </w:r>
      <w:r w:rsidR="00B24176" w:rsidRPr="00002C7A">
        <w:rPr>
          <w:lang w:val="en-GB" w:eastAsia="en-US"/>
        </w:rPr>
        <w:t>German Government bonds</w:t>
      </w:r>
      <w:r w:rsidR="00551B0C" w:rsidRPr="00002C7A">
        <w:rPr>
          <w:lang w:val="en-GB" w:eastAsia="en-US"/>
        </w:rPr>
        <w:t xml:space="preserve">. Default risk reflects factors such as </w:t>
      </w:r>
      <w:r w:rsidR="00EC63A0" w:rsidRPr="00002C7A">
        <w:rPr>
          <w:lang w:val="en-GB" w:eastAsia="en-US"/>
        </w:rPr>
        <w:t xml:space="preserve">the </w:t>
      </w:r>
      <w:r w:rsidR="008C6817" w:rsidRPr="00002C7A">
        <w:rPr>
          <w:lang w:val="en-GB" w:eastAsia="en-US"/>
        </w:rPr>
        <w:t xml:space="preserve">existing debt burden of the country, the outlook for economic growth and how debt is expected to grow </w:t>
      </w:r>
      <w:r w:rsidR="00655FA1" w:rsidRPr="00002C7A">
        <w:rPr>
          <w:lang w:val="en-GB" w:eastAsia="en-US"/>
        </w:rPr>
        <w:t xml:space="preserve">in future. </w:t>
      </w:r>
      <w:r w:rsidR="00E86A60" w:rsidRPr="00002C7A">
        <w:rPr>
          <w:lang w:val="en-GB" w:eastAsia="en-US"/>
        </w:rPr>
        <w:t xml:space="preserve">While these </w:t>
      </w:r>
      <w:r w:rsidR="00AD677D" w:rsidRPr="00002C7A">
        <w:rPr>
          <w:lang w:val="en-GB" w:eastAsia="en-US"/>
        </w:rPr>
        <w:t xml:space="preserve">factors are specific to government fiscal and economic policy, </w:t>
      </w:r>
      <w:r w:rsidR="00F948D6" w:rsidRPr="00002C7A">
        <w:rPr>
          <w:lang w:val="en-GB" w:eastAsia="en-US"/>
        </w:rPr>
        <w:t xml:space="preserve">in telecoms regulation </w:t>
      </w:r>
      <w:r w:rsidR="00AD677D" w:rsidRPr="00002C7A">
        <w:rPr>
          <w:lang w:val="en-GB" w:eastAsia="en-US"/>
        </w:rPr>
        <w:t xml:space="preserve">the additional </w:t>
      </w:r>
      <w:r w:rsidR="006532E8" w:rsidRPr="00002C7A">
        <w:rPr>
          <w:lang w:val="en-GB" w:eastAsia="en-US"/>
        </w:rPr>
        <w:t xml:space="preserve">yield on Georgian Government bonds due to </w:t>
      </w:r>
      <w:r w:rsidR="002B7568" w:rsidRPr="00002C7A">
        <w:rPr>
          <w:lang w:val="en-GB" w:eastAsia="en-US"/>
        </w:rPr>
        <w:t xml:space="preserve">default risk are </w:t>
      </w:r>
      <w:r w:rsidR="0070348A" w:rsidRPr="00002C7A">
        <w:rPr>
          <w:lang w:val="en-GB" w:eastAsia="en-US"/>
        </w:rPr>
        <w:t xml:space="preserve">generally taken to be a good proxy for ‘country risk’, being the </w:t>
      </w:r>
      <w:r w:rsidR="00E627EE" w:rsidRPr="00002C7A">
        <w:rPr>
          <w:lang w:val="en-GB" w:eastAsia="en-US"/>
        </w:rPr>
        <w:t>additional risk that a business faces due to operating in Georgia as opposed to a country like Germany.</w:t>
      </w:r>
      <w:r w:rsidR="000563D1" w:rsidRPr="00002C7A">
        <w:rPr>
          <w:rStyle w:val="FootnoteReference"/>
          <w:lang w:val="en-GB" w:eastAsia="en-US"/>
        </w:rPr>
        <w:footnoteReference w:id="16"/>
      </w:r>
      <w:r w:rsidR="00E627EE" w:rsidRPr="00002C7A">
        <w:rPr>
          <w:lang w:val="en-GB" w:eastAsia="en-US"/>
        </w:rPr>
        <w:t xml:space="preserve"> </w:t>
      </w:r>
      <w:r w:rsidR="001D4623" w:rsidRPr="00002C7A">
        <w:rPr>
          <w:lang w:val="en-GB" w:eastAsia="en-US"/>
        </w:rPr>
        <w:t xml:space="preserve">Country risk reflects both </w:t>
      </w:r>
      <w:r w:rsidR="00E627EE" w:rsidRPr="00002C7A">
        <w:rPr>
          <w:lang w:val="en-GB" w:eastAsia="en-US"/>
        </w:rPr>
        <w:t xml:space="preserve">regulatory risk and </w:t>
      </w:r>
      <w:r w:rsidR="00C64AF6" w:rsidRPr="00002C7A">
        <w:rPr>
          <w:lang w:val="en-GB" w:eastAsia="en-US"/>
        </w:rPr>
        <w:t xml:space="preserve">legal risks. While the default spread is not a perfect proxy for country risk, it is clear that a default event by Georgia </w:t>
      </w:r>
      <w:r w:rsidR="005D4C71" w:rsidRPr="00002C7A">
        <w:rPr>
          <w:lang w:val="en-GB" w:eastAsia="en-US"/>
        </w:rPr>
        <w:t xml:space="preserve">would have a highly adverse effect on Georgian businesses, including telecoms infrastructure, and so there is a link between the default spread on Georgian Government bonds and the </w:t>
      </w:r>
      <w:r w:rsidR="0067259A" w:rsidRPr="00002C7A">
        <w:rPr>
          <w:lang w:val="en-GB" w:eastAsia="en-US"/>
        </w:rPr>
        <w:t xml:space="preserve">country risk that </w:t>
      </w:r>
      <w:r w:rsidR="0026119E" w:rsidRPr="00002C7A">
        <w:rPr>
          <w:lang w:val="en-GB" w:eastAsia="en-US"/>
        </w:rPr>
        <w:t xml:space="preserve">regulated telecoms businesses in Georgia face. </w:t>
      </w:r>
    </w:p>
    <w:p w14:paraId="7C8CEDEF" w14:textId="6D86DE7E" w:rsidR="001D6640" w:rsidRPr="00002C7A" w:rsidRDefault="001D6640" w:rsidP="00500B2F">
      <w:pPr>
        <w:pStyle w:val="ParagraphNumbered"/>
        <w:jc w:val="both"/>
        <w:rPr>
          <w:lang w:val="en-GB"/>
        </w:rPr>
      </w:pPr>
      <w:r w:rsidRPr="00002C7A">
        <w:rPr>
          <w:lang w:val="en-GB"/>
        </w:rPr>
        <w:t xml:space="preserve">Given the above, we conclude that a yield on a Georgian government bond will give the most </w:t>
      </w:r>
      <w:r w:rsidR="00167856" w:rsidRPr="00002C7A">
        <w:rPr>
          <w:lang w:val="en-GB"/>
        </w:rPr>
        <w:t>appropriate</w:t>
      </w:r>
      <w:r w:rsidRPr="00002C7A">
        <w:rPr>
          <w:lang w:val="en-GB"/>
        </w:rPr>
        <w:t xml:space="preserve"> estimate of a risk-free rate for a regulated business in Georgia</w:t>
      </w:r>
      <w:r w:rsidR="00167856" w:rsidRPr="00002C7A">
        <w:rPr>
          <w:lang w:val="en-GB"/>
        </w:rPr>
        <w:t xml:space="preserve">, with the understanding that risk-free in this context actually includes compensation for </w:t>
      </w:r>
      <w:r w:rsidR="00303A05" w:rsidRPr="00002C7A">
        <w:rPr>
          <w:lang w:val="en-GB"/>
        </w:rPr>
        <w:t>country risk</w:t>
      </w:r>
      <w:r w:rsidRPr="00002C7A">
        <w:rPr>
          <w:lang w:val="en-GB"/>
        </w:rPr>
        <w:t>.</w:t>
      </w:r>
      <w:r w:rsidR="008E6211" w:rsidRPr="00002C7A">
        <w:rPr>
          <w:lang w:val="en-GB"/>
        </w:rPr>
        <w:t xml:space="preserve"> The use of </w:t>
      </w:r>
      <w:r w:rsidR="0041372F" w:rsidRPr="00002C7A">
        <w:rPr>
          <w:lang w:val="en-GB"/>
        </w:rPr>
        <w:t xml:space="preserve">Georgian government bonds as the risk-free rate is consistent with </w:t>
      </w:r>
      <w:r w:rsidR="005F107B" w:rsidRPr="00002C7A">
        <w:rPr>
          <w:lang w:val="en-GB"/>
        </w:rPr>
        <w:t xml:space="preserve">the recommendations of the EC Guidelines and </w:t>
      </w:r>
      <w:r w:rsidR="00D57878" w:rsidRPr="00002C7A">
        <w:rPr>
          <w:lang w:val="en-GB"/>
        </w:rPr>
        <w:t xml:space="preserve">more broadly with </w:t>
      </w:r>
      <w:r w:rsidR="0041372F" w:rsidRPr="00002C7A">
        <w:rPr>
          <w:lang w:val="en-GB"/>
        </w:rPr>
        <w:t>international regulatory practice</w:t>
      </w:r>
      <w:r w:rsidR="004841E8" w:rsidRPr="00002C7A">
        <w:rPr>
          <w:lang w:val="en-GB"/>
        </w:rPr>
        <w:t xml:space="preserve">. All regulators that we are aware of </w:t>
      </w:r>
      <w:r w:rsidR="000B5E62" w:rsidRPr="00002C7A">
        <w:rPr>
          <w:lang w:val="en-GB"/>
        </w:rPr>
        <w:t xml:space="preserve">either </w:t>
      </w:r>
      <w:r w:rsidR="004841E8" w:rsidRPr="00002C7A">
        <w:rPr>
          <w:lang w:val="en-GB"/>
        </w:rPr>
        <w:t xml:space="preserve">use the bond yields of their country to </w:t>
      </w:r>
      <w:r w:rsidR="000B5E62" w:rsidRPr="00002C7A">
        <w:rPr>
          <w:lang w:val="en-GB"/>
        </w:rPr>
        <w:t xml:space="preserve">calculate the risk-free rate or, </w:t>
      </w:r>
      <w:r w:rsidR="00C033EC" w:rsidRPr="00002C7A">
        <w:rPr>
          <w:lang w:val="en-GB"/>
        </w:rPr>
        <w:t xml:space="preserve">exceptionally, use the risk-free rate of </w:t>
      </w:r>
      <w:r w:rsidR="00AB760C" w:rsidRPr="00002C7A">
        <w:rPr>
          <w:lang w:val="en-GB"/>
        </w:rPr>
        <w:t xml:space="preserve">a very low risk (AAA rated) </w:t>
      </w:r>
      <w:r w:rsidR="00C033EC" w:rsidRPr="00002C7A">
        <w:rPr>
          <w:lang w:val="en-GB"/>
        </w:rPr>
        <w:t>bond trading in the same currency, and then make an explicit adjustment for country risk based on the yields of their own bonds. The latter would not be a practical solution for G</w:t>
      </w:r>
      <w:r w:rsidR="00D57878" w:rsidRPr="00002C7A">
        <w:rPr>
          <w:lang w:val="en-GB"/>
        </w:rPr>
        <w:t>e</w:t>
      </w:r>
      <w:r w:rsidR="00C033EC" w:rsidRPr="00002C7A">
        <w:rPr>
          <w:lang w:val="en-GB"/>
        </w:rPr>
        <w:t xml:space="preserve">orgia as there are no other government bonds with a AAA </w:t>
      </w:r>
      <w:r w:rsidR="00AB760C" w:rsidRPr="00002C7A">
        <w:rPr>
          <w:lang w:val="en-GB"/>
        </w:rPr>
        <w:t>rating trading in GEL.</w:t>
      </w:r>
    </w:p>
    <w:p w14:paraId="12C46771" w14:textId="732760F1" w:rsidR="00A02FB3" w:rsidRDefault="00A02FB3" w:rsidP="00500B2F">
      <w:pPr>
        <w:pStyle w:val="Heading2"/>
        <w:jc w:val="both"/>
      </w:pPr>
      <w:bookmarkStart w:id="71" w:name="_Toc219739767"/>
      <w:bookmarkStart w:id="72" w:name="_Toc217060053"/>
      <w:r w:rsidRPr="00E86E52">
        <w:t>Averaging</w:t>
      </w:r>
      <w:r>
        <w:t xml:space="preserve"> Period</w:t>
      </w:r>
      <w:bookmarkEnd w:id="71"/>
      <w:bookmarkEnd w:id="72"/>
    </w:p>
    <w:p w14:paraId="092BCDAB" w14:textId="5B65807D" w:rsidR="000812CC" w:rsidRPr="00002C7A" w:rsidRDefault="00FB68A5" w:rsidP="00500B2F">
      <w:pPr>
        <w:pStyle w:val="ParagraphNumbered"/>
        <w:jc w:val="both"/>
        <w:rPr>
          <w:lang w:val="en-GB" w:eastAsia="en-US"/>
        </w:rPr>
      </w:pPr>
      <w:r w:rsidRPr="00002C7A">
        <w:rPr>
          <w:lang w:val="en-GB" w:eastAsia="en-US"/>
        </w:rPr>
        <w:t>A</w:t>
      </w:r>
      <w:r w:rsidR="008C220D" w:rsidRPr="00002C7A">
        <w:rPr>
          <w:lang w:val="en-GB" w:eastAsia="en-US"/>
        </w:rPr>
        <w:t xml:space="preserve"> second </w:t>
      </w:r>
      <w:r w:rsidRPr="00002C7A">
        <w:rPr>
          <w:lang w:val="en-GB" w:eastAsia="en-US"/>
        </w:rPr>
        <w:t xml:space="preserve">important aspect of the risk-free rate calculation is </w:t>
      </w:r>
      <w:r w:rsidR="00452AB6" w:rsidRPr="00002C7A">
        <w:rPr>
          <w:lang w:val="en-GB" w:eastAsia="en-US"/>
        </w:rPr>
        <w:t xml:space="preserve">the averaging period. </w:t>
      </w:r>
      <w:r w:rsidR="00C6357C" w:rsidRPr="00002C7A">
        <w:rPr>
          <w:lang w:val="en-GB" w:eastAsia="en-US"/>
        </w:rPr>
        <w:t>In the Brattle 2016 report for the European Commission</w:t>
      </w:r>
      <w:r w:rsidR="00D26958" w:rsidRPr="00002C7A">
        <w:rPr>
          <w:lang w:val="en-GB" w:eastAsia="en-US"/>
        </w:rPr>
        <w:t xml:space="preserve"> (“</w:t>
      </w:r>
      <w:r w:rsidR="00D03CA5" w:rsidRPr="00002C7A">
        <w:rPr>
          <w:lang w:val="en-GB" w:eastAsia="en-US"/>
        </w:rPr>
        <w:t>Brattle 2016 Report”)</w:t>
      </w:r>
      <w:r w:rsidR="00242F75" w:rsidRPr="00002C7A">
        <w:rPr>
          <w:lang w:val="en-GB" w:eastAsia="en-US"/>
        </w:rPr>
        <w:t>,</w:t>
      </w:r>
      <w:r w:rsidR="00C45A77" w:rsidRPr="00002C7A">
        <w:rPr>
          <w:rStyle w:val="FootnoteReference"/>
          <w:lang w:val="en-GB" w:eastAsia="en-US"/>
        </w:rPr>
        <w:footnoteReference w:id="17"/>
      </w:r>
      <w:r w:rsidR="00C6357C" w:rsidRPr="00002C7A">
        <w:rPr>
          <w:lang w:val="en-GB" w:eastAsia="en-US"/>
        </w:rPr>
        <w:t xml:space="preserve"> </w:t>
      </w:r>
      <w:r w:rsidR="00185ACD" w:rsidRPr="00002C7A">
        <w:rPr>
          <w:lang w:val="en-GB" w:eastAsia="en-US"/>
        </w:rPr>
        <w:t xml:space="preserve">Brattle </w:t>
      </w:r>
      <w:r w:rsidR="00C6357C" w:rsidRPr="00002C7A">
        <w:rPr>
          <w:lang w:val="en-GB" w:eastAsia="en-US"/>
        </w:rPr>
        <w:t>explained that</w:t>
      </w:r>
      <w:r w:rsidR="00AD4CAC" w:rsidRPr="00002C7A">
        <w:rPr>
          <w:lang w:val="en-GB" w:eastAsia="en-US"/>
        </w:rPr>
        <w:t xml:space="preserve"> </w:t>
      </w:r>
      <w:r w:rsidR="0094088B" w:rsidRPr="00002C7A">
        <w:rPr>
          <w:lang w:val="en-GB" w:eastAsia="en-US"/>
        </w:rPr>
        <w:t xml:space="preserve">the choice of the averaging period involves a trade-off. On the one </w:t>
      </w:r>
      <w:r w:rsidR="0077624B" w:rsidRPr="00002C7A">
        <w:rPr>
          <w:lang w:val="en-GB" w:eastAsia="en-US"/>
        </w:rPr>
        <w:t xml:space="preserve">hand, </w:t>
      </w:r>
      <w:r w:rsidR="00294B6D" w:rsidRPr="00002C7A">
        <w:rPr>
          <w:lang w:val="en-GB" w:eastAsia="en-US"/>
        </w:rPr>
        <w:t xml:space="preserve">current </w:t>
      </w:r>
      <w:r w:rsidR="00A91C1B" w:rsidRPr="00002C7A">
        <w:rPr>
          <w:lang w:val="en-GB" w:eastAsia="en-US"/>
        </w:rPr>
        <w:t>yields</w:t>
      </w:r>
      <w:r w:rsidR="001C33CF" w:rsidRPr="00002C7A">
        <w:rPr>
          <w:lang w:val="en-GB" w:eastAsia="en-US"/>
        </w:rPr>
        <w:t xml:space="preserve"> </w:t>
      </w:r>
      <w:r w:rsidR="007B3DAB" w:rsidRPr="00002C7A">
        <w:rPr>
          <w:lang w:val="en-GB" w:eastAsia="en-US"/>
        </w:rPr>
        <w:t xml:space="preserve">should </w:t>
      </w:r>
      <w:r w:rsidR="001C33CF" w:rsidRPr="00002C7A">
        <w:rPr>
          <w:lang w:val="en-GB" w:eastAsia="en-US"/>
        </w:rPr>
        <w:t>provide</w:t>
      </w:r>
      <w:r w:rsidR="00AD4CAC" w:rsidRPr="00002C7A">
        <w:rPr>
          <w:lang w:val="en-GB" w:eastAsia="en-US"/>
        </w:rPr>
        <w:t xml:space="preserve"> </w:t>
      </w:r>
      <w:r w:rsidR="00603DC0" w:rsidRPr="00002C7A">
        <w:rPr>
          <w:lang w:val="en-GB" w:eastAsia="en-US"/>
        </w:rPr>
        <w:t xml:space="preserve">the best prediction of the risk-free rate for the </w:t>
      </w:r>
      <w:r w:rsidR="009A71BC" w:rsidRPr="00002C7A">
        <w:rPr>
          <w:lang w:val="en-GB" w:eastAsia="en-US"/>
        </w:rPr>
        <w:t>next</w:t>
      </w:r>
      <w:r w:rsidR="00603DC0" w:rsidRPr="00002C7A">
        <w:rPr>
          <w:lang w:val="en-GB" w:eastAsia="en-US"/>
        </w:rPr>
        <w:t xml:space="preserve"> </w:t>
      </w:r>
      <w:r w:rsidR="00AD4CAC" w:rsidRPr="00002C7A">
        <w:rPr>
          <w:lang w:val="en-GB" w:eastAsia="en-US"/>
        </w:rPr>
        <w:t>regulatory period</w:t>
      </w:r>
      <w:r w:rsidR="00A91C1B" w:rsidRPr="00002C7A">
        <w:rPr>
          <w:lang w:val="en-GB" w:eastAsia="en-US"/>
        </w:rPr>
        <w:t>. This is</w:t>
      </w:r>
      <w:r w:rsidR="000B3B82" w:rsidRPr="00002C7A">
        <w:rPr>
          <w:lang w:val="en-GB" w:eastAsia="en-US"/>
        </w:rPr>
        <w:t xml:space="preserve"> </w:t>
      </w:r>
      <w:r w:rsidR="000B3B82" w:rsidRPr="00002C7A">
        <w:rPr>
          <w:lang w:val="en-GB" w:eastAsia="en-US"/>
        </w:rPr>
        <w:lastRenderedPageBreak/>
        <w:t>because they</w:t>
      </w:r>
      <w:r w:rsidR="00603DC0" w:rsidRPr="00002C7A">
        <w:rPr>
          <w:lang w:val="en-GB" w:eastAsia="en-US"/>
        </w:rPr>
        <w:t xml:space="preserve"> internalise all the latest information available to the market regarding future </w:t>
      </w:r>
      <w:r w:rsidR="00CE2FC8" w:rsidRPr="00002C7A">
        <w:rPr>
          <w:lang w:val="en-GB" w:eastAsia="en-US"/>
        </w:rPr>
        <w:t xml:space="preserve">interest </w:t>
      </w:r>
      <w:r w:rsidR="00603DC0" w:rsidRPr="00002C7A">
        <w:rPr>
          <w:lang w:val="en-GB" w:eastAsia="en-US"/>
        </w:rPr>
        <w:t>rates.</w:t>
      </w:r>
      <w:r w:rsidR="000B3B82" w:rsidRPr="00002C7A">
        <w:rPr>
          <w:lang w:val="en-GB" w:eastAsia="en-US"/>
        </w:rPr>
        <w:t xml:space="preserve"> On the other hand, </w:t>
      </w:r>
      <w:r w:rsidR="00EE15A9" w:rsidRPr="00002C7A">
        <w:rPr>
          <w:lang w:val="en-GB" w:eastAsia="en-US"/>
        </w:rPr>
        <w:t xml:space="preserve">using a longer-term averaging period </w:t>
      </w:r>
      <w:r w:rsidR="007B3DAB" w:rsidRPr="00002C7A">
        <w:rPr>
          <w:lang w:val="en-GB" w:eastAsia="en-US"/>
        </w:rPr>
        <w:t xml:space="preserve">is reasonable from a regulatory perspective, because </w:t>
      </w:r>
      <w:r w:rsidR="006F57E8" w:rsidRPr="00002C7A">
        <w:rPr>
          <w:lang w:val="en-GB" w:eastAsia="en-US"/>
        </w:rPr>
        <w:t xml:space="preserve">using </w:t>
      </w:r>
      <w:r w:rsidR="007838B1" w:rsidRPr="00002C7A">
        <w:rPr>
          <w:lang w:val="en-GB" w:eastAsia="en-US"/>
        </w:rPr>
        <w:t xml:space="preserve">the yield from </w:t>
      </w:r>
      <w:r w:rsidR="006F57E8" w:rsidRPr="00002C7A">
        <w:rPr>
          <w:lang w:val="en-GB" w:eastAsia="en-US"/>
        </w:rPr>
        <w:t xml:space="preserve">a </w:t>
      </w:r>
      <w:r w:rsidR="007838B1" w:rsidRPr="00002C7A">
        <w:rPr>
          <w:lang w:val="en-GB" w:eastAsia="en-US"/>
        </w:rPr>
        <w:t>single day</w:t>
      </w:r>
      <w:r w:rsidR="006F57E8" w:rsidRPr="00002C7A">
        <w:rPr>
          <w:lang w:val="en-GB" w:eastAsia="en-US"/>
        </w:rPr>
        <w:t xml:space="preserve"> would inevitably </w:t>
      </w:r>
      <w:r w:rsidR="007838B1" w:rsidRPr="00002C7A">
        <w:rPr>
          <w:lang w:val="en-GB" w:eastAsia="en-US"/>
        </w:rPr>
        <w:t xml:space="preserve">introduce </w:t>
      </w:r>
      <w:r w:rsidR="007B3DAB" w:rsidRPr="00002C7A">
        <w:rPr>
          <w:lang w:val="en-GB" w:eastAsia="en-US"/>
        </w:rPr>
        <w:t xml:space="preserve">‘randomness’ and volatility into the WACC decision. This is because it is perfectly possible that the yield could be 20 basis points higher a week later, so that the exact timing of the WACC decision could strongly influence the risk-free rate and hence the WACC. </w:t>
      </w:r>
      <w:r w:rsidR="001E0EE8" w:rsidRPr="00002C7A">
        <w:rPr>
          <w:lang w:val="en-GB" w:eastAsia="en-US"/>
        </w:rPr>
        <w:t>In contrast, use of a longer-term average would increase stability and predict</w:t>
      </w:r>
      <w:r w:rsidR="00B67724" w:rsidRPr="00002C7A">
        <w:rPr>
          <w:lang w:val="en-GB" w:eastAsia="en-US"/>
        </w:rPr>
        <w:t xml:space="preserve">ability of the risk-free rate parameter, which are </w:t>
      </w:r>
      <w:r w:rsidR="007B3DAB" w:rsidRPr="00002C7A">
        <w:rPr>
          <w:lang w:val="en-GB" w:eastAsia="en-US"/>
        </w:rPr>
        <w:t>desirable from</w:t>
      </w:r>
      <w:r w:rsidR="00D26958" w:rsidRPr="00002C7A">
        <w:rPr>
          <w:lang w:val="en-GB" w:eastAsia="en-US"/>
        </w:rPr>
        <w:t xml:space="preserve"> a regulatory perspective. </w:t>
      </w:r>
    </w:p>
    <w:p w14:paraId="0AF54049" w14:textId="7749B906" w:rsidR="009146EE" w:rsidRPr="00002C7A" w:rsidRDefault="004F4382" w:rsidP="00500B2F">
      <w:pPr>
        <w:pStyle w:val="ParagraphNumbered"/>
        <w:jc w:val="both"/>
        <w:rPr>
          <w:lang w:val="en-GB" w:eastAsia="en-US"/>
        </w:rPr>
      </w:pPr>
      <w:r w:rsidRPr="00002C7A">
        <w:rPr>
          <w:lang w:val="en-GB" w:eastAsia="en-US"/>
        </w:rPr>
        <w:t xml:space="preserve">On balance, in the Brattle 2016 </w:t>
      </w:r>
      <w:r w:rsidR="004B711A" w:rsidRPr="00002C7A">
        <w:rPr>
          <w:lang w:val="en-GB" w:eastAsia="en-US"/>
        </w:rPr>
        <w:t>R</w:t>
      </w:r>
      <w:r w:rsidRPr="00002C7A">
        <w:rPr>
          <w:lang w:val="en-GB" w:eastAsia="en-US"/>
        </w:rPr>
        <w:t>eport we</w:t>
      </w:r>
      <w:r w:rsidR="004B711A" w:rsidRPr="00002C7A">
        <w:rPr>
          <w:lang w:val="en-GB" w:eastAsia="en-US"/>
        </w:rPr>
        <w:t xml:space="preserve"> </w:t>
      </w:r>
      <w:r w:rsidR="004D59F3" w:rsidRPr="00002C7A">
        <w:rPr>
          <w:lang w:val="en-GB" w:eastAsia="en-US"/>
        </w:rPr>
        <w:t>recommended using an averag</w:t>
      </w:r>
      <w:r w:rsidR="004B711A" w:rsidRPr="00002C7A">
        <w:rPr>
          <w:lang w:val="en-GB" w:eastAsia="en-US"/>
        </w:rPr>
        <w:t xml:space="preserve">ing </w:t>
      </w:r>
      <w:r w:rsidR="004D59F3" w:rsidRPr="00002C7A">
        <w:rPr>
          <w:lang w:val="en-GB" w:eastAsia="en-US"/>
        </w:rPr>
        <w:t xml:space="preserve">period of </w:t>
      </w:r>
      <w:r w:rsidR="004B711A" w:rsidRPr="00002C7A">
        <w:rPr>
          <w:lang w:val="en-GB" w:eastAsia="en-US"/>
        </w:rPr>
        <w:t>one-year</w:t>
      </w:r>
      <w:r w:rsidR="007F268D" w:rsidRPr="00002C7A">
        <w:rPr>
          <w:lang w:val="en-GB" w:eastAsia="en-US"/>
        </w:rPr>
        <w:t>. A one-year averaging period</w:t>
      </w:r>
      <w:r w:rsidR="000812CC" w:rsidRPr="00002C7A">
        <w:rPr>
          <w:lang w:val="en-GB" w:eastAsia="en-US"/>
        </w:rPr>
        <w:t xml:space="preserve"> </w:t>
      </w:r>
      <w:r w:rsidR="00BC3197" w:rsidRPr="00002C7A">
        <w:rPr>
          <w:lang w:val="en-GB" w:eastAsia="en-US"/>
        </w:rPr>
        <w:t>significantly reduce</w:t>
      </w:r>
      <w:r w:rsidR="007F268D" w:rsidRPr="00002C7A">
        <w:rPr>
          <w:lang w:val="en-GB" w:eastAsia="en-US"/>
        </w:rPr>
        <w:t>s</w:t>
      </w:r>
      <w:r w:rsidR="00BC3197" w:rsidRPr="00002C7A">
        <w:rPr>
          <w:lang w:val="en-GB" w:eastAsia="en-US"/>
        </w:rPr>
        <w:t xml:space="preserve"> the volatility of the estimate</w:t>
      </w:r>
      <w:r w:rsidR="004D59F3" w:rsidRPr="00002C7A">
        <w:rPr>
          <w:lang w:val="en-GB" w:eastAsia="en-US"/>
        </w:rPr>
        <w:t xml:space="preserve"> </w:t>
      </w:r>
      <w:r w:rsidR="000812CC" w:rsidRPr="00002C7A">
        <w:rPr>
          <w:lang w:val="en-GB" w:eastAsia="en-US"/>
        </w:rPr>
        <w:t xml:space="preserve">relative to a spot yield </w:t>
      </w:r>
      <w:r w:rsidR="004D59F3" w:rsidRPr="00002C7A">
        <w:rPr>
          <w:lang w:val="en-GB" w:eastAsia="en-US"/>
        </w:rPr>
        <w:t xml:space="preserve">while at the same time </w:t>
      </w:r>
      <w:r w:rsidR="009568FC" w:rsidRPr="00002C7A">
        <w:rPr>
          <w:lang w:val="en-GB" w:eastAsia="en-US"/>
        </w:rPr>
        <w:t>reducing the use of</w:t>
      </w:r>
      <w:r w:rsidR="000812CC" w:rsidRPr="00002C7A">
        <w:rPr>
          <w:lang w:val="en-GB" w:eastAsia="en-US"/>
        </w:rPr>
        <w:t xml:space="preserve"> old information that is no longer relevant</w:t>
      </w:r>
      <w:r w:rsidR="009568FC" w:rsidRPr="00002C7A">
        <w:rPr>
          <w:lang w:val="en-GB" w:eastAsia="en-US"/>
        </w:rPr>
        <w:t xml:space="preserve"> to the upcoming regulatory period</w:t>
      </w:r>
      <w:r w:rsidR="000812CC" w:rsidRPr="00002C7A">
        <w:rPr>
          <w:lang w:val="en-GB" w:eastAsia="en-US"/>
        </w:rPr>
        <w:t xml:space="preserve">. </w:t>
      </w:r>
      <w:r w:rsidR="00F352A6" w:rsidRPr="00002C7A">
        <w:rPr>
          <w:lang w:val="en-GB" w:eastAsia="en-US"/>
        </w:rPr>
        <w:t xml:space="preserve">This was the method applied </w:t>
      </w:r>
      <w:r w:rsidR="009146EE" w:rsidRPr="00002C7A">
        <w:rPr>
          <w:lang w:val="en-GB" w:eastAsia="en-US"/>
        </w:rPr>
        <w:t>by ComCom in its latest WACC decision, and w</w:t>
      </w:r>
      <w:r w:rsidR="00475D95" w:rsidRPr="00002C7A">
        <w:rPr>
          <w:lang w:val="en-GB" w:eastAsia="en-US"/>
        </w:rPr>
        <w:t xml:space="preserve">e recommend </w:t>
      </w:r>
      <w:r w:rsidR="009146EE" w:rsidRPr="00002C7A">
        <w:rPr>
          <w:lang w:val="en-GB" w:eastAsia="en-US"/>
        </w:rPr>
        <w:t>using it again for the next regulatory period.</w:t>
      </w:r>
    </w:p>
    <w:p w14:paraId="1E4DA653" w14:textId="42734D23" w:rsidR="00220E84" w:rsidRPr="00002C7A" w:rsidRDefault="007D4833" w:rsidP="00500B2F">
      <w:pPr>
        <w:pStyle w:val="ParagraphNumbered"/>
        <w:jc w:val="both"/>
        <w:rPr>
          <w:lang w:val="en-GB" w:eastAsia="en-US"/>
        </w:rPr>
      </w:pPr>
      <w:r w:rsidRPr="00002C7A">
        <w:rPr>
          <w:lang w:val="en-GB" w:eastAsia="en-US"/>
        </w:rPr>
        <w:t>We note that the use of a one</w:t>
      </w:r>
      <w:r w:rsidR="004B1C36" w:rsidRPr="00002C7A">
        <w:rPr>
          <w:lang w:val="en-GB" w:eastAsia="en-US"/>
        </w:rPr>
        <w:t>-</w:t>
      </w:r>
      <w:r w:rsidRPr="00002C7A">
        <w:rPr>
          <w:lang w:val="en-GB" w:eastAsia="en-US"/>
        </w:rPr>
        <w:t>year average is inconsistent with the indications of the EC Guidelines, which suggest using a five</w:t>
      </w:r>
      <w:r w:rsidR="00995BBB" w:rsidRPr="00002C7A">
        <w:rPr>
          <w:lang w:val="en-GB" w:eastAsia="en-US"/>
        </w:rPr>
        <w:t>-</w:t>
      </w:r>
      <w:r w:rsidRPr="00002C7A">
        <w:rPr>
          <w:lang w:val="en-GB" w:eastAsia="en-US"/>
        </w:rPr>
        <w:t>year</w:t>
      </w:r>
      <w:r w:rsidR="00D3635D" w:rsidRPr="00002C7A">
        <w:rPr>
          <w:lang w:val="en-GB" w:eastAsia="en-US"/>
        </w:rPr>
        <w:t>-</w:t>
      </w:r>
      <w:r w:rsidRPr="00002C7A">
        <w:rPr>
          <w:lang w:val="en-GB" w:eastAsia="en-US"/>
        </w:rPr>
        <w:t>averaging with an annual update</w:t>
      </w:r>
      <w:r w:rsidR="00D3635D" w:rsidRPr="00002C7A">
        <w:rPr>
          <w:lang w:val="en-GB" w:eastAsia="en-US"/>
        </w:rPr>
        <w:t xml:space="preserve"> for consistency with the calculation of the other WACC parameters</w:t>
      </w:r>
      <w:r w:rsidR="00150881" w:rsidRPr="00002C7A">
        <w:rPr>
          <w:lang w:val="en-GB" w:eastAsia="en-US"/>
        </w:rPr>
        <w:t>, notably the beta</w:t>
      </w:r>
      <w:r w:rsidR="00B001C9" w:rsidRPr="00002C7A">
        <w:rPr>
          <w:lang w:val="en-GB" w:eastAsia="en-US"/>
        </w:rPr>
        <w:t xml:space="preserve"> estimate</w:t>
      </w:r>
      <w:r w:rsidR="00D3635D" w:rsidRPr="00002C7A">
        <w:rPr>
          <w:lang w:val="en-GB" w:eastAsia="en-US"/>
        </w:rPr>
        <w:t xml:space="preserve">. However, </w:t>
      </w:r>
      <w:r w:rsidR="00DB7328" w:rsidRPr="00002C7A">
        <w:rPr>
          <w:lang w:val="en-GB" w:eastAsia="en-US"/>
        </w:rPr>
        <w:t xml:space="preserve">there are </w:t>
      </w:r>
      <w:r w:rsidR="00220E84" w:rsidRPr="00002C7A">
        <w:rPr>
          <w:lang w:val="en-GB" w:eastAsia="en-US"/>
        </w:rPr>
        <w:t xml:space="preserve">at least </w:t>
      </w:r>
      <w:r w:rsidR="002A13A2" w:rsidRPr="00002C7A">
        <w:rPr>
          <w:lang w:val="en-GB" w:eastAsia="en-US"/>
        </w:rPr>
        <w:t xml:space="preserve">two </w:t>
      </w:r>
      <w:r w:rsidR="00DB7328" w:rsidRPr="00002C7A">
        <w:rPr>
          <w:lang w:val="en-GB" w:eastAsia="en-US"/>
        </w:rPr>
        <w:t xml:space="preserve">reasons why </w:t>
      </w:r>
      <w:r w:rsidR="00230254" w:rsidRPr="00002C7A">
        <w:rPr>
          <w:lang w:val="en-GB" w:eastAsia="en-US"/>
        </w:rPr>
        <w:t>a five-year averaging is not appropriate for calculating the WACC of telecoms services in Georgia</w:t>
      </w:r>
      <w:r w:rsidR="00220E84" w:rsidRPr="00002C7A">
        <w:rPr>
          <w:lang w:val="en-GB" w:eastAsia="en-US"/>
        </w:rPr>
        <w:t>:</w:t>
      </w:r>
      <w:r w:rsidR="00E7268A" w:rsidRPr="00002C7A">
        <w:rPr>
          <w:lang w:val="en-GB" w:eastAsia="en-US"/>
        </w:rPr>
        <w:t xml:space="preserve"> </w:t>
      </w:r>
    </w:p>
    <w:p w14:paraId="5C7B59EF" w14:textId="711EB1FA" w:rsidR="00150881" w:rsidRPr="00002C7A" w:rsidRDefault="00E7268A" w:rsidP="00500B2F">
      <w:pPr>
        <w:pStyle w:val="ParagraphNumbered2"/>
        <w:jc w:val="both"/>
        <w:rPr>
          <w:lang w:val="en-GB" w:eastAsia="en-US"/>
        </w:rPr>
      </w:pPr>
      <w:r w:rsidRPr="00002C7A">
        <w:rPr>
          <w:i/>
          <w:lang w:val="en-GB" w:eastAsia="en-US"/>
        </w:rPr>
        <w:t>First</w:t>
      </w:r>
      <w:r w:rsidRPr="00002C7A">
        <w:rPr>
          <w:lang w:val="en-GB" w:eastAsia="en-US"/>
        </w:rPr>
        <w:t xml:space="preserve">, there is no need to </w:t>
      </w:r>
      <w:r w:rsidR="00131C22" w:rsidRPr="00002C7A">
        <w:rPr>
          <w:lang w:val="en-GB" w:eastAsia="en-US"/>
        </w:rPr>
        <w:t>select an averaging period for the risk-free rate that is consistent with the averaging period of other parameters</w:t>
      </w:r>
      <w:r w:rsidR="00AE073C" w:rsidRPr="00002C7A">
        <w:rPr>
          <w:lang w:val="en-GB" w:eastAsia="en-US"/>
        </w:rPr>
        <w:t xml:space="preserve"> such as beta. </w:t>
      </w:r>
      <w:r w:rsidR="00AC2D92" w:rsidRPr="00002C7A">
        <w:rPr>
          <w:lang w:val="en-GB" w:eastAsia="en-US"/>
        </w:rPr>
        <w:t>As explained above, t</w:t>
      </w:r>
      <w:r w:rsidR="00AE073C" w:rsidRPr="00002C7A">
        <w:rPr>
          <w:lang w:val="en-GB" w:eastAsia="en-US"/>
        </w:rPr>
        <w:t xml:space="preserve">his is because </w:t>
      </w:r>
      <w:r w:rsidR="00111461" w:rsidRPr="00002C7A">
        <w:rPr>
          <w:lang w:val="en-GB" w:eastAsia="en-US"/>
        </w:rPr>
        <w:t>there is no basis to think that the average of the risk-free rate o</w:t>
      </w:r>
      <w:r w:rsidR="00726134" w:rsidRPr="00002C7A">
        <w:rPr>
          <w:lang w:val="en-GB" w:eastAsia="en-US"/>
        </w:rPr>
        <w:t>f</w:t>
      </w:r>
      <w:r w:rsidR="00111461" w:rsidRPr="00002C7A">
        <w:rPr>
          <w:lang w:val="en-GB" w:eastAsia="en-US"/>
        </w:rPr>
        <w:t xml:space="preserve"> the last five years will be the best predictor of the risk-free rate for the next regulatory period</w:t>
      </w:r>
      <w:r w:rsidR="00150881" w:rsidRPr="00002C7A">
        <w:rPr>
          <w:lang w:val="en-GB" w:eastAsia="en-US"/>
        </w:rPr>
        <w:t>. All thi</w:t>
      </w:r>
      <w:r w:rsidR="00C26B9A" w:rsidRPr="00002C7A">
        <w:rPr>
          <w:lang w:val="en-GB" w:eastAsia="en-US"/>
        </w:rPr>
        <w:t>n</w:t>
      </w:r>
      <w:r w:rsidR="00150881" w:rsidRPr="00002C7A">
        <w:rPr>
          <w:lang w:val="en-GB" w:eastAsia="en-US"/>
        </w:rPr>
        <w:t>gs equal, t</w:t>
      </w:r>
      <w:r w:rsidR="00E62A6E" w:rsidRPr="00002C7A">
        <w:rPr>
          <w:lang w:val="en-GB" w:eastAsia="en-US"/>
        </w:rPr>
        <w:t xml:space="preserve">he best predictor of the future risk-free rate is the current yield. </w:t>
      </w:r>
    </w:p>
    <w:p w14:paraId="0E70F1A4" w14:textId="44E92AA9" w:rsidR="00131C22" w:rsidRPr="00002C7A" w:rsidRDefault="002353C3" w:rsidP="00500B2F">
      <w:pPr>
        <w:pStyle w:val="ParagraphNumbered2"/>
        <w:jc w:val="both"/>
        <w:rPr>
          <w:lang w:val="en-GB" w:eastAsia="en-US"/>
        </w:rPr>
      </w:pPr>
      <w:r w:rsidRPr="00002C7A">
        <w:rPr>
          <w:i/>
          <w:lang w:val="en-GB" w:eastAsia="en-US"/>
        </w:rPr>
        <w:t>Second</w:t>
      </w:r>
      <w:r w:rsidR="002C0C73" w:rsidRPr="00002C7A">
        <w:rPr>
          <w:lang w:val="en-GB" w:eastAsia="en-US"/>
        </w:rPr>
        <w:t xml:space="preserve">, </w:t>
      </w:r>
      <w:r w:rsidR="00125ACB" w:rsidRPr="00002C7A">
        <w:rPr>
          <w:lang w:val="en-GB" w:eastAsia="en-US"/>
        </w:rPr>
        <w:t>many European regulators</w:t>
      </w:r>
      <w:r w:rsidR="002C0C73" w:rsidRPr="00002C7A">
        <w:rPr>
          <w:lang w:val="en-GB" w:eastAsia="en-US"/>
        </w:rPr>
        <w:t xml:space="preserve"> </w:t>
      </w:r>
      <w:r w:rsidR="00932C15" w:rsidRPr="00002C7A">
        <w:rPr>
          <w:lang w:val="en-GB" w:eastAsia="en-US"/>
        </w:rPr>
        <w:t xml:space="preserve">have </w:t>
      </w:r>
      <w:r w:rsidR="00A073FC" w:rsidRPr="00002C7A">
        <w:rPr>
          <w:lang w:val="en-GB" w:eastAsia="en-US"/>
        </w:rPr>
        <w:t xml:space="preserve">departed from </w:t>
      </w:r>
      <w:r w:rsidR="001D1247" w:rsidRPr="00002C7A">
        <w:rPr>
          <w:lang w:val="en-GB" w:eastAsia="en-US"/>
        </w:rPr>
        <w:t xml:space="preserve">the EC Guidelines </w:t>
      </w:r>
      <w:r w:rsidR="00076297" w:rsidRPr="00002C7A">
        <w:rPr>
          <w:lang w:val="en-GB" w:eastAsia="en-US"/>
        </w:rPr>
        <w:t xml:space="preserve">because the use of a five-year averaging period </w:t>
      </w:r>
      <w:r w:rsidR="00AF402D" w:rsidRPr="00002C7A">
        <w:rPr>
          <w:lang w:val="en-GB" w:eastAsia="en-US"/>
        </w:rPr>
        <w:t>generated</w:t>
      </w:r>
      <w:r w:rsidR="00CC5114" w:rsidRPr="00002C7A">
        <w:rPr>
          <w:lang w:val="en-GB" w:eastAsia="en-US"/>
        </w:rPr>
        <w:t xml:space="preserve"> unreasonable results</w:t>
      </w:r>
      <w:r w:rsidR="00D76A1B" w:rsidRPr="00002C7A">
        <w:rPr>
          <w:lang w:val="en-GB" w:eastAsia="en-US"/>
        </w:rPr>
        <w:t xml:space="preserve"> when the Quantitative Easing (QE) programs were ended</w:t>
      </w:r>
      <w:r w:rsidR="0046615B" w:rsidRPr="00002C7A">
        <w:rPr>
          <w:lang w:val="en-GB" w:eastAsia="en-US"/>
        </w:rPr>
        <w:t xml:space="preserve">. QE </w:t>
      </w:r>
      <w:r w:rsidR="00BF3A16" w:rsidRPr="00002C7A">
        <w:rPr>
          <w:lang w:val="en-GB" w:eastAsia="en-US"/>
        </w:rPr>
        <w:t>programs</w:t>
      </w:r>
      <w:r w:rsidR="00156864" w:rsidRPr="00002C7A">
        <w:rPr>
          <w:lang w:val="en-GB" w:eastAsia="en-US"/>
        </w:rPr>
        <w:t xml:space="preserve"> had depressed interest rates historically, but it was clear that </w:t>
      </w:r>
      <w:r w:rsidR="0046615B" w:rsidRPr="00002C7A">
        <w:rPr>
          <w:lang w:val="en-GB" w:eastAsia="en-US"/>
        </w:rPr>
        <w:t>the ending of QE programs would cause interest rates to rise again</w:t>
      </w:r>
      <w:r w:rsidR="000F3C71" w:rsidRPr="00002C7A">
        <w:rPr>
          <w:lang w:val="en-GB" w:eastAsia="en-US"/>
        </w:rPr>
        <w:t>.</w:t>
      </w:r>
      <w:r w:rsidR="000F3C71" w:rsidRPr="00002C7A">
        <w:rPr>
          <w:rStyle w:val="FootnoteReference"/>
          <w:lang w:val="en-GB" w:eastAsia="en-US"/>
        </w:rPr>
        <w:footnoteReference w:id="18"/>
      </w:r>
      <w:r w:rsidR="0046615B" w:rsidRPr="00002C7A">
        <w:rPr>
          <w:lang w:val="en-GB" w:eastAsia="en-US"/>
        </w:rPr>
        <w:t xml:space="preserve"> </w:t>
      </w:r>
      <w:r w:rsidR="00115F61" w:rsidRPr="00002C7A">
        <w:rPr>
          <w:lang w:val="en-GB" w:eastAsia="en-US"/>
        </w:rPr>
        <w:t>While Georgia has never implemented a QE policy, the</w:t>
      </w:r>
      <w:r w:rsidR="0046615B" w:rsidRPr="00002C7A">
        <w:rPr>
          <w:lang w:val="en-GB" w:eastAsia="en-US"/>
        </w:rPr>
        <w:t xml:space="preserve"> </w:t>
      </w:r>
      <w:r w:rsidR="005E02C5" w:rsidRPr="00002C7A">
        <w:rPr>
          <w:lang w:val="en-GB" w:eastAsia="en-US"/>
        </w:rPr>
        <w:t xml:space="preserve">example illustrates how </w:t>
      </w:r>
      <w:r w:rsidR="0095603A" w:rsidRPr="00002C7A">
        <w:rPr>
          <w:lang w:val="en-GB" w:eastAsia="en-US"/>
        </w:rPr>
        <w:t xml:space="preserve">structural </w:t>
      </w:r>
      <w:r w:rsidR="00830B98" w:rsidRPr="00002C7A">
        <w:rPr>
          <w:lang w:val="en-GB" w:eastAsia="en-US"/>
        </w:rPr>
        <w:t>changes in monetary policy</w:t>
      </w:r>
      <w:r w:rsidR="0095603A" w:rsidRPr="00002C7A">
        <w:rPr>
          <w:lang w:val="en-GB" w:eastAsia="en-US"/>
        </w:rPr>
        <w:t xml:space="preserve"> and hence interest rates can mean that </w:t>
      </w:r>
      <w:r w:rsidR="0025153A" w:rsidRPr="00002C7A">
        <w:rPr>
          <w:lang w:val="en-GB" w:eastAsia="en-US"/>
        </w:rPr>
        <w:t xml:space="preserve">recent interest rates will not be a good predictor of future rates. </w:t>
      </w:r>
      <w:r w:rsidR="0046615B" w:rsidRPr="00002C7A">
        <w:rPr>
          <w:lang w:val="en-GB" w:eastAsia="en-US"/>
        </w:rPr>
        <w:t xml:space="preserve">Hence, using a five-year average included low interest rates that were clearly not relevant to </w:t>
      </w:r>
      <w:r w:rsidR="00015066" w:rsidRPr="00002C7A">
        <w:rPr>
          <w:lang w:val="en-GB" w:eastAsia="en-US"/>
        </w:rPr>
        <w:t xml:space="preserve">future regulatory period. Using a one-year averaging period avoided this issue. </w:t>
      </w:r>
    </w:p>
    <w:p w14:paraId="392993B4" w14:textId="77777777" w:rsidR="005E475E" w:rsidRDefault="00F12313" w:rsidP="00500B2F">
      <w:pPr>
        <w:pStyle w:val="Heading2"/>
        <w:jc w:val="both"/>
      </w:pPr>
      <w:bookmarkStart w:id="73" w:name="_Toc219739768"/>
      <w:bookmarkStart w:id="74" w:name="_Toc217060054"/>
      <w:bookmarkEnd w:id="67"/>
      <w:bookmarkEnd w:id="68"/>
      <w:r w:rsidRPr="008C14A2">
        <w:lastRenderedPageBreak/>
        <w:t>Maturity of the Bon</w:t>
      </w:r>
      <w:r w:rsidR="005E475E">
        <w:t>d</w:t>
      </w:r>
      <w:bookmarkEnd w:id="73"/>
      <w:bookmarkEnd w:id="74"/>
    </w:p>
    <w:p w14:paraId="0B142D0C" w14:textId="2F58A0E3" w:rsidR="005E475E" w:rsidRPr="00002C7A" w:rsidRDefault="00013FBC" w:rsidP="00500B2F">
      <w:pPr>
        <w:pStyle w:val="ParagraphNumbered"/>
        <w:jc w:val="both"/>
        <w:rPr>
          <w:lang w:val="en-GB"/>
        </w:rPr>
      </w:pPr>
      <w:r w:rsidRPr="00002C7A">
        <w:rPr>
          <w:lang w:val="en-GB"/>
        </w:rPr>
        <w:t>T</w:t>
      </w:r>
      <w:r w:rsidR="005E475E" w:rsidRPr="00002C7A">
        <w:rPr>
          <w:lang w:val="en-GB"/>
        </w:rPr>
        <w:t>he CAPM requires the expected return on a risk-free asset. This would suggest calculating the risk-free rate using a short-term bond, because only a short-term bond is truly risk-free. In practice, however, empirical tests show that the CAPM with a short-term risk-free rate has a risk-return (market) line that is ‘too steep’. This means that the CAPM will under predict the return needed for low beta stocks and overestimate the return needed for high beta stocks. Accordingly, regulators generally calculate the risk-free rate using long-term bonds – either 10-year or 20-year bonds</w:t>
      </w:r>
      <w:r w:rsidR="004B46E2" w:rsidRPr="00002C7A">
        <w:rPr>
          <w:lang w:val="en-GB"/>
        </w:rPr>
        <w:t xml:space="preserve">. The effect of using the long-term bonds is to ‘pivot’ the risk-return line, </w:t>
      </w:r>
      <w:r w:rsidR="00FD1CE6" w:rsidRPr="00002C7A">
        <w:rPr>
          <w:lang w:val="en-GB"/>
        </w:rPr>
        <w:t xml:space="preserve">giving it a higher intercept and a flatter slope. This </w:t>
      </w:r>
      <w:r w:rsidR="00FD710D" w:rsidRPr="00002C7A">
        <w:rPr>
          <w:lang w:val="en-GB"/>
        </w:rPr>
        <w:t>generate</w:t>
      </w:r>
      <w:r w:rsidR="00FD1CE6" w:rsidRPr="00002C7A">
        <w:rPr>
          <w:lang w:val="en-GB"/>
        </w:rPr>
        <w:t>s</w:t>
      </w:r>
      <w:r w:rsidR="005E475E" w:rsidRPr="00002C7A">
        <w:rPr>
          <w:lang w:val="en-GB"/>
        </w:rPr>
        <w:t xml:space="preserve"> results that better correspond to the empirical tests.</w:t>
      </w:r>
      <w:r w:rsidR="005E475E" w:rsidRPr="00002C7A">
        <w:rPr>
          <w:rStyle w:val="FootnoteReference"/>
          <w:lang w:val="en-GB"/>
        </w:rPr>
        <w:footnoteReference w:id="19"/>
      </w:r>
    </w:p>
    <w:p w14:paraId="7B8DE463" w14:textId="7C52C733" w:rsidR="00B52C10" w:rsidRDefault="00B52C10" w:rsidP="00500B2F">
      <w:pPr>
        <w:pStyle w:val="Caption"/>
        <w:jc w:val="both"/>
      </w:pPr>
      <w:bookmarkStart w:id="75" w:name="_Toc219739811"/>
      <w:bookmarkStart w:id="76" w:name="_Toc217060094"/>
      <w:r>
        <w:t xml:space="preserve">Figure </w:t>
      </w:r>
      <w:fldSimple w:instr=" SEQ Figure \* ARABIC ">
        <w:r w:rsidR="007F093A">
          <w:rPr>
            <w:noProof/>
          </w:rPr>
          <w:t>1</w:t>
        </w:r>
      </w:fldSimple>
      <w:r>
        <w:t>: The empirical security market line</w:t>
      </w:r>
      <w:bookmarkEnd w:id="75"/>
      <w:bookmarkEnd w:id="76"/>
    </w:p>
    <w:p w14:paraId="5DDBAF89" w14:textId="24B3C99B" w:rsidR="00955FDE" w:rsidRDefault="00F705F0" w:rsidP="00500B2F">
      <w:pPr>
        <w:pStyle w:val="Figure"/>
        <w:jc w:val="both"/>
      </w:pPr>
      <w:r w:rsidRPr="00E86E52">
        <w:drawing>
          <wp:inline distT="0" distB="0" distL="0" distR="0" wp14:anchorId="204A08F7" wp14:editId="5346B469">
            <wp:extent cx="4430815" cy="3102015"/>
            <wp:effectExtent l="0" t="0" r="8255" b="3175"/>
            <wp:docPr id="2106517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7668" cy="3106813"/>
                    </a:xfrm>
                    <a:prstGeom prst="rect">
                      <a:avLst/>
                    </a:prstGeom>
                    <a:noFill/>
                    <a:ln>
                      <a:noFill/>
                    </a:ln>
                  </pic:spPr>
                </pic:pic>
              </a:graphicData>
            </a:graphic>
          </wp:inline>
        </w:drawing>
      </w:r>
    </w:p>
    <w:p w14:paraId="2A68CE86" w14:textId="405508A4" w:rsidR="001822F4" w:rsidRPr="00002C7A" w:rsidRDefault="005E475E" w:rsidP="00500B2F">
      <w:pPr>
        <w:pStyle w:val="ParagraphNumbered"/>
        <w:jc w:val="both"/>
        <w:rPr>
          <w:lang w:val="en-GB"/>
        </w:rPr>
      </w:pPr>
      <w:r w:rsidRPr="00002C7A">
        <w:rPr>
          <w:lang w:val="en-GB"/>
        </w:rPr>
        <w:t xml:space="preserve">In general, government bond yields typically increase with maturity: a 20-year bond generally has a higher yield than a 10-year bond. </w:t>
      </w:r>
      <w:r w:rsidR="00E93B41" w:rsidRPr="00002C7A">
        <w:rPr>
          <w:lang w:val="en-GB"/>
        </w:rPr>
        <w:t>The reason is that long-term bonds have more inflation risk, for which investors need to be compensated with a higher yield.</w:t>
      </w:r>
      <w:r w:rsidR="00E93B41" w:rsidRPr="00002C7A">
        <w:rPr>
          <w:rStyle w:val="FootnoteReference"/>
          <w:lang w:val="en-GB"/>
        </w:rPr>
        <w:footnoteReference w:id="20"/>
      </w:r>
      <w:r w:rsidR="00E93B41" w:rsidRPr="00002C7A">
        <w:rPr>
          <w:lang w:val="en-GB"/>
        </w:rPr>
        <w:t xml:space="preserve"> </w:t>
      </w:r>
      <w:r w:rsidR="004324AC" w:rsidRPr="00002C7A">
        <w:rPr>
          <w:lang w:val="en-GB"/>
        </w:rPr>
        <w:t xml:space="preserve">The </w:t>
      </w:r>
      <w:r w:rsidR="00AE2D90" w:rsidRPr="00002C7A">
        <w:rPr>
          <w:lang w:val="en-GB"/>
        </w:rPr>
        <w:t xml:space="preserve">additional yield associated with the longer </w:t>
      </w:r>
      <w:r w:rsidR="00845C77" w:rsidRPr="00002C7A">
        <w:rPr>
          <w:lang w:val="en-GB"/>
        </w:rPr>
        <w:t xml:space="preserve">term </w:t>
      </w:r>
      <w:r w:rsidR="005E08D3" w:rsidRPr="00002C7A">
        <w:rPr>
          <w:lang w:val="en-GB"/>
        </w:rPr>
        <w:t>of a bond is referred to as a ‘</w:t>
      </w:r>
      <w:r w:rsidR="00845C77" w:rsidRPr="00002C7A">
        <w:rPr>
          <w:lang w:val="en-GB"/>
        </w:rPr>
        <w:t>term premium</w:t>
      </w:r>
      <w:r w:rsidR="005E08D3" w:rsidRPr="00002C7A">
        <w:rPr>
          <w:lang w:val="en-GB"/>
        </w:rPr>
        <w:t>’.</w:t>
      </w:r>
    </w:p>
    <w:p w14:paraId="2010D1DE" w14:textId="34F06158" w:rsidR="005E475E" w:rsidRPr="00002C7A" w:rsidRDefault="00DA084C" w:rsidP="00500B2F">
      <w:pPr>
        <w:pStyle w:val="ParagraphNumbered"/>
        <w:jc w:val="both"/>
        <w:rPr>
          <w:lang w:val="en-GB"/>
        </w:rPr>
      </w:pPr>
      <w:r w:rsidRPr="00002C7A">
        <w:rPr>
          <w:lang w:val="en-GB"/>
        </w:rPr>
        <w:lastRenderedPageBreak/>
        <w:t xml:space="preserve">Given the presence of a term premium, </w:t>
      </w:r>
      <w:r w:rsidR="00A362C9" w:rsidRPr="00002C7A">
        <w:rPr>
          <w:lang w:val="en-GB"/>
        </w:rPr>
        <w:t xml:space="preserve">if the ERP is measured as the historical excess return of stocks over bonds </w:t>
      </w:r>
      <w:r w:rsidRPr="00002C7A">
        <w:rPr>
          <w:lang w:val="en-GB"/>
        </w:rPr>
        <w:t>t</w:t>
      </w:r>
      <w:r w:rsidR="005E08D3" w:rsidRPr="00002C7A">
        <w:rPr>
          <w:lang w:val="en-GB"/>
        </w:rPr>
        <w:t>he maturity of the bond used in calculating the risk-free rate should also be consistent with the ERP.</w:t>
      </w:r>
      <w:r w:rsidR="005E08D3" w:rsidRPr="00002C7A">
        <w:rPr>
          <w:rStyle w:val="FootnoteReference"/>
          <w:lang w:val="en-GB"/>
        </w:rPr>
        <w:footnoteReference w:id="21"/>
      </w:r>
      <w:r w:rsidR="005E08D3" w:rsidRPr="00002C7A">
        <w:rPr>
          <w:lang w:val="en-GB"/>
        </w:rPr>
        <w:t xml:space="preserve"> </w:t>
      </w:r>
      <w:r w:rsidR="00F170D6" w:rsidRPr="00002C7A">
        <w:rPr>
          <w:lang w:val="en-GB"/>
        </w:rPr>
        <w:t>For example, i</w:t>
      </w:r>
      <w:r w:rsidR="005E475E" w:rsidRPr="00002C7A">
        <w:rPr>
          <w:lang w:val="en-GB"/>
        </w:rPr>
        <w:t xml:space="preserve">f the ERP is measured as the </w:t>
      </w:r>
      <w:r w:rsidR="00A75C8A" w:rsidRPr="00002C7A">
        <w:rPr>
          <w:lang w:val="en-GB"/>
        </w:rPr>
        <w:t xml:space="preserve">historical </w:t>
      </w:r>
      <w:r w:rsidR="005E475E" w:rsidRPr="00002C7A">
        <w:rPr>
          <w:lang w:val="en-GB"/>
        </w:rPr>
        <w:t>excess return of stock</w:t>
      </w:r>
      <w:r w:rsidR="00597E5C" w:rsidRPr="00002C7A">
        <w:rPr>
          <w:lang w:val="en-GB"/>
        </w:rPr>
        <w:t>s</w:t>
      </w:r>
      <w:r w:rsidR="005E475E" w:rsidRPr="00002C7A">
        <w:rPr>
          <w:lang w:val="en-GB"/>
        </w:rPr>
        <w:t xml:space="preserve"> over 20-year bonds, then the risk-free rate should also be based on 20-year bonds. Similarly, if the ERP is measured over 10-year bonds, the RFR should also be based on 10-year bonds. Inconsistency between the maturity of the bond used in calculating the risk-free rate and in measuring the ERP could result in under or overestimating the cost of equity.</w:t>
      </w:r>
      <w:r w:rsidR="00013FBC" w:rsidRPr="00002C7A">
        <w:rPr>
          <w:rStyle w:val="FootnoteReference"/>
          <w:lang w:val="en-GB"/>
        </w:rPr>
        <w:footnoteReference w:id="22"/>
      </w:r>
      <w:r w:rsidR="005E475E" w:rsidRPr="00002C7A">
        <w:rPr>
          <w:lang w:val="en-GB"/>
        </w:rPr>
        <w:t xml:space="preserve"> </w:t>
      </w:r>
      <w:r w:rsidR="00E663FE" w:rsidRPr="00002C7A">
        <w:rPr>
          <w:lang w:val="en-GB"/>
        </w:rPr>
        <w:t>For example, an ERP measured as the excess return over 10-year bonds would be higher than an ERP measured as the excess return over 20-year bonds. According</w:t>
      </w:r>
      <w:r w:rsidR="000A6CEE" w:rsidRPr="00002C7A">
        <w:rPr>
          <w:lang w:val="en-GB"/>
        </w:rPr>
        <w:t>ly</w:t>
      </w:r>
      <w:r w:rsidR="00E663FE" w:rsidRPr="00002C7A">
        <w:rPr>
          <w:lang w:val="en-GB"/>
        </w:rPr>
        <w:t xml:space="preserve">, </w:t>
      </w:r>
      <w:r w:rsidR="003C4427" w:rsidRPr="00002C7A">
        <w:rPr>
          <w:lang w:val="en-GB"/>
        </w:rPr>
        <w:t>applying the ERP measured as the excess return over 10-year bonds</w:t>
      </w:r>
      <w:r w:rsidR="00E663FE" w:rsidRPr="00002C7A">
        <w:rPr>
          <w:lang w:val="en-GB"/>
        </w:rPr>
        <w:t xml:space="preserve"> </w:t>
      </w:r>
      <w:r w:rsidR="00DF3DA4" w:rsidRPr="00002C7A">
        <w:rPr>
          <w:lang w:val="en-GB"/>
        </w:rPr>
        <w:t xml:space="preserve">to a risk-free rate </w:t>
      </w:r>
      <w:r w:rsidR="00314DA1" w:rsidRPr="00002C7A">
        <w:rPr>
          <w:lang w:val="en-GB"/>
        </w:rPr>
        <w:t xml:space="preserve">based on a 20-year bond </w:t>
      </w:r>
      <w:r w:rsidR="00E663FE" w:rsidRPr="00002C7A">
        <w:rPr>
          <w:lang w:val="en-GB"/>
        </w:rPr>
        <w:t xml:space="preserve">would </w:t>
      </w:r>
      <w:r w:rsidR="00314DA1" w:rsidRPr="00002C7A">
        <w:rPr>
          <w:lang w:val="en-GB"/>
        </w:rPr>
        <w:t xml:space="preserve">underestimate the cost of equity. </w:t>
      </w:r>
    </w:p>
    <w:p w14:paraId="73CA0D03" w14:textId="33853AB8" w:rsidR="00922080" w:rsidRPr="00002C7A" w:rsidRDefault="005E475E" w:rsidP="00500B2F">
      <w:pPr>
        <w:pStyle w:val="ParagraphNumbered"/>
        <w:jc w:val="both"/>
        <w:rPr>
          <w:lang w:val="en-GB"/>
        </w:rPr>
      </w:pPr>
      <w:r w:rsidRPr="00002C7A">
        <w:rPr>
          <w:lang w:val="en-GB"/>
        </w:rPr>
        <w:t xml:space="preserve">As we describe in Section </w:t>
      </w:r>
      <w:r w:rsidRPr="00002C7A">
        <w:rPr>
          <w:lang w:val="en-GB"/>
        </w:rPr>
        <w:fldChar w:fldCharType="begin"/>
      </w:r>
      <w:r w:rsidRPr="00002C7A">
        <w:rPr>
          <w:lang w:val="en-GB"/>
        </w:rPr>
        <w:instrText xml:space="preserve"> REF _Ref99723817 \w \h  \* MERGEFORMAT </w:instrText>
      </w:r>
      <w:r w:rsidRPr="00002C7A">
        <w:rPr>
          <w:lang w:val="en-GB"/>
        </w:rPr>
      </w:r>
      <w:r w:rsidRPr="00002C7A">
        <w:rPr>
          <w:lang w:val="en-GB"/>
        </w:rPr>
        <w:fldChar w:fldCharType="separate"/>
      </w:r>
      <w:r w:rsidR="007F093A">
        <w:rPr>
          <w:lang w:val="en-GB"/>
        </w:rPr>
        <w:t>IV</w:t>
      </w:r>
      <w:r w:rsidRPr="00002C7A">
        <w:rPr>
          <w:lang w:val="en-GB"/>
        </w:rPr>
        <w:fldChar w:fldCharType="end"/>
      </w:r>
      <w:r w:rsidRPr="00002C7A">
        <w:rPr>
          <w:lang w:val="en-GB"/>
        </w:rPr>
        <w:t xml:space="preserve"> below, we base our estimate of the ERP on historical excess returns over long-term bonds calculated by Dimson, Marsh and Staunton (DMS). On average, </w:t>
      </w:r>
      <w:r w:rsidR="00AD32A3" w:rsidRPr="00002C7A">
        <w:rPr>
          <w:lang w:val="en-GB"/>
        </w:rPr>
        <w:t xml:space="preserve">DMS use </w:t>
      </w:r>
      <w:r w:rsidRPr="00002C7A">
        <w:rPr>
          <w:lang w:val="en-GB"/>
        </w:rPr>
        <w:t xml:space="preserve">long-term bonds </w:t>
      </w:r>
      <w:r w:rsidR="00AD32A3" w:rsidRPr="00002C7A">
        <w:rPr>
          <w:lang w:val="en-GB"/>
        </w:rPr>
        <w:t>with</w:t>
      </w:r>
      <w:r w:rsidRPr="00002C7A">
        <w:rPr>
          <w:lang w:val="en-GB"/>
        </w:rPr>
        <w:t xml:space="preserve"> a maturity of about 20-years.</w:t>
      </w:r>
      <w:r w:rsidRPr="00002C7A">
        <w:rPr>
          <w:rStyle w:val="FootnoteReference"/>
          <w:lang w:val="en-GB"/>
        </w:rPr>
        <w:footnoteReference w:id="23"/>
      </w:r>
      <w:r w:rsidRPr="00002C7A">
        <w:rPr>
          <w:lang w:val="en-GB"/>
        </w:rPr>
        <w:t xml:space="preserve"> Accordingly, to ensure consistency</w:t>
      </w:r>
      <w:r w:rsidR="00A52A8A" w:rsidRPr="00002C7A">
        <w:rPr>
          <w:lang w:val="en-GB"/>
        </w:rPr>
        <w:t xml:space="preserve"> with the ERP</w:t>
      </w:r>
      <w:r w:rsidRPr="00002C7A">
        <w:rPr>
          <w:lang w:val="en-GB"/>
        </w:rPr>
        <w:t xml:space="preserve">, </w:t>
      </w:r>
      <w:r w:rsidR="000C7321" w:rsidRPr="00002C7A">
        <w:rPr>
          <w:lang w:val="en-GB"/>
        </w:rPr>
        <w:t>ComCom</w:t>
      </w:r>
      <w:r w:rsidRPr="00002C7A">
        <w:rPr>
          <w:lang w:val="en-GB"/>
        </w:rPr>
        <w:t xml:space="preserve"> should </w:t>
      </w:r>
      <w:r w:rsidR="009C5C86" w:rsidRPr="00002C7A">
        <w:rPr>
          <w:lang w:val="en-GB"/>
        </w:rPr>
        <w:t xml:space="preserve">ideally </w:t>
      </w:r>
      <w:r w:rsidRPr="00002C7A">
        <w:rPr>
          <w:lang w:val="en-GB"/>
        </w:rPr>
        <w:t>calculate the risk-free rate based on 20-years bonds</w:t>
      </w:r>
      <w:r w:rsidR="00013FBC" w:rsidRPr="00002C7A">
        <w:rPr>
          <w:lang w:val="en-GB"/>
        </w:rPr>
        <w:t>.</w:t>
      </w:r>
      <w:r w:rsidR="00FE697B" w:rsidRPr="00002C7A">
        <w:rPr>
          <w:lang w:val="en-GB"/>
        </w:rPr>
        <w:t xml:space="preserve"> </w:t>
      </w:r>
      <w:r w:rsidR="00922080" w:rsidRPr="00002C7A">
        <w:rPr>
          <w:lang w:val="en-GB"/>
        </w:rPr>
        <w:t xml:space="preserve">However, this approach is not feasible in the present case, because there are </w:t>
      </w:r>
      <w:r w:rsidR="0058058A" w:rsidRPr="00002C7A">
        <w:rPr>
          <w:lang w:val="en-GB"/>
        </w:rPr>
        <w:t>currently</w:t>
      </w:r>
      <w:r w:rsidR="00922080" w:rsidRPr="00002C7A">
        <w:rPr>
          <w:lang w:val="en-GB"/>
        </w:rPr>
        <w:t xml:space="preserve"> no traded 20-year </w:t>
      </w:r>
      <w:r w:rsidR="0058058A" w:rsidRPr="00002C7A">
        <w:rPr>
          <w:lang w:val="en-GB"/>
        </w:rPr>
        <w:t>Georgian</w:t>
      </w:r>
      <w:r w:rsidR="00922080" w:rsidRPr="00002C7A">
        <w:rPr>
          <w:lang w:val="en-GB"/>
        </w:rPr>
        <w:t xml:space="preserve"> government bonds. As an alternative, we recommend ComCom use bonds with a maturity of 10 years and apply a</w:t>
      </w:r>
      <w:r w:rsidR="00FB0C17" w:rsidRPr="00002C7A">
        <w:rPr>
          <w:lang w:val="en-GB"/>
        </w:rPr>
        <w:t>n</w:t>
      </w:r>
      <w:r w:rsidR="00384202" w:rsidRPr="00002C7A">
        <w:rPr>
          <w:lang w:val="en-GB"/>
        </w:rPr>
        <w:t xml:space="preserve"> adjustment</w:t>
      </w:r>
      <w:r w:rsidR="00922080" w:rsidRPr="00002C7A">
        <w:rPr>
          <w:lang w:val="en-GB"/>
        </w:rPr>
        <w:t xml:space="preserve"> equal to the difference in </w:t>
      </w:r>
      <w:r w:rsidR="00EC7A72" w:rsidRPr="00002C7A">
        <w:rPr>
          <w:lang w:val="en-GB"/>
        </w:rPr>
        <w:t>the term premium</w:t>
      </w:r>
      <w:r w:rsidR="00922080" w:rsidRPr="00002C7A">
        <w:rPr>
          <w:lang w:val="en-GB"/>
        </w:rPr>
        <w:t xml:space="preserve"> on 10-year and 20-year bonds</w:t>
      </w:r>
      <w:r w:rsidR="00540F2A" w:rsidRPr="00002C7A">
        <w:rPr>
          <w:lang w:val="en-GB"/>
        </w:rPr>
        <w:t>.</w:t>
      </w:r>
    </w:p>
    <w:p w14:paraId="593A5310" w14:textId="3F03794D" w:rsidR="005E475E" w:rsidRPr="00002C7A" w:rsidRDefault="00C56CAA" w:rsidP="00500B2F">
      <w:pPr>
        <w:pStyle w:val="ParagraphNumbered"/>
        <w:jc w:val="both"/>
        <w:rPr>
          <w:lang w:val="en-GB"/>
        </w:rPr>
      </w:pPr>
      <w:r w:rsidRPr="00002C7A">
        <w:rPr>
          <w:lang w:val="en-GB"/>
        </w:rPr>
        <w:t>In theory</w:t>
      </w:r>
      <w:r w:rsidR="005E475E" w:rsidRPr="00002C7A">
        <w:rPr>
          <w:lang w:val="en-GB"/>
        </w:rPr>
        <w:t xml:space="preserve">, because DMS estimate the ERP based on historical </w:t>
      </w:r>
      <w:r w:rsidR="00013FBC" w:rsidRPr="00002C7A">
        <w:rPr>
          <w:lang w:val="en-GB"/>
        </w:rPr>
        <w:t xml:space="preserve">returns </w:t>
      </w:r>
      <w:r w:rsidR="005E475E" w:rsidRPr="00002C7A">
        <w:rPr>
          <w:lang w:val="en-GB"/>
        </w:rPr>
        <w:t>over the period 1900-202</w:t>
      </w:r>
      <w:r w:rsidR="00120F34" w:rsidRPr="00002C7A">
        <w:rPr>
          <w:lang w:val="en-GB"/>
        </w:rPr>
        <w:t>4</w:t>
      </w:r>
      <w:r w:rsidR="005E475E" w:rsidRPr="00002C7A">
        <w:rPr>
          <w:lang w:val="en-GB"/>
        </w:rPr>
        <w:t xml:space="preserve">, to make the adjustment we would need an estimate of the difference in </w:t>
      </w:r>
      <w:r w:rsidR="00013FBC" w:rsidRPr="00002C7A">
        <w:rPr>
          <w:lang w:val="en-GB"/>
        </w:rPr>
        <w:t xml:space="preserve">returns </w:t>
      </w:r>
      <w:r w:rsidR="005E475E" w:rsidRPr="00002C7A">
        <w:rPr>
          <w:lang w:val="en-GB"/>
        </w:rPr>
        <w:t xml:space="preserve">on 10-year and 20-year bonds over the same period for all Eurozone countries. However, </w:t>
      </w:r>
      <w:r w:rsidR="00A46C05" w:rsidRPr="00002C7A">
        <w:rPr>
          <w:lang w:val="en-GB"/>
        </w:rPr>
        <w:t>this approach is not feasible in practice</w:t>
      </w:r>
      <w:r w:rsidR="00237CDE" w:rsidRPr="00002C7A">
        <w:rPr>
          <w:lang w:val="en-GB"/>
        </w:rPr>
        <w:t>. T</w:t>
      </w:r>
      <w:r w:rsidR="005E475E" w:rsidRPr="00002C7A">
        <w:rPr>
          <w:lang w:val="en-GB"/>
        </w:rPr>
        <w:t>he best we c</w:t>
      </w:r>
      <w:r w:rsidR="00DC0E62" w:rsidRPr="00002C7A">
        <w:rPr>
          <w:lang w:val="en-GB"/>
        </w:rPr>
        <w:t>an</w:t>
      </w:r>
      <w:r w:rsidR="005E475E" w:rsidRPr="00002C7A">
        <w:rPr>
          <w:lang w:val="en-GB"/>
        </w:rPr>
        <w:t xml:space="preserve"> do </w:t>
      </w:r>
      <w:r w:rsidR="00DC0E62" w:rsidRPr="00002C7A">
        <w:rPr>
          <w:lang w:val="en-GB"/>
        </w:rPr>
        <w:t>is to anal</w:t>
      </w:r>
      <w:r w:rsidR="000B7A44" w:rsidRPr="00002C7A">
        <w:rPr>
          <w:lang w:val="en-GB"/>
        </w:rPr>
        <w:t>y</w:t>
      </w:r>
      <w:r w:rsidR="00DC0E62" w:rsidRPr="00002C7A">
        <w:rPr>
          <w:lang w:val="en-GB"/>
        </w:rPr>
        <w:t>se</w:t>
      </w:r>
      <w:r w:rsidR="005E475E" w:rsidRPr="00002C7A">
        <w:rPr>
          <w:lang w:val="en-GB"/>
        </w:rPr>
        <w:t xml:space="preserve"> the difference between 10 and 20-year bond yields over </w:t>
      </w:r>
      <w:r w:rsidR="00F05BB7" w:rsidRPr="00002C7A">
        <w:rPr>
          <w:lang w:val="en-GB"/>
        </w:rPr>
        <w:t>the last few years</w:t>
      </w:r>
      <w:r w:rsidR="005E475E" w:rsidRPr="00002C7A">
        <w:rPr>
          <w:lang w:val="en-GB"/>
        </w:rPr>
        <w:t>.</w:t>
      </w:r>
      <w:r w:rsidR="00E5124C" w:rsidRPr="00002C7A">
        <w:rPr>
          <w:lang w:val="en-GB"/>
        </w:rPr>
        <w:t xml:space="preserve"> </w:t>
      </w:r>
      <w:r w:rsidR="005E475E" w:rsidRPr="00002C7A">
        <w:rPr>
          <w:lang w:val="en-GB"/>
        </w:rPr>
        <w:t xml:space="preserve"> </w:t>
      </w:r>
    </w:p>
    <w:p w14:paraId="4DB54380" w14:textId="5829E2F3" w:rsidR="00047F33" w:rsidRPr="00002C7A" w:rsidRDefault="005435FB" w:rsidP="00500B2F">
      <w:pPr>
        <w:pStyle w:val="ParagraphNumbered"/>
        <w:jc w:val="both"/>
        <w:rPr>
          <w:lang w:val="en-GB"/>
        </w:rPr>
      </w:pPr>
      <w:bookmarkStart w:id="77" w:name="_Toc212051026"/>
      <w:bookmarkStart w:id="78" w:name="_Toc212051062"/>
      <w:bookmarkStart w:id="79" w:name="_Toc212051146"/>
      <w:bookmarkStart w:id="80" w:name="_Toc212051179"/>
      <w:bookmarkStart w:id="81" w:name="_Toc212198888"/>
      <w:bookmarkStart w:id="82" w:name="_Toc213233816"/>
      <w:bookmarkStart w:id="83" w:name="_Toc213234540"/>
      <w:bookmarkStart w:id="84" w:name="_Toc213234686"/>
      <w:bookmarkStart w:id="85" w:name="_Toc213234736"/>
      <w:bookmarkStart w:id="86" w:name="_Toc213235105"/>
      <w:bookmarkStart w:id="87" w:name="_Toc213235206"/>
      <w:bookmarkStart w:id="88" w:name="_Toc213770722"/>
      <w:bookmarkEnd w:id="77"/>
      <w:bookmarkEnd w:id="78"/>
      <w:bookmarkEnd w:id="79"/>
      <w:bookmarkEnd w:id="80"/>
      <w:bookmarkEnd w:id="81"/>
      <w:bookmarkEnd w:id="82"/>
      <w:bookmarkEnd w:id="83"/>
      <w:bookmarkEnd w:id="84"/>
      <w:bookmarkEnd w:id="85"/>
      <w:bookmarkEnd w:id="86"/>
      <w:bookmarkEnd w:id="87"/>
      <w:bookmarkEnd w:id="88"/>
      <w:r w:rsidRPr="00002C7A">
        <w:rPr>
          <w:lang w:val="en-GB"/>
        </w:rPr>
        <w:t xml:space="preserve">We have calculated the average </w:t>
      </w:r>
      <w:r w:rsidR="00693012" w:rsidRPr="00002C7A">
        <w:rPr>
          <w:lang w:val="en-GB"/>
        </w:rPr>
        <w:t xml:space="preserve">difference </w:t>
      </w:r>
      <w:r w:rsidR="00971F27" w:rsidRPr="00002C7A">
        <w:rPr>
          <w:lang w:val="en-GB"/>
        </w:rPr>
        <w:t xml:space="preserve">between 10-year and 20-year government </w:t>
      </w:r>
      <w:r w:rsidR="00FE5A45" w:rsidRPr="00002C7A">
        <w:rPr>
          <w:lang w:val="en-GB"/>
        </w:rPr>
        <w:t xml:space="preserve">Euro-denominated </w:t>
      </w:r>
      <w:r w:rsidR="00971F27" w:rsidRPr="00002C7A">
        <w:rPr>
          <w:lang w:val="en-GB"/>
        </w:rPr>
        <w:t>bonds over the past five years</w:t>
      </w:r>
      <w:r w:rsidR="0052174F" w:rsidRPr="00002C7A">
        <w:rPr>
          <w:lang w:val="en-GB"/>
        </w:rPr>
        <w:t xml:space="preserve">, considering </w:t>
      </w:r>
      <w:r w:rsidR="00D86E6C" w:rsidRPr="00002C7A">
        <w:rPr>
          <w:lang w:val="en-GB"/>
        </w:rPr>
        <w:t>separately countries with a</w:t>
      </w:r>
      <w:r w:rsidR="008A3010" w:rsidRPr="00002C7A">
        <w:rPr>
          <w:lang w:val="en-GB"/>
        </w:rPr>
        <w:t xml:space="preserve">n AAA </w:t>
      </w:r>
      <w:r w:rsidR="008A3010" w:rsidRPr="00002C7A">
        <w:rPr>
          <w:lang w:val="en-GB"/>
        </w:rPr>
        <w:lastRenderedPageBreak/>
        <w:t xml:space="preserve">rating and countries with a BBB rating. </w:t>
      </w:r>
      <w:r w:rsidR="004B1D6D" w:rsidRPr="00002C7A">
        <w:rPr>
          <w:lang w:val="en-GB"/>
        </w:rPr>
        <w:fldChar w:fldCharType="begin"/>
      </w:r>
      <w:r w:rsidR="004B1D6D" w:rsidRPr="00002C7A">
        <w:rPr>
          <w:lang w:val="en-GB"/>
        </w:rPr>
        <w:instrText xml:space="preserve"> REF _Ref217034424 \h </w:instrText>
      </w:r>
      <w:r w:rsidR="004B1D6D" w:rsidRPr="00002C7A">
        <w:rPr>
          <w:lang w:val="en-GB"/>
        </w:rPr>
      </w:r>
      <w:r w:rsidR="004B1D6D" w:rsidRPr="00002C7A">
        <w:rPr>
          <w:lang w:val="en-GB"/>
        </w:rPr>
        <w:fldChar w:fldCharType="separate"/>
      </w:r>
      <w:r w:rsidR="007F093A">
        <w:t xml:space="preserve">Table </w:t>
      </w:r>
      <w:r w:rsidR="007F093A">
        <w:rPr>
          <w:noProof/>
        </w:rPr>
        <w:t>2</w:t>
      </w:r>
      <w:r w:rsidR="004B1D6D" w:rsidRPr="00002C7A">
        <w:rPr>
          <w:lang w:val="en-GB"/>
        </w:rPr>
        <w:fldChar w:fldCharType="end"/>
      </w:r>
      <w:r w:rsidR="00CA1555" w:rsidRPr="00002C7A">
        <w:rPr>
          <w:lang w:val="en-GB"/>
        </w:rPr>
        <w:t xml:space="preserve">, below, reports the average </w:t>
      </w:r>
      <w:r w:rsidR="00693012" w:rsidRPr="00002C7A">
        <w:rPr>
          <w:lang w:val="en-GB"/>
        </w:rPr>
        <w:t xml:space="preserve">difference </w:t>
      </w:r>
      <w:r w:rsidR="00CA1555" w:rsidRPr="00002C7A">
        <w:rPr>
          <w:lang w:val="en-GB"/>
        </w:rPr>
        <w:t>for these two group</w:t>
      </w:r>
      <w:r w:rsidR="00C752C3" w:rsidRPr="00002C7A">
        <w:rPr>
          <w:lang w:val="en-GB"/>
        </w:rPr>
        <w:t xml:space="preserve">s of European countries measured </w:t>
      </w:r>
      <w:r w:rsidR="00AA5398" w:rsidRPr="00002C7A">
        <w:rPr>
          <w:lang w:val="en-GB"/>
        </w:rPr>
        <w:t xml:space="preserve">over </w:t>
      </w:r>
      <w:r w:rsidR="00761C1A" w:rsidRPr="00002C7A">
        <w:rPr>
          <w:lang w:val="en-GB"/>
        </w:rPr>
        <w:t>one-month, one-year</w:t>
      </w:r>
      <w:r w:rsidR="005D5A5C" w:rsidRPr="00002C7A">
        <w:rPr>
          <w:lang w:val="en-GB"/>
        </w:rPr>
        <w:t>, two-year and</w:t>
      </w:r>
      <w:r w:rsidR="00A710B5" w:rsidRPr="00002C7A">
        <w:rPr>
          <w:lang w:val="en-GB"/>
        </w:rPr>
        <w:t xml:space="preserve"> five-year periods. Overall, we observe that shorter term averages suggest higher spreads</w:t>
      </w:r>
      <w:r w:rsidR="005D5A5C" w:rsidRPr="00002C7A">
        <w:rPr>
          <w:lang w:val="en-GB"/>
        </w:rPr>
        <w:t xml:space="preserve"> </w:t>
      </w:r>
      <w:r w:rsidR="00111DC8" w:rsidRPr="00002C7A">
        <w:rPr>
          <w:lang w:val="en-GB"/>
        </w:rPr>
        <w:t xml:space="preserve">of almost 50 basis points, whereas </w:t>
      </w:r>
      <w:r w:rsidR="00154652" w:rsidRPr="00002C7A">
        <w:rPr>
          <w:lang w:val="en-GB"/>
        </w:rPr>
        <w:t>longer averages suggest lower spreads</w:t>
      </w:r>
      <w:r w:rsidR="008B7266" w:rsidRPr="00002C7A">
        <w:rPr>
          <w:lang w:val="en-GB"/>
        </w:rPr>
        <w:t xml:space="preserve">, equal to roughly 25 basis points </w:t>
      </w:r>
      <w:r w:rsidR="006E62B7" w:rsidRPr="00002C7A">
        <w:rPr>
          <w:lang w:val="en-GB"/>
        </w:rPr>
        <w:t xml:space="preserve">when considering a five-year average. </w:t>
      </w:r>
      <w:r w:rsidR="00646AFD" w:rsidRPr="00002C7A">
        <w:rPr>
          <w:lang w:val="en-GB"/>
        </w:rPr>
        <w:t>We not</w:t>
      </w:r>
      <w:r w:rsidR="007075A6" w:rsidRPr="00002C7A">
        <w:rPr>
          <w:lang w:val="en-GB"/>
        </w:rPr>
        <w:t>e</w:t>
      </w:r>
      <w:r w:rsidR="00646AFD" w:rsidRPr="00002C7A">
        <w:rPr>
          <w:lang w:val="en-GB"/>
        </w:rPr>
        <w:t xml:space="preserve">, however, that longer term averages likely reflect </w:t>
      </w:r>
      <w:r w:rsidR="00A509EF" w:rsidRPr="00002C7A">
        <w:rPr>
          <w:lang w:val="en-GB"/>
        </w:rPr>
        <w:t xml:space="preserve">the effect of quantitative easing, </w:t>
      </w:r>
      <w:r w:rsidR="00371E05" w:rsidRPr="00002C7A">
        <w:rPr>
          <w:lang w:val="en-GB"/>
        </w:rPr>
        <w:t>which likely resulted in a flattening of the yield curve</w:t>
      </w:r>
      <w:r w:rsidR="00E616C8" w:rsidRPr="00002C7A">
        <w:rPr>
          <w:lang w:val="en-GB"/>
        </w:rPr>
        <w:t>. Accordingly,</w:t>
      </w:r>
      <w:r w:rsidR="0065195F" w:rsidRPr="00002C7A">
        <w:rPr>
          <w:lang w:val="en-GB"/>
        </w:rPr>
        <w:t xml:space="preserve"> </w:t>
      </w:r>
      <w:r w:rsidR="00E67F9A" w:rsidRPr="00002C7A">
        <w:rPr>
          <w:lang w:val="en-GB"/>
        </w:rPr>
        <w:t>we believe that a spread of about 40 basis point</w:t>
      </w:r>
      <w:r w:rsidR="001F33E0" w:rsidRPr="00002C7A">
        <w:rPr>
          <w:lang w:val="en-GB"/>
        </w:rPr>
        <w:t>s</w:t>
      </w:r>
      <w:r w:rsidR="00E67F9A" w:rsidRPr="00002C7A">
        <w:rPr>
          <w:lang w:val="en-GB"/>
        </w:rPr>
        <w:t xml:space="preserve"> </w:t>
      </w:r>
      <w:r w:rsidR="00DE53D2" w:rsidRPr="00002C7A">
        <w:rPr>
          <w:lang w:val="en-GB"/>
        </w:rPr>
        <w:t xml:space="preserve">reasonably </w:t>
      </w:r>
      <w:r w:rsidR="00E67F9A" w:rsidRPr="00002C7A">
        <w:rPr>
          <w:lang w:val="en-GB"/>
        </w:rPr>
        <w:t>reflect</w:t>
      </w:r>
      <w:r w:rsidR="00DE53D2" w:rsidRPr="00002C7A">
        <w:rPr>
          <w:lang w:val="en-GB"/>
        </w:rPr>
        <w:t>s</w:t>
      </w:r>
      <w:r w:rsidR="00E67F9A" w:rsidRPr="00002C7A">
        <w:rPr>
          <w:lang w:val="en-GB"/>
        </w:rPr>
        <w:t xml:space="preserve"> </w:t>
      </w:r>
      <w:r w:rsidR="00624C93" w:rsidRPr="00002C7A">
        <w:rPr>
          <w:lang w:val="en-GB"/>
        </w:rPr>
        <w:t xml:space="preserve">the historical spread </w:t>
      </w:r>
      <w:r w:rsidR="00DE53D2" w:rsidRPr="00002C7A">
        <w:rPr>
          <w:lang w:val="en-GB"/>
        </w:rPr>
        <w:t xml:space="preserve">between </w:t>
      </w:r>
      <w:r w:rsidR="00CA41D7" w:rsidRPr="00002C7A">
        <w:rPr>
          <w:lang w:val="en-GB"/>
        </w:rPr>
        <w:t xml:space="preserve">20-year bonds </w:t>
      </w:r>
      <w:r w:rsidR="005261AB" w:rsidRPr="00002C7A">
        <w:rPr>
          <w:lang w:val="en-GB"/>
        </w:rPr>
        <w:t>and</w:t>
      </w:r>
      <w:r w:rsidR="00CA41D7" w:rsidRPr="00002C7A">
        <w:rPr>
          <w:lang w:val="en-GB"/>
        </w:rPr>
        <w:t xml:space="preserve"> 10-year bonds</w:t>
      </w:r>
      <w:r w:rsidR="005261AB" w:rsidRPr="00002C7A">
        <w:rPr>
          <w:lang w:val="en-GB"/>
        </w:rPr>
        <w:t xml:space="preserve"> in Europe. </w:t>
      </w:r>
      <w:r w:rsidR="00DB3FA0" w:rsidRPr="00002C7A">
        <w:rPr>
          <w:lang w:val="en-GB"/>
        </w:rPr>
        <w:t xml:space="preserve">This is </w:t>
      </w:r>
      <w:r w:rsidR="00EE7219" w:rsidRPr="00002C7A">
        <w:rPr>
          <w:lang w:val="en-GB"/>
        </w:rPr>
        <w:t>consistent with</w:t>
      </w:r>
      <w:r w:rsidR="00DB3FA0" w:rsidRPr="00002C7A">
        <w:rPr>
          <w:lang w:val="en-GB"/>
        </w:rPr>
        <w:t xml:space="preserve"> the Brattle 2016 Report, </w:t>
      </w:r>
      <w:r w:rsidR="00EE7219" w:rsidRPr="00002C7A">
        <w:rPr>
          <w:lang w:val="en-GB"/>
        </w:rPr>
        <w:t xml:space="preserve">where </w:t>
      </w:r>
      <w:r w:rsidR="00DB3FA0" w:rsidRPr="00002C7A">
        <w:rPr>
          <w:lang w:val="en-GB"/>
        </w:rPr>
        <w:t xml:space="preserve">we noted than a 40 basis points upwards adjustment to the risk-free rate would reasonably account for the difference in the average term premium of 20-year bonds with respect to 10-year bonds. </w:t>
      </w:r>
    </w:p>
    <w:p w14:paraId="7AEC8662" w14:textId="6CF6DC26" w:rsidR="000E69B7" w:rsidRDefault="000E69B7" w:rsidP="000E69B7">
      <w:pPr>
        <w:pStyle w:val="Caption"/>
        <w:jc w:val="both"/>
      </w:pPr>
      <w:bookmarkStart w:id="89" w:name="_Ref217034424"/>
      <w:bookmarkStart w:id="90" w:name="_Toc219739794"/>
      <w:bookmarkStart w:id="91" w:name="_Toc217060078"/>
      <w:r>
        <w:t xml:space="preserve">Table </w:t>
      </w:r>
      <w:fldSimple w:instr=" SEQ Table \* ARABIC ">
        <w:r w:rsidR="007F093A">
          <w:rPr>
            <w:noProof/>
          </w:rPr>
          <w:t>2</w:t>
        </w:r>
      </w:fldSimple>
      <w:bookmarkEnd w:id="89"/>
      <w:r>
        <w:t>:</w:t>
      </w:r>
      <w:r w:rsidR="002013F3">
        <w:t xml:space="preserve"> Average</w:t>
      </w:r>
      <w:r>
        <w:t xml:space="preserve"> Spread between 20- and 10-year </w:t>
      </w:r>
      <w:r w:rsidRPr="00E86E52">
        <w:t>bond</w:t>
      </w:r>
      <w:r>
        <w:t xml:space="preserve"> yields</w:t>
      </w:r>
      <w:bookmarkEnd w:id="90"/>
      <w:bookmarkEnd w:id="91"/>
    </w:p>
    <w:p w14:paraId="57DBEFCA" w14:textId="22CAC1B2" w:rsidR="00B767DC" w:rsidRPr="00B767DC" w:rsidRDefault="007371EF" w:rsidP="00D730AD">
      <w:pPr>
        <w:pStyle w:val="Figure"/>
        <w:jc w:val="both"/>
      </w:pPr>
      <w:r w:rsidRPr="007371EF">
        <w:drawing>
          <wp:inline distT="0" distB="0" distL="0" distR="0" wp14:anchorId="63E29F96" wp14:editId="2880567E">
            <wp:extent cx="5339080" cy="3615690"/>
            <wp:effectExtent l="0" t="0" r="0" b="0"/>
            <wp:docPr id="16006774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9080" cy="3615690"/>
                    </a:xfrm>
                    <a:prstGeom prst="rect">
                      <a:avLst/>
                    </a:prstGeom>
                    <a:noFill/>
                    <a:ln>
                      <a:noFill/>
                    </a:ln>
                  </pic:spPr>
                </pic:pic>
              </a:graphicData>
            </a:graphic>
          </wp:inline>
        </w:drawing>
      </w:r>
    </w:p>
    <w:p w14:paraId="74DF6AE0" w14:textId="782147FA" w:rsidR="00047F33" w:rsidRPr="00002C7A" w:rsidRDefault="000E69B7" w:rsidP="00500B2F">
      <w:pPr>
        <w:pStyle w:val="ParagraphNumbered"/>
        <w:jc w:val="both"/>
        <w:rPr>
          <w:lang w:val="en-GB"/>
        </w:rPr>
      </w:pPr>
      <w:r w:rsidRPr="00002C7A">
        <w:rPr>
          <w:lang w:val="en-GB"/>
        </w:rPr>
        <w:t xml:space="preserve">The </w:t>
      </w:r>
      <w:r w:rsidR="00FE5A45" w:rsidRPr="00002C7A">
        <w:rPr>
          <w:lang w:val="en-GB"/>
        </w:rPr>
        <w:t>estimate of the difference in 10-year and 20-year yields</w:t>
      </w:r>
      <w:r w:rsidR="00AF39A1" w:rsidRPr="00002C7A">
        <w:rPr>
          <w:lang w:val="en-GB"/>
        </w:rPr>
        <w:t>, or term premium,</w:t>
      </w:r>
      <w:r w:rsidR="00FE5A45" w:rsidRPr="00002C7A">
        <w:rPr>
          <w:lang w:val="en-GB"/>
        </w:rPr>
        <w:t xml:space="preserve"> is based on bonds denominated in Euros. Hence, it remains possible that the difference between a 10-year bond and a hypothetical 20-year bond denominated in GEL would differ from 40 basis points. </w:t>
      </w:r>
      <w:r w:rsidR="009047F5" w:rsidRPr="00002C7A">
        <w:rPr>
          <w:lang w:val="en-GB"/>
        </w:rPr>
        <w:t xml:space="preserve">To address this, we have looked at </w:t>
      </w:r>
      <w:r w:rsidR="00AF39A1" w:rsidRPr="00002C7A">
        <w:rPr>
          <w:lang w:val="en-GB"/>
        </w:rPr>
        <w:t xml:space="preserve">term premiums between Euro denominated and Georgian </w:t>
      </w:r>
      <w:r w:rsidR="00C51C2C" w:rsidRPr="00002C7A">
        <w:rPr>
          <w:lang w:val="en-GB"/>
        </w:rPr>
        <w:t>government bonds over a shorter period where we have yields for both bonds available.</w:t>
      </w:r>
      <w:r w:rsidR="002D4DE4" w:rsidRPr="00002C7A">
        <w:rPr>
          <w:lang w:val="en-GB"/>
        </w:rPr>
        <w:t xml:space="preserve"> Specifically, we compare yields on 5-year and 10-year bonds. </w:t>
      </w:r>
      <w:r w:rsidR="007131D8" w:rsidRPr="00002C7A">
        <w:rPr>
          <w:lang w:val="en-GB"/>
        </w:rPr>
        <w:fldChar w:fldCharType="begin"/>
      </w:r>
      <w:r w:rsidR="007131D8" w:rsidRPr="00002C7A">
        <w:rPr>
          <w:lang w:val="en-GB"/>
        </w:rPr>
        <w:instrText xml:space="preserve"> REF _Ref215244158 </w:instrText>
      </w:r>
      <w:r w:rsidR="007131D8" w:rsidRPr="00002C7A">
        <w:rPr>
          <w:lang w:val="en-GB"/>
        </w:rPr>
        <w:fldChar w:fldCharType="separate"/>
      </w:r>
      <w:r w:rsidR="007F093A">
        <w:t xml:space="preserve">Figure </w:t>
      </w:r>
      <w:r w:rsidR="007F093A">
        <w:rPr>
          <w:noProof/>
        </w:rPr>
        <w:t>2</w:t>
      </w:r>
      <w:r w:rsidR="007131D8" w:rsidRPr="00002C7A">
        <w:rPr>
          <w:lang w:val="en-GB"/>
        </w:rPr>
        <w:fldChar w:fldCharType="end"/>
      </w:r>
      <w:r w:rsidR="007131D8" w:rsidRPr="00002C7A">
        <w:rPr>
          <w:lang w:val="en-GB"/>
        </w:rPr>
        <w:t xml:space="preserve"> </w:t>
      </w:r>
      <w:r w:rsidR="000C20A0" w:rsidRPr="00002C7A">
        <w:rPr>
          <w:lang w:val="en-GB"/>
        </w:rPr>
        <w:t xml:space="preserve">shows that term premiums for Georgian bonds are consistently higher. </w:t>
      </w:r>
      <w:r w:rsidR="00DC26C0" w:rsidRPr="00002C7A">
        <w:rPr>
          <w:lang w:val="en-GB"/>
        </w:rPr>
        <w:t>Depending</w:t>
      </w:r>
      <w:r w:rsidR="005779E2" w:rsidRPr="00002C7A">
        <w:rPr>
          <w:lang w:val="en-GB"/>
        </w:rPr>
        <w:t xml:space="preserve"> on the averaging period, the term premium for a 10-year bond relative to a 5-year bond is between </w:t>
      </w:r>
      <w:r w:rsidR="00DC26C0" w:rsidRPr="00002C7A">
        <w:rPr>
          <w:lang w:val="en-GB"/>
        </w:rPr>
        <w:t>13 and 37 basis points higher for Georgian bonds. This is likely because of higher inflation risks in Georgia relative to the Eurozone, meaning that longer dated Georgian bonds need a higher yield.</w:t>
      </w:r>
    </w:p>
    <w:p w14:paraId="6194123B" w14:textId="2A60E507" w:rsidR="00C51C2C" w:rsidRDefault="00C51C2C" w:rsidP="00C51C2C">
      <w:pPr>
        <w:pStyle w:val="Caption"/>
      </w:pPr>
      <w:bookmarkStart w:id="92" w:name="_Ref215244158"/>
      <w:bookmarkStart w:id="93" w:name="_Toc219739812"/>
      <w:bookmarkStart w:id="94" w:name="_Toc217060095"/>
      <w:r>
        <w:lastRenderedPageBreak/>
        <w:t xml:space="preserve">Figure </w:t>
      </w:r>
      <w:fldSimple w:instr=" SEQ Figure \* ARABIC ">
        <w:r w:rsidR="007F093A">
          <w:rPr>
            <w:noProof/>
          </w:rPr>
          <w:t>2</w:t>
        </w:r>
      </w:fldSimple>
      <w:bookmarkEnd w:id="92"/>
      <w:r>
        <w:t>: Differen</w:t>
      </w:r>
      <w:r w:rsidR="00887915">
        <w:t>c</w:t>
      </w:r>
      <w:r>
        <w:t xml:space="preserve">es between </w:t>
      </w:r>
      <w:r w:rsidR="005F6AFB">
        <w:t>Euro AAA and Georgian Bon</w:t>
      </w:r>
      <w:r w:rsidR="00887915">
        <w:t>d</w:t>
      </w:r>
      <w:r w:rsidR="005F6AFB">
        <w:t xml:space="preserve"> Term Premiums</w:t>
      </w:r>
      <w:r w:rsidR="002D4DE4">
        <w:t xml:space="preserve"> for 5-year and 10-year bonds</w:t>
      </w:r>
      <w:bookmarkEnd w:id="93"/>
      <w:bookmarkEnd w:id="94"/>
    </w:p>
    <w:p w14:paraId="053CC8D1" w14:textId="57759B69" w:rsidR="005F6AFB" w:rsidRDefault="00BB50CD" w:rsidP="00C51C2C">
      <w:pPr>
        <w:pStyle w:val="Caption"/>
      </w:pPr>
      <w:r>
        <w:rPr>
          <w:noProof/>
        </w:rPr>
        <w:drawing>
          <wp:inline distT="0" distB="0" distL="0" distR="0" wp14:anchorId="45ACE6F2" wp14:editId="7B737E40">
            <wp:extent cx="5731510" cy="4156710"/>
            <wp:effectExtent l="0" t="0" r="2540" b="0"/>
            <wp:docPr id="106665320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53207" name="Picture 1" descr="A graph of a number of people&#10;&#10;AI-generated content may be incorrect."/>
                    <pic:cNvPicPr/>
                  </pic:nvPicPr>
                  <pic:blipFill>
                    <a:blip r:embed="rId23"/>
                    <a:stretch>
                      <a:fillRect/>
                    </a:stretch>
                  </pic:blipFill>
                  <pic:spPr>
                    <a:xfrm>
                      <a:off x="0" y="0"/>
                      <a:ext cx="5731510" cy="4156710"/>
                    </a:xfrm>
                    <a:prstGeom prst="rect">
                      <a:avLst/>
                    </a:prstGeom>
                  </pic:spPr>
                </pic:pic>
              </a:graphicData>
            </a:graphic>
          </wp:inline>
        </w:drawing>
      </w:r>
    </w:p>
    <w:p w14:paraId="67635BCD" w14:textId="7D03828F" w:rsidR="00482527" w:rsidRPr="00002C7A" w:rsidRDefault="005261AB" w:rsidP="003A3C30">
      <w:pPr>
        <w:pStyle w:val="ParagraphNumbered"/>
        <w:jc w:val="both"/>
        <w:rPr>
          <w:lang w:val="en-GB"/>
        </w:rPr>
      </w:pPr>
      <w:r w:rsidRPr="00002C7A">
        <w:rPr>
          <w:lang w:val="en-GB"/>
        </w:rPr>
        <w:t xml:space="preserve">Accordingly, </w:t>
      </w:r>
      <w:r w:rsidR="00E05E3A" w:rsidRPr="00002C7A">
        <w:rPr>
          <w:lang w:val="en-GB"/>
        </w:rPr>
        <w:t xml:space="preserve">we recommend ComCom to apply an upward adjustment of </w:t>
      </w:r>
      <w:r w:rsidR="00BB45C7" w:rsidRPr="00002C7A">
        <w:rPr>
          <w:lang w:val="en-GB"/>
        </w:rPr>
        <w:t>6</w:t>
      </w:r>
      <w:r w:rsidR="00E05E3A" w:rsidRPr="00002C7A">
        <w:rPr>
          <w:lang w:val="en-GB"/>
        </w:rPr>
        <w:t>0 basis point to the risk-free rate calculated using the one-year average yield of the Georgian 10-year government bonds.</w:t>
      </w:r>
      <w:r w:rsidR="00BB45C7" w:rsidRPr="00002C7A">
        <w:rPr>
          <w:lang w:val="en-GB"/>
        </w:rPr>
        <w:t xml:space="preserve"> This </w:t>
      </w:r>
      <w:r w:rsidR="00943811" w:rsidRPr="00002C7A">
        <w:rPr>
          <w:lang w:val="en-GB"/>
        </w:rPr>
        <w:t xml:space="preserve">60 basis point adjustment </w:t>
      </w:r>
      <w:r w:rsidR="00484AE3" w:rsidRPr="00002C7A">
        <w:rPr>
          <w:lang w:val="en-GB"/>
        </w:rPr>
        <w:t xml:space="preserve">reflects both </w:t>
      </w:r>
      <w:r w:rsidR="00E305E3" w:rsidRPr="00002C7A">
        <w:rPr>
          <w:lang w:val="en-GB"/>
        </w:rPr>
        <w:t>the</w:t>
      </w:r>
      <w:r w:rsidR="00BB45C7" w:rsidRPr="00002C7A">
        <w:rPr>
          <w:lang w:val="en-GB"/>
        </w:rPr>
        <w:t xml:space="preserve"> 40 basis points </w:t>
      </w:r>
      <w:r w:rsidR="00D87B72" w:rsidRPr="00002C7A">
        <w:rPr>
          <w:lang w:val="en-GB"/>
        </w:rPr>
        <w:t xml:space="preserve">term </w:t>
      </w:r>
      <w:r w:rsidR="00BB45C7" w:rsidRPr="00002C7A">
        <w:rPr>
          <w:lang w:val="en-GB"/>
        </w:rPr>
        <w:t xml:space="preserve">premium </w:t>
      </w:r>
      <w:r w:rsidR="003A3C30" w:rsidRPr="00002C7A">
        <w:rPr>
          <w:lang w:val="en-GB"/>
        </w:rPr>
        <w:t>to account for the historical spread between 20-year bonds and 10-year bonds in Europe</w:t>
      </w:r>
      <w:r w:rsidR="00BB45C7" w:rsidRPr="00002C7A">
        <w:rPr>
          <w:lang w:val="en-GB"/>
        </w:rPr>
        <w:t xml:space="preserve"> and an additional </w:t>
      </w:r>
      <w:r w:rsidR="004F3051" w:rsidRPr="00002C7A">
        <w:rPr>
          <w:lang w:val="en-GB"/>
        </w:rPr>
        <w:t xml:space="preserve">20 basis points </w:t>
      </w:r>
      <w:r w:rsidR="00B709F8" w:rsidRPr="00002C7A">
        <w:rPr>
          <w:lang w:val="en-GB"/>
        </w:rPr>
        <w:t>to account for the</w:t>
      </w:r>
      <w:r w:rsidR="003A3C30" w:rsidRPr="00002C7A">
        <w:rPr>
          <w:lang w:val="en-GB"/>
        </w:rPr>
        <w:t xml:space="preserve"> higher term premium of</w:t>
      </w:r>
      <w:r w:rsidR="00B709F8" w:rsidRPr="00002C7A">
        <w:rPr>
          <w:lang w:val="en-GB"/>
        </w:rPr>
        <w:t xml:space="preserve"> Georgian bonds. </w:t>
      </w:r>
    </w:p>
    <w:p w14:paraId="6EF522F6" w14:textId="73C58079" w:rsidR="00C15B26" w:rsidRPr="00002C7A" w:rsidRDefault="00C15B26">
      <w:pPr>
        <w:pStyle w:val="ParagraphNumbered"/>
        <w:jc w:val="both"/>
        <w:rPr>
          <w:lang w:val="en-GB"/>
        </w:rPr>
      </w:pPr>
      <w:r w:rsidRPr="00002C7A">
        <w:rPr>
          <w:lang w:val="en-GB"/>
        </w:rPr>
        <w:t>Finally, we note that, in practice, many EU regulators continue to combine a risk-free rate based on a 10-year bond yield with an ERP based on DMS data. However, as we note above, this approach is inconsistent, and we would not recommend it. Other regulators that we have advised, for example the Dutch regulator ACM</w:t>
      </w:r>
      <w:r w:rsidR="00255874" w:rsidRPr="00002C7A">
        <w:rPr>
          <w:lang w:val="en-GB"/>
        </w:rPr>
        <w:t>,</w:t>
      </w:r>
      <w:r w:rsidRPr="00002C7A">
        <w:rPr>
          <w:lang w:val="en-GB"/>
        </w:rPr>
        <w:t xml:space="preserve"> have now chosen to </w:t>
      </w:r>
      <w:r w:rsidR="00122A3A" w:rsidRPr="00002C7A">
        <w:rPr>
          <w:lang w:val="en-GB"/>
        </w:rPr>
        <w:t xml:space="preserve">use 20-year government bonds </w:t>
      </w:r>
      <w:r w:rsidRPr="00002C7A">
        <w:rPr>
          <w:lang w:val="en-GB"/>
        </w:rPr>
        <w:t xml:space="preserve">to ensure consistency with the ERP. </w:t>
      </w:r>
    </w:p>
    <w:p w14:paraId="15BBFD10" w14:textId="4BB35652" w:rsidR="0063011A" w:rsidRPr="003F3D76" w:rsidRDefault="00931703" w:rsidP="00500B2F">
      <w:pPr>
        <w:pStyle w:val="Heading2"/>
        <w:jc w:val="both"/>
      </w:pPr>
      <w:bookmarkStart w:id="95" w:name="_Toc219739769"/>
      <w:bookmarkStart w:id="96" w:name="_Toc217060055"/>
      <w:r>
        <w:t>C</w:t>
      </w:r>
      <w:r w:rsidR="00443D7A">
        <w:t xml:space="preserve">alculation of the </w:t>
      </w:r>
      <w:r>
        <w:t>Risk-Free Rate</w:t>
      </w:r>
      <w:r w:rsidR="00443D7A">
        <w:t xml:space="preserve"> for telecoms services in </w:t>
      </w:r>
      <w:r w:rsidR="00443D7A" w:rsidRPr="00E86E52">
        <w:t>Georgia</w:t>
      </w:r>
      <w:bookmarkEnd w:id="95"/>
      <w:bookmarkEnd w:id="96"/>
    </w:p>
    <w:p w14:paraId="41FED77E" w14:textId="6EB55BC0" w:rsidR="00DA4AD5" w:rsidRPr="00002C7A" w:rsidRDefault="005D4FA2" w:rsidP="00500B2F">
      <w:pPr>
        <w:pStyle w:val="ParagraphNumbered"/>
        <w:jc w:val="both"/>
        <w:rPr>
          <w:lang w:val="en-GB"/>
        </w:rPr>
      </w:pPr>
      <w:bookmarkStart w:id="97" w:name="_Toc212050086"/>
      <w:bookmarkEnd w:id="97"/>
      <w:r w:rsidRPr="00002C7A">
        <w:rPr>
          <w:lang w:val="en-GB"/>
        </w:rPr>
        <w:t xml:space="preserve">Based on the considerations above, we estimate the risk-free </w:t>
      </w:r>
      <w:r w:rsidR="00F12313" w:rsidRPr="00002C7A">
        <w:rPr>
          <w:lang w:val="en-GB"/>
        </w:rPr>
        <w:t xml:space="preserve">rate </w:t>
      </w:r>
      <w:r w:rsidRPr="00002C7A">
        <w:rPr>
          <w:lang w:val="en-GB"/>
        </w:rPr>
        <w:t xml:space="preserve">for </w:t>
      </w:r>
      <w:r w:rsidR="00286324" w:rsidRPr="00002C7A">
        <w:rPr>
          <w:lang w:val="en-GB"/>
        </w:rPr>
        <w:t>Georgia</w:t>
      </w:r>
      <w:r w:rsidRPr="00002C7A">
        <w:rPr>
          <w:lang w:val="en-GB"/>
        </w:rPr>
        <w:t xml:space="preserve"> based on the </w:t>
      </w:r>
      <w:r w:rsidR="00286324" w:rsidRPr="00002C7A">
        <w:rPr>
          <w:lang w:val="en-GB"/>
        </w:rPr>
        <w:t>one</w:t>
      </w:r>
      <w:r w:rsidR="009A2B3C" w:rsidRPr="00002C7A">
        <w:rPr>
          <w:lang w:val="en-GB"/>
        </w:rPr>
        <w:t>-</w:t>
      </w:r>
      <w:r w:rsidRPr="00002C7A">
        <w:rPr>
          <w:lang w:val="en-GB"/>
        </w:rPr>
        <w:t xml:space="preserve">year average yield on the </w:t>
      </w:r>
      <w:r w:rsidR="00286324" w:rsidRPr="00002C7A">
        <w:rPr>
          <w:lang w:val="en-GB"/>
        </w:rPr>
        <w:t>10</w:t>
      </w:r>
      <w:r w:rsidRPr="00002C7A">
        <w:rPr>
          <w:lang w:val="en-GB"/>
        </w:rPr>
        <w:t xml:space="preserve">-year </w:t>
      </w:r>
      <w:r w:rsidR="00286324" w:rsidRPr="00002C7A">
        <w:rPr>
          <w:lang w:val="en-GB"/>
        </w:rPr>
        <w:t>Georgian</w:t>
      </w:r>
      <w:r w:rsidRPr="00002C7A">
        <w:rPr>
          <w:lang w:val="en-GB"/>
        </w:rPr>
        <w:t xml:space="preserve"> government bonds</w:t>
      </w:r>
      <w:r w:rsidR="00286324" w:rsidRPr="00002C7A">
        <w:rPr>
          <w:lang w:val="en-GB"/>
        </w:rPr>
        <w:t xml:space="preserve"> plus an adjustment</w:t>
      </w:r>
      <w:r w:rsidR="00493F17" w:rsidRPr="00002C7A">
        <w:rPr>
          <w:lang w:val="en-GB"/>
        </w:rPr>
        <w:t xml:space="preserve"> of </w:t>
      </w:r>
      <w:r w:rsidR="00FC3A36" w:rsidRPr="00002C7A">
        <w:rPr>
          <w:lang w:val="en-GB"/>
        </w:rPr>
        <w:t>6</w:t>
      </w:r>
      <w:r w:rsidR="00493F17" w:rsidRPr="00002C7A">
        <w:rPr>
          <w:lang w:val="en-GB"/>
        </w:rPr>
        <w:t>0 basis points</w:t>
      </w:r>
      <w:r w:rsidR="00476DCF" w:rsidRPr="00002C7A">
        <w:rPr>
          <w:lang w:val="en-GB"/>
        </w:rPr>
        <w:t xml:space="preserve"> to reflect the spread between 20-year </w:t>
      </w:r>
      <w:r w:rsidR="00DA4AD5" w:rsidRPr="00002C7A">
        <w:rPr>
          <w:lang w:val="en-GB"/>
        </w:rPr>
        <w:t>and 10-year government bonds</w:t>
      </w:r>
      <w:r w:rsidRPr="00002C7A">
        <w:rPr>
          <w:lang w:val="en-GB"/>
        </w:rPr>
        <w:t xml:space="preserve">. </w:t>
      </w:r>
    </w:p>
    <w:p w14:paraId="77AC2FB4" w14:textId="49A4E8FA" w:rsidR="00746E23" w:rsidRPr="00002C7A" w:rsidRDefault="005D4FA2" w:rsidP="00500B2F">
      <w:pPr>
        <w:pStyle w:val="ParagraphNumbered"/>
        <w:jc w:val="both"/>
        <w:rPr>
          <w:lang w:val="en-GB"/>
        </w:rPr>
      </w:pPr>
      <w:r w:rsidRPr="00002C7A">
        <w:rPr>
          <w:lang w:val="en-GB"/>
        </w:rPr>
        <w:lastRenderedPageBreak/>
        <w:fldChar w:fldCharType="begin"/>
      </w:r>
      <w:r w:rsidRPr="00002C7A">
        <w:rPr>
          <w:lang w:val="en-GB"/>
        </w:rPr>
        <w:instrText xml:space="preserve"> REF _Ref100312915 \h </w:instrText>
      </w:r>
      <w:r w:rsidR="00E86E52" w:rsidRPr="00002C7A">
        <w:rPr>
          <w:lang w:val="en-GB"/>
        </w:rPr>
        <w:instrText xml:space="preserve"> \* MERGEFORMAT </w:instrText>
      </w:r>
      <w:r w:rsidRPr="00002C7A">
        <w:rPr>
          <w:lang w:val="en-GB"/>
        </w:rPr>
      </w:r>
      <w:r w:rsidRPr="00002C7A">
        <w:rPr>
          <w:lang w:val="en-GB"/>
        </w:rPr>
        <w:fldChar w:fldCharType="separate"/>
      </w:r>
      <w:r w:rsidR="007F093A" w:rsidRPr="007F093A">
        <w:rPr>
          <w:lang w:val="en-GB"/>
        </w:rPr>
        <w:t>Figure 3</w:t>
      </w:r>
      <w:r w:rsidRPr="00002C7A">
        <w:rPr>
          <w:lang w:val="en-GB"/>
        </w:rPr>
        <w:fldChar w:fldCharType="end"/>
      </w:r>
      <w:r w:rsidR="00DA4AD5" w:rsidRPr="00002C7A">
        <w:rPr>
          <w:lang w:val="en-GB"/>
        </w:rPr>
        <w:t>, below</w:t>
      </w:r>
      <w:r w:rsidR="00ED6125" w:rsidRPr="00002C7A">
        <w:rPr>
          <w:lang w:val="en-GB"/>
        </w:rPr>
        <w:t>,</w:t>
      </w:r>
      <w:r w:rsidRPr="00002C7A">
        <w:rPr>
          <w:lang w:val="en-GB"/>
        </w:rPr>
        <w:t xml:space="preserve"> illustrates the evolution of the yields of </w:t>
      </w:r>
      <w:r w:rsidR="00286324" w:rsidRPr="00002C7A">
        <w:rPr>
          <w:lang w:val="en-GB"/>
        </w:rPr>
        <w:t>10</w:t>
      </w:r>
      <w:r w:rsidRPr="00002C7A">
        <w:rPr>
          <w:lang w:val="en-GB"/>
        </w:rPr>
        <w:t xml:space="preserve">-year </w:t>
      </w:r>
      <w:r w:rsidR="00286324" w:rsidRPr="00002C7A">
        <w:rPr>
          <w:lang w:val="en-GB"/>
        </w:rPr>
        <w:t>Georgian</w:t>
      </w:r>
      <w:r w:rsidRPr="00002C7A">
        <w:rPr>
          <w:lang w:val="en-GB"/>
        </w:rPr>
        <w:t xml:space="preserve"> government bonds over the past </w:t>
      </w:r>
      <w:r w:rsidR="00286324" w:rsidRPr="00002C7A">
        <w:rPr>
          <w:lang w:val="en-GB"/>
        </w:rPr>
        <w:t>five</w:t>
      </w:r>
      <w:r w:rsidRPr="00002C7A">
        <w:rPr>
          <w:lang w:val="en-GB"/>
        </w:rPr>
        <w:t xml:space="preserve"> years</w:t>
      </w:r>
      <w:r w:rsidR="00905585" w:rsidRPr="00002C7A">
        <w:rPr>
          <w:lang w:val="en-GB"/>
        </w:rPr>
        <w:t xml:space="preserve"> based</w:t>
      </w:r>
      <w:r w:rsidRPr="00002C7A">
        <w:rPr>
          <w:lang w:val="en-GB"/>
        </w:rPr>
        <w:t xml:space="preserve"> on </w:t>
      </w:r>
      <w:r w:rsidR="00286324" w:rsidRPr="00002C7A">
        <w:rPr>
          <w:lang w:val="en-GB"/>
        </w:rPr>
        <w:t>data published by the National Bank of Georgia.</w:t>
      </w:r>
      <w:r w:rsidR="007C0D2D" w:rsidRPr="00002C7A">
        <w:rPr>
          <w:rStyle w:val="FootnoteReference"/>
          <w:lang w:val="en-GB"/>
        </w:rPr>
        <w:footnoteReference w:id="24"/>
      </w:r>
      <w:r w:rsidRPr="00002C7A">
        <w:rPr>
          <w:lang w:val="en-GB"/>
        </w:rPr>
        <w:t xml:space="preserve"> </w:t>
      </w:r>
    </w:p>
    <w:p w14:paraId="5FC67796" w14:textId="77777777" w:rsidR="00BE7CA3" w:rsidRPr="00002C7A" w:rsidRDefault="005D4FA2" w:rsidP="00500B2F">
      <w:pPr>
        <w:pStyle w:val="ParagraphNumbered"/>
        <w:jc w:val="both"/>
        <w:rPr>
          <w:lang w:val="en-GB"/>
        </w:rPr>
      </w:pPr>
      <w:r w:rsidRPr="00002C7A">
        <w:rPr>
          <w:lang w:val="en-GB"/>
        </w:rPr>
        <w:t xml:space="preserve">Over our </w:t>
      </w:r>
      <w:r w:rsidR="0020793E" w:rsidRPr="00002C7A">
        <w:rPr>
          <w:lang w:val="en-GB"/>
        </w:rPr>
        <w:t>one</w:t>
      </w:r>
      <w:r w:rsidR="009E7889" w:rsidRPr="00002C7A">
        <w:rPr>
          <w:lang w:val="en-GB"/>
        </w:rPr>
        <w:t>-year reference period,</w:t>
      </w:r>
      <w:r w:rsidRPr="00002C7A">
        <w:rPr>
          <w:lang w:val="en-GB"/>
        </w:rPr>
        <w:t xml:space="preserve"> nominal government bond yields </w:t>
      </w:r>
      <w:r w:rsidR="009E7889" w:rsidRPr="00002C7A">
        <w:rPr>
          <w:lang w:val="en-GB"/>
        </w:rPr>
        <w:t xml:space="preserve">in </w:t>
      </w:r>
      <w:r w:rsidR="0020793E" w:rsidRPr="00002C7A">
        <w:rPr>
          <w:lang w:val="en-GB"/>
        </w:rPr>
        <w:t>Georgia</w:t>
      </w:r>
      <w:r w:rsidR="009E7889" w:rsidRPr="00002C7A">
        <w:rPr>
          <w:lang w:val="en-GB"/>
        </w:rPr>
        <w:t xml:space="preserve"> have </w:t>
      </w:r>
      <w:r w:rsidR="0020793E" w:rsidRPr="00002C7A">
        <w:rPr>
          <w:lang w:val="en-GB"/>
        </w:rPr>
        <w:t>been increasing</w:t>
      </w:r>
      <w:r w:rsidR="009E7889" w:rsidRPr="00002C7A">
        <w:rPr>
          <w:lang w:val="en-GB"/>
        </w:rPr>
        <w:t xml:space="preserve">, </w:t>
      </w:r>
      <w:r w:rsidR="0020793E" w:rsidRPr="00002C7A">
        <w:rPr>
          <w:lang w:val="en-GB"/>
        </w:rPr>
        <w:t>passing</w:t>
      </w:r>
      <w:r w:rsidR="009E7889" w:rsidRPr="00002C7A">
        <w:rPr>
          <w:lang w:val="en-GB"/>
        </w:rPr>
        <w:t xml:space="preserve"> from about </w:t>
      </w:r>
      <w:r w:rsidR="0020793E" w:rsidRPr="00002C7A">
        <w:rPr>
          <w:lang w:val="en-GB"/>
        </w:rPr>
        <w:t>9.0</w:t>
      </w:r>
      <w:r w:rsidR="009E7889" w:rsidRPr="00002C7A">
        <w:rPr>
          <w:lang w:val="en-GB"/>
        </w:rPr>
        <w:t xml:space="preserve">% in </w:t>
      </w:r>
      <w:r w:rsidR="0020793E" w:rsidRPr="00002C7A">
        <w:rPr>
          <w:lang w:val="en-GB"/>
        </w:rPr>
        <w:t>late 2024</w:t>
      </w:r>
      <w:r w:rsidR="009E7889" w:rsidRPr="00002C7A">
        <w:rPr>
          <w:lang w:val="en-GB"/>
        </w:rPr>
        <w:t xml:space="preserve">, to just over </w:t>
      </w:r>
      <w:r w:rsidR="0020793E" w:rsidRPr="00002C7A">
        <w:rPr>
          <w:lang w:val="en-GB"/>
        </w:rPr>
        <w:t>9.9</w:t>
      </w:r>
      <w:r w:rsidR="009E7889" w:rsidRPr="00002C7A">
        <w:rPr>
          <w:lang w:val="en-GB"/>
        </w:rPr>
        <w:t xml:space="preserve">% </w:t>
      </w:r>
      <w:r w:rsidR="0020793E" w:rsidRPr="00002C7A">
        <w:rPr>
          <w:lang w:val="en-GB"/>
        </w:rPr>
        <w:t>at the end of September, after some fluctuations</w:t>
      </w:r>
      <w:r w:rsidR="009E7889" w:rsidRPr="00002C7A">
        <w:rPr>
          <w:lang w:val="en-GB"/>
        </w:rPr>
        <w:t xml:space="preserve">. </w:t>
      </w:r>
      <w:r w:rsidR="0020793E" w:rsidRPr="00002C7A">
        <w:rPr>
          <w:lang w:val="en-GB"/>
        </w:rPr>
        <w:t>Overall, between 1 October 2024 and 30 September 2025</w:t>
      </w:r>
      <w:r w:rsidRPr="00002C7A">
        <w:rPr>
          <w:lang w:val="en-GB"/>
        </w:rPr>
        <w:t xml:space="preserve">, </w:t>
      </w:r>
      <w:r w:rsidR="0020793E" w:rsidRPr="00002C7A">
        <w:rPr>
          <w:lang w:val="en-GB"/>
        </w:rPr>
        <w:t>10</w:t>
      </w:r>
      <w:r w:rsidR="009E7889" w:rsidRPr="00002C7A">
        <w:rPr>
          <w:lang w:val="en-GB"/>
        </w:rPr>
        <w:t xml:space="preserve">-year </w:t>
      </w:r>
      <w:r w:rsidR="0020793E" w:rsidRPr="00002C7A">
        <w:rPr>
          <w:lang w:val="en-GB"/>
        </w:rPr>
        <w:t>Georgian</w:t>
      </w:r>
      <w:r w:rsidR="009E7889" w:rsidRPr="00002C7A">
        <w:rPr>
          <w:lang w:val="en-GB"/>
        </w:rPr>
        <w:t xml:space="preserve"> government bond </w:t>
      </w:r>
      <w:r w:rsidRPr="00002C7A">
        <w:rPr>
          <w:lang w:val="en-GB"/>
        </w:rPr>
        <w:t xml:space="preserve">yields </w:t>
      </w:r>
      <w:r w:rsidR="009E7889" w:rsidRPr="00002C7A">
        <w:rPr>
          <w:lang w:val="en-GB"/>
        </w:rPr>
        <w:t xml:space="preserve">averaged </w:t>
      </w:r>
      <w:r w:rsidR="0020793E" w:rsidRPr="00002C7A">
        <w:rPr>
          <w:lang w:val="en-GB"/>
        </w:rPr>
        <w:t>9.1</w:t>
      </w:r>
      <w:r w:rsidR="009E7889" w:rsidRPr="00002C7A">
        <w:rPr>
          <w:lang w:val="en-GB"/>
        </w:rPr>
        <w:t>%</w:t>
      </w:r>
      <w:r w:rsidRPr="00002C7A">
        <w:rPr>
          <w:lang w:val="en-GB"/>
        </w:rPr>
        <w:t xml:space="preserve">. </w:t>
      </w:r>
      <w:r w:rsidR="0020793E" w:rsidRPr="00002C7A">
        <w:rPr>
          <w:lang w:val="en-GB"/>
        </w:rPr>
        <w:t>We cross-checked this value against an average calculated over a five-year period</w:t>
      </w:r>
      <w:r w:rsidR="00746E23" w:rsidRPr="00002C7A">
        <w:rPr>
          <w:lang w:val="en-GB"/>
        </w:rPr>
        <w:t>.</w:t>
      </w:r>
      <w:r w:rsidR="00B8496B" w:rsidRPr="00002C7A">
        <w:rPr>
          <w:lang w:val="en-GB"/>
        </w:rPr>
        <w:t xml:space="preserve"> This allows us to check for the impact of employing a different averaging window when calculating our risk-free rate. </w:t>
      </w:r>
    </w:p>
    <w:p w14:paraId="67F2DCD3" w14:textId="724815EF" w:rsidR="00E17D1C" w:rsidRPr="00002C7A" w:rsidRDefault="00746E23" w:rsidP="00500B2F">
      <w:pPr>
        <w:pStyle w:val="ParagraphNumbered"/>
        <w:jc w:val="both"/>
        <w:rPr>
          <w:lang w:val="en-GB"/>
        </w:rPr>
      </w:pPr>
      <w:r w:rsidRPr="00002C7A">
        <w:rPr>
          <w:lang w:val="en-GB"/>
        </w:rPr>
        <w:t>In general</w:t>
      </w:r>
      <w:r w:rsidR="00B8496B" w:rsidRPr="00002C7A">
        <w:rPr>
          <w:lang w:val="en-GB"/>
        </w:rPr>
        <w:t>, the yield of 10-year Georgian government bonds showed some fluctuations over the last five year</w:t>
      </w:r>
      <w:r w:rsidR="00945A11" w:rsidRPr="00002C7A">
        <w:rPr>
          <w:lang w:val="en-GB"/>
        </w:rPr>
        <w:t>s</w:t>
      </w:r>
      <w:r w:rsidR="00B8496B" w:rsidRPr="00002C7A">
        <w:rPr>
          <w:lang w:val="en-GB"/>
        </w:rPr>
        <w:t>, with a maximum of around 10.8% in mid</w:t>
      </w:r>
      <w:r w:rsidR="0006308D">
        <w:rPr>
          <w:lang w:val="en-GB"/>
        </w:rPr>
        <w:t>-</w:t>
      </w:r>
      <w:r w:rsidR="00B8496B" w:rsidRPr="00002C7A">
        <w:rPr>
          <w:lang w:val="en-GB"/>
        </w:rPr>
        <w:t>2022, after the beginning of the war in Ukraine, and a minimum of around 7.1% in mid</w:t>
      </w:r>
      <w:r w:rsidR="0006308D">
        <w:rPr>
          <w:lang w:val="en-GB"/>
        </w:rPr>
        <w:t>-</w:t>
      </w:r>
      <w:r w:rsidR="00B8496B" w:rsidRPr="00002C7A">
        <w:rPr>
          <w:lang w:val="en-GB"/>
        </w:rPr>
        <w:t xml:space="preserve">2023. However, </w:t>
      </w:r>
      <w:r w:rsidR="00590CC7" w:rsidRPr="00002C7A">
        <w:rPr>
          <w:lang w:val="en-GB"/>
        </w:rPr>
        <w:t xml:space="preserve">purely by chance for the period we examine, </w:t>
      </w:r>
      <w:r w:rsidR="00B8496B" w:rsidRPr="00002C7A">
        <w:rPr>
          <w:lang w:val="en-GB"/>
        </w:rPr>
        <w:t xml:space="preserve">such fluctuations ultimately </w:t>
      </w:r>
      <w:r w:rsidRPr="00002C7A">
        <w:rPr>
          <w:lang w:val="en-GB"/>
        </w:rPr>
        <w:t xml:space="preserve">result in </w:t>
      </w:r>
      <w:r w:rsidR="00B8496B" w:rsidRPr="00002C7A">
        <w:rPr>
          <w:lang w:val="en-GB"/>
        </w:rPr>
        <w:t>a</w:t>
      </w:r>
      <w:r w:rsidR="00132D71" w:rsidRPr="00002C7A">
        <w:rPr>
          <w:lang w:val="en-GB"/>
        </w:rPr>
        <w:t xml:space="preserve"> five-year</w:t>
      </w:r>
      <w:r w:rsidR="00B8496B" w:rsidRPr="00002C7A">
        <w:rPr>
          <w:lang w:val="en-GB"/>
        </w:rPr>
        <w:t xml:space="preserve"> average of 9.0%</w:t>
      </w:r>
      <w:r w:rsidR="00590CC7" w:rsidRPr="00002C7A">
        <w:rPr>
          <w:lang w:val="en-GB"/>
        </w:rPr>
        <w:t xml:space="preserve"> that is</w:t>
      </w:r>
      <w:r w:rsidR="00B8496B" w:rsidRPr="00002C7A">
        <w:rPr>
          <w:lang w:val="en-GB"/>
        </w:rPr>
        <w:t xml:space="preserve"> </w:t>
      </w:r>
      <w:r w:rsidR="00132D71" w:rsidRPr="00002C7A">
        <w:rPr>
          <w:lang w:val="en-GB"/>
        </w:rPr>
        <w:t>broadly</w:t>
      </w:r>
      <w:r w:rsidR="00B8496B" w:rsidRPr="00002C7A">
        <w:rPr>
          <w:lang w:val="en-GB"/>
        </w:rPr>
        <w:t xml:space="preserve"> in line with </w:t>
      </w:r>
      <w:r w:rsidR="00132D71" w:rsidRPr="00002C7A">
        <w:rPr>
          <w:lang w:val="en-GB"/>
        </w:rPr>
        <w:t>the one-year average</w:t>
      </w:r>
      <w:r w:rsidR="00B8496B" w:rsidRPr="00002C7A">
        <w:rPr>
          <w:lang w:val="en-GB"/>
        </w:rPr>
        <w:t>.</w:t>
      </w:r>
      <w:r w:rsidR="00590CC7" w:rsidRPr="00002C7A">
        <w:rPr>
          <w:lang w:val="en-GB"/>
        </w:rPr>
        <w:t xml:space="preserve"> Hence, for the period examined, the choice of a one-year average or a five-year average would not have a significant effect on the WACC. However, the five-year average may not be close to the one-year average for different historical periods or for future periods. Hence, we still recommend ComCom use a one-year average for the reasons given above. </w:t>
      </w:r>
    </w:p>
    <w:p w14:paraId="6B0E70ED" w14:textId="1F0692A2" w:rsidR="00E17D1C" w:rsidRPr="008C14A2" w:rsidRDefault="00E17D1C" w:rsidP="00500B2F">
      <w:pPr>
        <w:pStyle w:val="Caption"/>
        <w:jc w:val="both"/>
      </w:pPr>
      <w:bookmarkStart w:id="98" w:name="_Ref72920126"/>
      <w:bookmarkStart w:id="99" w:name="_Ref100312915"/>
      <w:bookmarkStart w:id="100" w:name="_Toc73455347"/>
      <w:bookmarkStart w:id="101" w:name="_Toc78563237"/>
      <w:bookmarkStart w:id="102" w:name="_Toc99716097"/>
      <w:bookmarkStart w:id="103" w:name="_Toc99716190"/>
      <w:bookmarkStart w:id="104" w:name="_Toc99728372"/>
      <w:bookmarkStart w:id="105" w:name="_Toc100325533"/>
      <w:bookmarkStart w:id="106" w:name="_Toc219739813"/>
      <w:bookmarkStart w:id="107" w:name="_Toc217060096"/>
      <w:r w:rsidRPr="008C14A2">
        <w:lastRenderedPageBreak/>
        <w:t xml:space="preserve">Figure </w:t>
      </w:r>
      <w:fldSimple w:instr=" SEQ Figure \* ARABIC ">
        <w:r w:rsidR="007F093A">
          <w:rPr>
            <w:noProof/>
          </w:rPr>
          <w:t>3</w:t>
        </w:r>
      </w:fldSimple>
      <w:bookmarkEnd w:id="98"/>
      <w:bookmarkEnd w:id="99"/>
      <w:r w:rsidRPr="008C14A2">
        <w:t xml:space="preserve">: Yield on </w:t>
      </w:r>
      <w:r w:rsidR="00286324">
        <w:t>10</w:t>
      </w:r>
      <w:r w:rsidR="005D4FA2" w:rsidRPr="008C14A2">
        <w:t xml:space="preserve">-Year </w:t>
      </w:r>
      <w:r w:rsidR="00286324" w:rsidRPr="00E86E52">
        <w:t>Georgian</w:t>
      </w:r>
      <w:r w:rsidRPr="008C14A2">
        <w:t xml:space="preserve"> Governmen</w:t>
      </w:r>
      <w:r w:rsidR="0060402C" w:rsidRPr="008C14A2">
        <w:t xml:space="preserve">t </w:t>
      </w:r>
      <w:r w:rsidRPr="008C14A2">
        <w:t>Bonds</w:t>
      </w:r>
      <w:bookmarkEnd w:id="100"/>
      <w:bookmarkEnd w:id="101"/>
      <w:bookmarkEnd w:id="102"/>
      <w:bookmarkEnd w:id="103"/>
      <w:bookmarkEnd w:id="104"/>
      <w:bookmarkEnd w:id="105"/>
      <w:bookmarkEnd w:id="106"/>
      <w:bookmarkEnd w:id="107"/>
    </w:p>
    <w:p w14:paraId="1B56C92D" w14:textId="7357DDA8" w:rsidR="00E86E52" w:rsidRDefault="00BA1EC5" w:rsidP="00500B2F">
      <w:pPr>
        <w:pStyle w:val="Figure"/>
        <w:jc w:val="both"/>
      </w:pPr>
      <w:r>
        <w:drawing>
          <wp:inline distT="0" distB="0" distL="0" distR="0" wp14:anchorId="36FE22B2" wp14:editId="6CCE44E3">
            <wp:extent cx="5731510" cy="4164965"/>
            <wp:effectExtent l="0" t="0" r="2540" b="6985"/>
            <wp:docPr id="385027895" name="Picture 1" descr="A graph showing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27895" name="Picture 1" descr="A graph showing a line graph&#10;&#10;AI-generated content may be incorrect."/>
                    <pic:cNvPicPr/>
                  </pic:nvPicPr>
                  <pic:blipFill>
                    <a:blip r:embed="rId24"/>
                    <a:stretch>
                      <a:fillRect/>
                    </a:stretch>
                  </pic:blipFill>
                  <pic:spPr>
                    <a:xfrm>
                      <a:off x="0" y="0"/>
                      <a:ext cx="5731510" cy="4164965"/>
                    </a:xfrm>
                    <a:prstGeom prst="rect">
                      <a:avLst/>
                    </a:prstGeom>
                  </pic:spPr>
                </pic:pic>
              </a:graphicData>
            </a:graphic>
          </wp:inline>
        </w:drawing>
      </w:r>
    </w:p>
    <w:p w14:paraId="5DAC8C64" w14:textId="18FA7637" w:rsidR="00825F2B" w:rsidRPr="00002C7A" w:rsidRDefault="004544E8" w:rsidP="00500B2F">
      <w:pPr>
        <w:pStyle w:val="ParagraphNumbered"/>
        <w:jc w:val="both"/>
        <w:rPr>
          <w:lang w:val="en-GB" w:eastAsia="en-US"/>
        </w:rPr>
      </w:pPr>
      <w:r w:rsidRPr="00002C7A">
        <w:rPr>
          <w:lang w:val="en-GB" w:eastAsia="en-US"/>
        </w:rPr>
        <w:t>A</w:t>
      </w:r>
      <w:r w:rsidR="003C22EF" w:rsidRPr="00002C7A">
        <w:rPr>
          <w:lang w:val="en-GB" w:eastAsia="en-US"/>
        </w:rPr>
        <w:t xml:space="preserve">dding a </w:t>
      </w:r>
      <w:r w:rsidR="00FB06C9" w:rsidRPr="00002C7A">
        <w:rPr>
          <w:lang w:val="en-GB"/>
        </w:rPr>
        <w:t>6</w:t>
      </w:r>
      <w:r w:rsidR="003C22EF" w:rsidRPr="00002C7A">
        <w:rPr>
          <w:lang w:val="en-GB"/>
        </w:rPr>
        <w:t>0</w:t>
      </w:r>
      <w:r w:rsidR="003C22EF" w:rsidRPr="00002C7A">
        <w:rPr>
          <w:lang w:val="en-GB" w:eastAsia="en-US"/>
        </w:rPr>
        <w:t xml:space="preserve"> basis point</w:t>
      </w:r>
      <w:r w:rsidR="00C36AE2" w:rsidRPr="00002C7A">
        <w:rPr>
          <w:lang w:val="en-GB" w:eastAsia="en-US"/>
        </w:rPr>
        <w:t>s</w:t>
      </w:r>
      <w:r w:rsidR="003C22EF" w:rsidRPr="00002C7A">
        <w:rPr>
          <w:lang w:val="en-GB" w:eastAsia="en-US"/>
        </w:rPr>
        <w:t xml:space="preserve"> adjustment </w:t>
      </w:r>
      <w:r w:rsidR="008C4E44" w:rsidRPr="00002C7A">
        <w:rPr>
          <w:lang w:val="en-GB" w:eastAsia="en-US"/>
        </w:rPr>
        <w:t xml:space="preserve">to the one-year average yield of 9.1% results in a risk-free rate of </w:t>
      </w:r>
      <w:r w:rsidR="002D27B9" w:rsidRPr="00002C7A">
        <w:rPr>
          <w:lang w:val="en-GB" w:eastAsia="en-US"/>
        </w:rPr>
        <w:t>9.</w:t>
      </w:r>
      <w:r w:rsidR="00644D0C" w:rsidRPr="00002C7A">
        <w:rPr>
          <w:lang w:val="en-GB" w:eastAsia="en-US"/>
        </w:rPr>
        <w:t>7</w:t>
      </w:r>
      <w:r w:rsidR="002D27B9" w:rsidRPr="00002C7A">
        <w:rPr>
          <w:lang w:val="en-GB" w:eastAsia="en-US"/>
        </w:rPr>
        <w:t>0%</w:t>
      </w:r>
      <w:r w:rsidR="006868BF" w:rsidRPr="00002C7A">
        <w:rPr>
          <w:lang w:val="en-GB"/>
        </w:rPr>
        <w:t>.</w:t>
      </w:r>
    </w:p>
    <w:p w14:paraId="017A09FF" w14:textId="5D38FBAC" w:rsidR="005838C5" w:rsidRDefault="00BE4826" w:rsidP="00500B2F">
      <w:pPr>
        <w:pStyle w:val="Caption"/>
        <w:jc w:val="both"/>
      </w:pPr>
      <w:bookmarkStart w:id="108" w:name="_Ref213235331"/>
      <w:bookmarkStart w:id="109" w:name="_Toc219739795"/>
      <w:bookmarkStart w:id="110" w:name="_Toc217060079"/>
      <w:r>
        <w:t xml:space="preserve">Table </w:t>
      </w:r>
      <w:fldSimple w:instr=" SEQ Table \* ARABIC ">
        <w:r w:rsidR="007F093A">
          <w:rPr>
            <w:noProof/>
          </w:rPr>
          <w:t>3</w:t>
        </w:r>
      </w:fldSimple>
      <w:bookmarkEnd w:id="108"/>
      <w:r>
        <w:t>: Risk</w:t>
      </w:r>
      <w:r w:rsidR="00724CB7">
        <w:t xml:space="preserve">-Free Rate </w:t>
      </w:r>
      <w:r w:rsidR="00724CB7" w:rsidRPr="00E86E52">
        <w:t>for</w:t>
      </w:r>
      <w:r w:rsidR="00724CB7">
        <w:t xml:space="preserve"> regulated activities in Georgia</w:t>
      </w:r>
      <w:bookmarkEnd w:id="109"/>
      <w:bookmarkEnd w:id="110"/>
    </w:p>
    <w:p w14:paraId="377190E0" w14:textId="1698F376" w:rsidR="00563627" w:rsidRPr="00825F2B" w:rsidRDefault="006F4BA4" w:rsidP="00500B2F">
      <w:pPr>
        <w:pStyle w:val="Figure"/>
        <w:jc w:val="both"/>
      </w:pPr>
      <w:r w:rsidRPr="006F4BA4">
        <w:drawing>
          <wp:inline distT="0" distB="0" distL="0" distR="0" wp14:anchorId="0924C64A" wp14:editId="0CC48986">
            <wp:extent cx="3600450" cy="1781175"/>
            <wp:effectExtent l="0" t="0" r="0" b="0"/>
            <wp:docPr id="1486813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0450" cy="1781175"/>
                    </a:xfrm>
                    <a:prstGeom prst="rect">
                      <a:avLst/>
                    </a:prstGeom>
                    <a:noFill/>
                    <a:ln>
                      <a:noFill/>
                    </a:ln>
                  </pic:spPr>
                </pic:pic>
              </a:graphicData>
            </a:graphic>
          </wp:inline>
        </w:drawing>
      </w:r>
    </w:p>
    <w:p w14:paraId="0B4DA3B9" w14:textId="77777777" w:rsidR="00E17D1C" w:rsidRPr="008C14A2" w:rsidRDefault="00E17D1C" w:rsidP="00500B2F">
      <w:pPr>
        <w:pStyle w:val="Heading1"/>
        <w:jc w:val="both"/>
      </w:pPr>
      <w:bookmarkStart w:id="111" w:name="_Toc8902963"/>
      <w:bookmarkStart w:id="112" w:name="_Toc9850264"/>
      <w:bookmarkStart w:id="113" w:name="_Toc73455311"/>
      <w:bookmarkStart w:id="114" w:name="_Toc78563287"/>
      <w:bookmarkStart w:id="115" w:name="_Toc99716127"/>
      <w:bookmarkStart w:id="116" w:name="_Toc99716220"/>
      <w:bookmarkStart w:id="117" w:name="_Ref99723817"/>
      <w:bookmarkStart w:id="118" w:name="_Toc99728404"/>
      <w:bookmarkStart w:id="119" w:name="_Ref100321594"/>
      <w:bookmarkStart w:id="120" w:name="_Toc100325564"/>
      <w:bookmarkStart w:id="121" w:name="_Ref102147965"/>
      <w:bookmarkStart w:id="122" w:name="_Ref213873456"/>
      <w:bookmarkStart w:id="123" w:name="_Toc219739770"/>
      <w:bookmarkStart w:id="124" w:name="_Toc217060056"/>
      <w:r w:rsidRPr="008C14A2">
        <w:lastRenderedPageBreak/>
        <w:t>The Equity Risk Premium</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12744261" w14:textId="545AFC02" w:rsidR="003A7FAB" w:rsidRPr="00002C7A" w:rsidRDefault="00E86E52" w:rsidP="00500B2F">
      <w:pPr>
        <w:pStyle w:val="Heading1Separator"/>
        <w:jc w:val="both"/>
        <w:rPr>
          <w:lang w:val="en-GB"/>
        </w:rPr>
      </w:pPr>
      <w:r w:rsidRPr="00002C7A">
        <w:rPr>
          <w:lang w:val="en-GB"/>
        </w:rPr>
        <w:tab/>
      </w:r>
    </w:p>
    <w:p w14:paraId="527A9531" w14:textId="547A8F05" w:rsidR="00933F16" w:rsidRDefault="006F1629" w:rsidP="00500B2F">
      <w:pPr>
        <w:pStyle w:val="Heading2"/>
        <w:jc w:val="both"/>
      </w:pPr>
      <w:bookmarkStart w:id="125" w:name="_Toc219739771"/>
      <w:bookmarkStart w:id="126" w:name="_Toc217060057"/>
      <w:bookmarkStart w:id="127" w:name="_Ref3284605"/>
      <w:bookmarkStart w:id="128" w:name="_Toc73455334"/>
      <w:bookmarkStart w:id="129" w:name="_Toc78563251"/>
      <w:bookmarkStart w:id="130" w:name="_Toc99716105"/>
      <w:bookmarkStart w:id="131" w:name="_Toc99716198"/>
      <w:bookmarkStart w:id="132" w:name="_Toc99728378"/>
      <w:r>
        <w:t>Methodological</w:t>
      </w:r>
      <w:r w:rsidR="00933F16">
        <w:t xml:space="preserve"> </w:t>
      </w:r>
      <w:r w:rsidR="00933F16" w:rsidRPr="00E86E52">
        <w:t>Considerations</w:t>
      </w:r>
      <w:bookmarkEnd w:id="125"/>
      <w:bookmarkEnd w:id="126"/>
    </w:p>
    <w:p w14:paraId="4EE31C55" w14:textId="7EDDE7BA" w:rsidR="007679BC" w:rsidRPr="00002C7A" w:rsidRDefault="00B40F7E" w:rsidP="00500B2F">
      <w:pPr>
        <w:pStyle w:val="ParagraphNumbered"/>
        <w:jc w:val="both"/>
        <w:rPr>
          <w:lang w:val="en-GB"/>
        </w:rPr>
      </w:pPr>
      <w:r w:rsidRPr="00002C7A">
        <w:rPr>
          <w:lang w:val="en-GB"/>
        </w:rPr>
        <w:t>There are t</w:t>
      </w:r>
      <w:r w:rsidR="006A6C4C" w:rsidRPr="00002C7A">
        <w:rPr>
          <w:lang w:val="en-GB"/>
        </w:rPr>
        <w:t>wo</w:t>
      </w:r>
      <w:r w:rsidRPr="00002C7A">
        <w:rPr>
          <w:lang w:val="en-GB"/>
        </w:rPr>
        <w:t xml:space="preserve"> mai</w:t>
      </w:r>
      <w:r w:rsidR="007679BC" w:rsidRPr="00002C7A">
        <w:rPr>
          <w:lang w:val="en-GB"/>
        </w:rPr>
        <w:t>n issues to consider when estimating the ERP for tel</w:t>
      </w:r>
      <w:r w:rsidR="00DF0B49" w:rsidRPr="00002C7A">
        <w:rPr>
          <w:lang w:val="en-GB"/>
        </w:rPr>
        <w:t>e</w:t>
      </w:r>
      <w:r w:rsidR="007679BC" w:rsidRPr="00002C7A">
        <w:rPr>
          <w:lang w:val="en-GB"/>
        </w:rPr>
        <w:t>coms services in Georgia:</w:t>
      </w:r>
    </w:p>
    <w:p w14:paraId="7BCC6BB6" w14:textId="77777777" w:rsidR="00416556" w:rsidRPr="00002C7A" w:rsidRDefault="007679BC" w:rsidP="00500B2F">
      <w:pPr>
        <w:pStyle w:val="ParagraphNumbered2"/>
        <w:jc w:val="both"/>
        <w:rPr>
          <w:lang w:val="en-GB"/>
        </w:rPr>
      </w:pPr>
      <w:r w:rsidRPr="00002C7A">
        <w:rPr>
          <w:lang w:val="en-GB"/>
        </w:rPr>
        <w:t>First, whether to</w:t>
      </w:r>
      <w:r w:rsidR="00416556" w:rsidRPr="00002C7A">
        <w:rPr>
          <w:lang w:val="en-GB"/>
        </w:rPr>
        <w:t xml:space="preserve"> estimate the ERP on historical data or consider alternative approaches such as dividend growth models or surveys.</w:t>
      </w:r>
    </w:p>
    <w:p w14:paraId="4D66B2F1" w14:textId="3463E626" w:rsidR="002F3DBF" w:rsidRPr="00002C7A" w:rsidRDefault="00416556" w:rsidP="00500B2F">
      <w:pPr>
        <w:pStyle w:val="ParagraphNumbered2"/>
        <w:jc w:val="both"/>
        <w:rPr>
          <w:lang w:val="en-GB"/>
        </w:rPr>
      </w:pPr>
      <w:r w:rsidRPr="00002C7A">
        <w:rPr>
          <w:lang w:val="en-GB"/>
        </w:rPr>
        <w:t>Second</w:t>
      </w:r>
      <w:r w:rsidR="007146E1" w:rsidRPr="00002C7A">
        <w:rPr>
          <w:lang w:val="en-GB"/>
        </w:rPr>
        <w:t xml:space="preserve">, whether </w:t>
      </w:r>
      <w:r w:rsidR="00D2689F" w:rsidRPr="00002C7A">
        <w:rPr>
          <w:lang w:val="en-GB"/>
        </w:rPr>
        <w:t>the ERP for telecoms services in Georgia should reflect a world ERP</w:t>
      </w:r>
      <w:r w:rsidR="002F3DBF" w:rsidRPr="00002C7A">
        <w:rPr>
          <w:lang w:val="en-GB"/>
        </w:rPr>
        <w:t xml:space="preserve">, a regional ERP </w:t>
      </w:r>
      <w:r w:rsidR="00D2689F" w:rsidRPr="00002C7A">
        <w:rPr>
          <w:lang w:val="en-GB"/>
        </w:rPr>
        <w:t>or</w:t>
      </w:r>
      <w:r w:rsidR="002F3DBF" w:rsidRPr="00002C7A">
        <w:rPr>
          <w:lang w:val="en-GB"/>
        </w:rPr>
        <w:t xml:space="preserve"> a country-specific Georgian ERP</w:t>
      </w:r>
      <w:r w:rsidR="00CE518C" w:rsidRPr="00002C7A">
        <w:rPr>
          <w:lang w:val="en-GB"/>
        </w:rPr>
        <w:t>, assuming such an ERP exists</w:t>
      </w:r>
      <w:r w:rsidR="002F3DBF" w:rsidRPr="00002C7A">
        <w:rPr>
          <w:lang w:val="en-GB"/>
        </w:rPr>
        <w:t>.</w:t>
      </w:r>
    </w:p>
    <w:p w14:paraId="1373ECB8" w14:textId="247D1C2F" w:rsidR="006F492B" w:rsidRPr="00002C7A" w:rsidRDefault="002F3DBF" w:rsidP="00500B2F">
      <w:pPr>
        <w:pStyle w:val="ParagraphNumbered"/>
        <w:jc w:val="both"/>
        <w:rPr>
          <w:lang w:val="en-GB"/>
        </w:rPr>
      </w:pPr>
      <w:r w:rsidRPr="00002C7A">
        <w:rPr>
          <w:lang w:val="en-GB"/>
        </w:rPr>
        <w:t>We discuss these issues in turn before presenting evidence</w:t>
      </w:r>
      <w:r w:rsidR="00D2689F" w:rsidRPr="00002C7A">
        <w:rPr>
          <w:lang w:val="en-GB"/>
        </w:rPr>
        <w:t xml:space="preserve"> </w:t>
      </w:r>
      <w:r w:rsidR="00B00801" w:rsidRPr="00002C7A">
        <w:rPr>
          <w:lang w:val="en-GB"/>
        </w:rPr>
        <w:t>on ERP estimates in the following sections.</w:t>
      </w:r>
    </w:p>
    <w:p w14:paraId="5A39ECF0" w14:textId="005C914F" w:rsidR="00CE230A" w:rsidRDefault="007A2BDF" w:rsidP="00500B2F">
      <w:pPr>
        <w:pStyle w:val="Heading3"/>
        <w:jc w:val="both"/>
      </w:pPr>
      <w:bookmarkStart w:id="133" w:name="_Toc219739772"/>
      <w:bookmarkStart w:id="134" w:name="_Toc217060058"/>
      <w:r w:rsidRPr="007A2BDF">
        <w:t>Methodology for Estimating the ERP</w:t>
      </w:r>
      <w:bookmarkEnd w:id="133"/>
      <w:bookmarkEnd w:id="134"/>
    </w:p>
    <w:p w14:paraId="379E5AAB" w14:textId="3AFB0199" w:rsidR="009B298D" w:rsidRPr="00002C7A" w:rsidRDefault="00CD46FF" w:rsidP="00500B2F">
      <w:pPr>
        <w:pStyle w:val="ParagraphNumbered"/>
        <w:jc w:val="both"/>
        <w:rPr>
          <w:lang w:val="en-GB"/>
        </w:rPr>
      </w:pPr>
      <w:r w:rsidRPr="00002C7A">
        <w:rPr>
          <w:lang w:val="en-GB"/>
        </w:rPr>
        <w:t>The equity risk premium (ERP) measures the</w:t>
      </w:r>
      <w:r w:rsidR="007C0C32" w:rsidRPr="00002C7A">
        <w:rPr>
          <w:lang w:val="en-GB"/>
        </w:rPr>
        <w:t xml:space="preserve"> </w:t>
      </w:r>
      <w:r w:rsidR="00CA6890" w:rsidRPr="00002C7A">
        <w:rPr>
          <w:lang w:val="en-GB"/>
        </w:rPr>
        <w:t>additional</w:t>
      </w:r>
      <w:r w:rsidR="00EB765D" w:rsidRPr="00002C7A">
        <w:rPr>
          <w:lang w:val="en-GB"/>
        </w:rPr>
        <w:t xml:space="preserve"> return</w:t>
      </w:r>
      <w:r w:rsidR="00CA6890" w:rsidRPr="00002C7A">
        <w:rPr>
          <w:lang w:val="en-GB"/>
        </w:rPr>
        <w:t>, or</w:t>
      </w:r>
      <w:r w:rsidR="00EB765D" w:rsidRPr="00002C7A">
        <w:rPr>
          <w:lang w:val="en-GB"/>
        </w:rPr>
        <w:t xml:space="preserve"> </w:t>
      </w:r>
      <w:r w:rsidR="00272BE5" w:rsidRPr="00002C7A">
        <w:rPr>
          <w:lang w:val="en-GB"/>
        </w:rPr>
        <w:t>premium</w:t>
      </w:r>
      <w:r w:rsidR="00CA6890" w:rsidRPr="00002C7A">
        <w:rPr>
          <w:lang w:val="en-GB"/>
        </w:rPr>
        <w:t xml:space="preserve">, </w:t>
      </w:r>
      <w:r w:rsidR="002A13F5" w:rsidRPr="00002C7A">
        <w:rPr>
          <w:lang w:val="en-GB"/>
        </w:rPr>
        <w:t>needed to compensate</w:t>
      </w:r>
      <w:r w:rsidR="001E666C" w:rsidRPr="00002C7A">
        <w:rPr>
          <w:lang w:val="en-GB"/>
        </w:rPr>
        <w:t xml:space="preserve"> </w:t>
      </w:r>
      <w:r w:rsidR="007C0C32" w:rsidRPr="00002C7A">
        <w:rPr>
          <w:lang w:val="en-GB"/>
        </w:rPr>
        <w:t xml:space="preserve">investors </w:t>
      </w:r>
      <w:r w:rsidR="001E666C" w:rsidRPr="00002C7A">
        <w:rPr>
          <w:lang w:val="en-GB"/>
        </w:rPr>
        <w:t xml:space="preserve">for </w:t>
      </w:r>
      <w:r w:rsidR="002A13F5" w:rsidRPr="00002C7A">
        <w:rPr>
          <w:lang w:val="en-GB"/>
        </w:rPr>
        <w:t xml:space="preserve">the risk of holding </w:t>
      </w:r>
      <w:r w:rsidR="001E666C" w:rsidRPr="00002C7A">
        <w:rPr>
          <w:lang w:val="en-GB"/>
        </w:rPr>
        <w:t xml:space="preserve">risky </w:t>
      </w:r>
      <w:r w:rsidR="001357EF" w:rsidRPr="00002C7A">
        <w:rPr>
          <w:lang w:val="en-GB"/>
        </w:rPr>
        <w:t>equit</w:t>
      </w:r>
      <w:r w:rsidR="00EA70AF">
        <w:rPr>
          <w:lang w:val="en-GB"/>
        </w:rPr>
        <w:t>i</w:t>
      </w:r>
      <w:r w:rsidR="001357EF" w:rsidRPr="00002C7A">
        <w:rPr>
          <w:lang w:val="en-GB"/>
        </w:rPr>
        <w:t xml:space="preserve">es, or shares, </w:t>
      </w:r>
      <w:r w:rsidR="00AB105B" w:rsidRPr="00002C7A">
        <w:rPr>
          <w:lang w:val="en-GB"/>
        </w:rPr>
        <w:t xml:space="preserve">as opposed to holding a </w:t>
      </w:r>
      <w:r w:rsidR="00603A78" w:rsidRPr="00002C7A">
        <w:rPr>
          <w:lang w:val="en-GB"/>
        </w:rPr>
        <w:t xml:space="preserve">risk-free </w:t>
      </w:r>
      <w:r w:rsidR="001E666C" w:rsidRPr="00002C7A">
        <w:rPr>
          <w:lang w:val="en-GB"/>
        </w:rPr>
        <w:t>asset</w:t>
      </w:r>
      <w:r w:rsidR="00603A78" w:rsidRPr="00002C7A">
        <w:rPr>
          <w:lang w:val="en-GB"/>
        </w:rPr>
        <w:t xml:space="preserve">. </w:t>
      </w:r>
      <w:r w:rsidR="00982BD8" w:rsidRPr="00002C7A">
        <w:rPr>
          <w:lang w:val="en-GB"/>
        </w:rPr>
        <w:t xml:space="preserve">Importantly, and unlike </w:t>
      </w:r>
      <w:r w:rsidR="00603A78" w:rsidRPr="00002C7A">
        <w:rPr>
          <w:lang w:val="en-GB"/>
        </w:rPr>
        <w:t>the risk-free rate</w:t>
      </w:r>
      <w:r w:rsidR="00982BD8" w:rsidRPr="00002C7A">
        <w:rPr>
          <w:lang w:val="en-GB"/>
        </w:rPr>
        <w:t>, the ERP is not observable. For example, there is no traded product that will reveal the market’s expectation of the ERP. Regulators can only estimate the ERP, and any estimate will inevitably be subject to uncertainty and errors</w:t>
      </w:r>
      <w:r w:rsidR="00603A78" w:rsidRPr="00002C7A">
        <w:rPr>
          <w:lang w:val="en-GB"/>
        </w:rPr>
        <w:t xml:space="preserve">. </w:t>
      </w:r>
    </w:p>
    <w:p w14:paraId="38932580" w14:textId="1A415B0F" w:rsidR="002D4D55" w:rsidRPr="00002C7A" w:rsidRDefault="00603A78" w:rsidP="00500B2F">
      <w:pPr>
        <w:pStyle w:val="ParagraphNumbered"/>
        <w:jc w:val="both"/>
        <w:rPr>
          <w:lang w:val="en-GB"/>
        </w:rPr>
      </w:pPr>
      <w:r w:rsidRPr="00002C7A">
        <w:rPr>
          <w:lang w:val="en-GB"/>
        </w:rPr>
        <w:t>Regulators</w:t>
      </w:r>
      <w:r w:rsidR="00DF1393" w:rsidRPr="00002C7A">
        <w:rPr>
          <w:lang w:val="en-GB"/>
        </w:rPr>
        <w:t xml:space="preserve"> generally estimate the ERP </w:t>
      </w:r>
      <w:r w:rsidR="00CE3B2F" w:rsidRPr="00002C7A">
        <w:rPr>
          <w:lang w:val="en-GB"/>
        </w:rPr>
        <w:t xml:space="preserve">using historical data, </w:t>
      </w:r>
      <w:r w:rsidR="00F64D34" w:rsidRPr="00002C7A">
        <w:rPr>
          <w:lang w:val="en-GB"/>
        </w:rPr>
        <w:t>by looking at long</w:t>
      </w:r>
      <w:r w:rsidR="00E16499" w:rsidRPr="00002C7A">
        <w:rPr>
          <w:lang w:val="en-GB"/>
        </w:rPr>
        <w:t>-run</w:t>
      </w:r>
      <w:r w:rsidR="00F64D34" w:rsidRPr="00002C7A">
        <w:rPr>
          <w:lang w:val="en-GB"/>
        </w:rPr>
        <w:t xml:space="preserve"> </w:t>
      </w:r>
      <w:r w:rsidR="00E16499" w:rsidRPr="00002C7A">
        <w:rPr>
          <w:lang w:val="en-GB"/>
        </w:rPr>
        <w:t>averages</w:t>
      </w:r>
      <w:r w:rsidR="00F64D34" w:rsidRPr="00002C7A">
        <w:rPr>
          <w:lang w:val="en-GB"/>
        </w:rPr>
        <w:t xml:space="preserve"> of the </w:t>
      </w:r>
      <w:r w:rsidR="00982BD8" w:rsidRPr="00002C7A">
        <w:rPr>
          <w:lang w:val="en-GB"/>
        </w:rPr>
        <w:t>excess returns of stocks over bonds</w:t>
      </w:r>
      <w:r w:rsidR="00AB5E65" w:rsidRPr="00002C7A">
        <w:rPr>
          <w:lang w:val="en-GB"/>
        </w:rPr>
        <w:t xml:space="preserve"> across countries</w:t>
      </w:r>
      <w:r w:rsidR="007C6E45" w:rsidRPr="00002C7A">
        <w:rPr>
          <w:lang w:val="en-GB"/>
        </w:rPr>
        <w:t xml:space="preserve">. </w:t>
      </w:r>
      <w:r w:rsidR="0001613F" w:rsidRPr="00002C7A">
        <w:rPr>
          <w:lang w:val="en-GB"/>
        </w:rPr>
        <w:t xml:space="preserve">The fundamental idea </w:t>
      </w:r>
      <w:r w:rsidR="00392BD9" w:rsidRPr="00002C7A">
        <w:rPr>
          <w:lang w:val="en-GB"/>
        </w:rPr>
        <w:t xml:space="preserve">of using past returns to estimate the ERP is that, in the very long-run, the actual excess return investors earned should correspond to the </w:t>
      </w:r>
      <w:r w:rsidR="0090214D" w:rsidRPr="00002C7A">
        <w:rPr>
          <w:lang w:val="en-GB"/>
        </w:rPr>
        <w:t xml:space="preserve">excess return they expected or required. While in any </w:t>
      </w:r>
      <w:r w:rsidR="00823CAF" w:rsidRPr="00002C7A">
        <w:rPr>
          <w:lang w:val="en-GB"/>
        </w:rPr>
        <w:t xml:space="preserve">given </w:t>
      </w:r>
      <w:r w:rsidR="001E7DA4" w:rsidRPr="00002C7A">
        <w:rPr>
          <w:lang w:val="en-GB"/>
        </w:rPr>
        <w:t>year</w:t>
      </w:r>
      <w:r w:rsidR="0090214D" w:rsidRPr="00002C7A">
        <w:rPr>
          <w:lang w:val="en-GB"/>
        </w:rPr>
        <w:t xml:space="preserve"> excess returns may be higher or lower than expected, </w:t>
      </w:r>
      <w:r w:rsidR="0051558D" w:rsidRPr="00002C7A">
        <w:rPr>
          <w:lang w:val="en-GB"/>
        </w:rPr>
        <w:t>i</w:t>
      </w:r>
      <w:r w:rsidR="0090214D" w:rsidRPr="00002C7A">
        <w:rPr>
          <w:lang w:val="en-GB"/>
        </w:rPr>
        <w:t xml:space="preserve">n the very long-run these </w:t>
      </w:r>
      <w:r w:rsidR="00674DD2" w:rsidRPr="00002C7A">
        <w:rPr>
          <w:lang w:val="en-GB"/>
        </w:rPr>
        <w:t xml:space="preserve">‘surprises’ should even out. </w:t>
      </w:r>
      <w:r w:rsidR="00D33D06" w:rsidRPr="00002C7A">
        <w:rPr>
          <w:lang w:val="en-GB"/>
        </w:rPr>
        <w:t xml:space="preserve">Also, </w:t>
      </w:r>
      <w:r w:rsidR="00170ADC" w:rsidRPr="00002C7A">
        <w:rPr>
          <w:lang w:val="en-GB"/>
        </w:rPr>
        <w:t xml:space="preserve">long-run averages </w:t>
      </w:r>
      <w:r w:rsidR="00262556" w:rsidRPr="00002C7A">
        <w:rPr>
          <w:lang w:val="en-GB"/>
        </w:rPr>
        <w:t xml:space="preserve">of excess returns </w:t>
      </w:r>
      <w:r w:rsidR="00170ADC" w:rsidRPr="00002C7A">
        <w:rPr>
          <w:lang w:val="en-GB"/>
        </w:rPr>
        <w:t>tend to be stable</w:t>
      </w:r>
      <w:r w:rsidR="00E16499" w:rsidRPr="00002C7A">
        <w:rPr>
          <w:lang w:val="en-GB"/>
        </w:rPr>
        <w:t xml:space="preserve"> </w:t>
      </w:r>
      <w:r w:rsidR="001053A6" w:rsidRPr="00002C7A">
        <w:rPr>
          <w:lang w:val="en-GB"/>
        </w:rPr>
        <w:t xml:space="preserve">and highly predictable, which are desirable properties in a regulatory setting. </w:t>
      </w:r>
      <w:r w:rsidR="002D4D55" w:rsidRPr="00002C7A">
        <w:rPr>
          <w:lang w:val="en-GB"/>
        </w:rPr>
        <w:t xml:space="preserve">For example, </w:t>
      </w:r>
      <w:r w:rsidR="00262556" w:rsidRPr="00002C7A">
        <w:rPr>
          <w:lang w:val="en-GB"/>
        </w:rPr>
        <w:t xml:space="preserve">adding one more year’s worth of data to a </w:t>
      </w:r>
      <w:r w:rsidR="00350252" w:rsidRPr="00002C7A">
        <w:rPr>
          <w:lang w:val="en-GB"/>
        </w:rPr>
        <w:t>125-year</w:t>
      </w:r>
      <w:r w:rsidR="00262556" w:rsidRPr="00002C7A">
        <w:rPr>
          <w:lang w:val="en-GB"/>
        </w:rPr>
        <w:t xml:space="preserve"> data series </w:t>
      </w:r>
      <w:r w:rsidR="002D4D55" w:rsidRPr="00002C7A">
        <w:rPr>
          <w:lang w:val="en-GB"/>
        </w:rPr>
        <w:t xml:space="preserve">will </w:t>
      </w:r>
      <w:r w:rsidR="00401CCA" w:rsidRPr="00002C7A">
        <w:rPr>
          <w:lang w:val="en-GB"/>
        </w:rPr>
        <w:t xml:space="preserve">not change the average much, even if the new value if quite different from the previous 125 values. </w:t>
      </w:r>
    </w:p>
    <w:p w14:paraId="3E54E70E" w14:textId="53C03752" w:rsidR="00ED4F89" w:rsidRPr="00002C7A" w:rsidRDefault="00AB5E65" w:rsidP="00500B2F">
      <w:pPr>
        <w:pStyle w:val="ParagraphNumbered"/>
        <w:jc w:val="both"/>
        <w:rPr>
          <w:lang w:val="en-GB"/>
        </w:rPr>
      </w:pPr>
      <w:r w:rsidRPr="00002C7A">
        <w:rPr>
          <w:lang w:val="en-GB"/>
        </w:rPr>
        <w:t xml:space="preserve">The source of historical data </w:t>
      </w:r>
      <w:r w:rsidR="00753894" w:rsidRPr="00002C7A">
        <w:rPr>
          <w:lang w:val="en-GB"/>
        </w:rPr>
        <w:t xml:space="preserve">that </w:t>
      </w:r>
      <w:r w:rsidR="00DF47AB" w:rsidRPr="00002C7A">
        <w:rPr>
          <w:lang w:val="en-GB"/>
        </w:rPr>
        <w:t>most</w:t>
      </w:r>
      <w:r w:rsidR="00753894" w:rsidRPr="00002C7A">
        <w:rPr>
          <w:lang w:val="en-GB"/>
        </w:rPr>
        <w:t xml:space="preserve"> EU regulators use </w:t>
      </w:r>
      <w:r w:rsidRPr="00002C7A">
        <w:rPr>
          <w:lang w:val="en-GB"/>
        </w:rPr>
        <w:t xml:space="preserve">is the annual publication by </w:t>
      </w:r>
      <w:r w:rsidR="00AC78D3" w:rsidRPr="00002C7A">
        <w:rPr>
          <w:lang w:val="en-GB"/>
        </w:rPr>
        <w:t xml:space="preserve">DMS which </w:t>
      </w:r>
      <w:r w:rsidR="004A0968" w:rsidRPr="00002C7A">
        <w:rPr>
          <w:lang w:val="en-GB"/>
        </w:rPr>
        <w:t>provide</w:t>
      </w:r>
      <w:r w:rsidR="006D758C" w:rsidRPr="00002C7A">
        <w:rPr>
          <w:lang w:val="en-GB"/>
        </w:rPr>
        <w:t>s</w:t>
      </w:r>
      <w:r w:rsidR="004A0968" w:rsidRPr="00002C7A">
        <w:rPr>
          <w:lang w:val="en-GB"/>
        </w:rPr>
        <w:t xml:space="preserve"> long-</w:t>
      </w:r>
      <w:r w:rsidR="00ED4F89" w:rsidRPr="00002C7A">
        <w:rPr>
          <w:lang w:val="en-GB"/>
        </w:rPr>
        <w:t>run</w:t>
      </w:r>
      <w:r w:rsidR="004A0968" w:rsidRPr="00002C7A">
        <w:rPr>
          <w:lang w:val="en-GB"/>
        </w:rPr>
        <w:t xml:space="preserve"> </w:t>
      </w:r>
      <w:r w:rsidR="0000502E" w:rsidRPr="00002C7A">
        <w:rPr>
          <w:lang w:val="en-GB"/>
        </w:rPr>
        <w:t>estimate</w:t>
      </w:r>
      <w:r w:rsidR="002B3EBF" w:rsidRPr="00002C7A">
        <w:rPr>
          <w:lang w:val="en-GB"/>
        </w:rPr>
        <w:t>s</w:t>
      </w:r>
      <w:r w:rsidR="0000502E" w:rsidRPr="00002C7A">
        <w:rPr>
          <w:lang w:val="en-GB"/>
        </w:rPr>
        <w:t xml:space="preserve"> of the average realized ERP</w:t>
      </w:r>
      <w:r w:rsidR="003E542B" w:rsidRPr="00002C7A">
        <w:rPr>
          <w:lang w:val="en-GB"/>
        </w:rPr>
        <w:t>s</w:t>
      </w:r>
      <w:r w:rsidR="0000502E" w:rsidRPr="00002C7A">
        <w:rPr>
          <w:lang w:val="en-GB"/>
        </w:rPr>
        <w:t xml:space="preserve"> from </w:t>
      </w:r>
      <w:r w:rsidR="00AA318B" w:rsidRPr="00002C7A">
        <w:rPr>
          <w:lang w:val="en-GB"/>
        </w:rPr>
        <w:t xml:space="preserve">the </w:t>
      </w:r>
      <w:r w:rsidR="00151188" w:rsidRPr="00002C7A">
        <w:rPr>
          <w:lang w:val="en-GB"/>
        </w:rPr>
        <w:t>1900</w:t>
      </w:r>
      <w:r w:rsidR="003E542B" w:rsidRPr="00002C7A">
        <w:rPr>
          <w:lang w:val="en-GB"/>
        </w:rPr>
        <w:t>.</w:t>
      </w:r>
      <w:r w:rsidR="002D5E5A" w:rsidRPr="00002C7A">
        <w:rPr>
          <w:lang w:val="en-GB"/>
        </w:rPr>
        <w:t xml:space="preserve"> </w:t>
      </w:r>
      <w:r w:rsidR="00D37352" w:rsidRPr="00002C7A">
        <w:rPr>
          <w:lang w:val="en-GB"/>
        </w:rPr>
        <w:t xml:space="preserve">The EC Guidelines also recommend estimating a European ERP based on historical data on the realized arithmetic average of the ERP for European countries. Consistent with the EC recommendations, BEREC calculates a European ERP taking the weighted average of the </w:t>
      </w:r>
      <w:r w:rsidR="00D37352" w:rsidRPr="00002C7A">
        <w:rPr>
          <w:lang w:val="en-GB"/>
        </w:rPr>
        <w:lastRenderedPageBreak/>
        <w:t>individual countries’ ERPs. BEREC relies on the raw dataset developed by DMS</w:t>
      </w:r>
      <w:r w:rsidR="00DC49D0" w:rsidRPr="00002C7A">
        <w:rPr>
          <w:rStyle w:val="FootnoteReference"/>
          <w:lang w:val="en-GB"/>
        </w:rPr>
        <w:footnoteReference w:id="25"/>
      </w:r>
      <w:r w:rsidR="00D37352" w:rsidRPr="00002C7A">
        <w:rPr>
          <w:lang w:val="en-GB"/>
        </w:rPr>
        <w:t xml:space="preserve"> for countries for which data are available. BEREC also takes data from Bloomberg on investment returns in 14 additional European countries for which DMS does not publish an ERP.</w:t>
      </w:r>
      <w:r w:rsidR="00D37352" w:rsidRPr="00002C7A">
        <w:rPr>
          <w:rStyle w:val="FootnoteReference"/>
          <w:lang w:val="en-GB"/>
        </w:rPr>
        <w:footnoteReference w:id="26"/>
      </w:r>
      <w:r w:rsidR="00D37352" w:rsidRPr="00002C7A">
        <w:rPr>
          <w:lang w:val="en-GB"/>
        </w:rPr>
        <w:t xml:space="preserve"> BEREC weights each country’s ERP taking into account both the length of the historical data series and the size of the market, which in turn considers both stock market capitalization and GDP.</w:t>
      </w:r>
      <w:r w:rsidR="00D37352" w:rsidRPr="00002C7A">
        <w:rPr>
          <w:rStyle w:val="FootnoteReference"/>
          <w:lang w:val="en-GB"/>
        </w:rPr>
        <w:footnoteReference w:id="27"/>
      </w:r>
    </w:p>
    <w:p w14:paraId="16BC7410" w14:textId="5EE2D60C" w:rsidR="000D6C55" w:rsidRPr="00002C7A" w:rsidRDefault="007C6E45" w:rsidP="00500B2F">
      <w:pPr>
        <w:pStyle w:val="ParagraphNumbered"/>
        <w:jc w:val="both"/>
        <w:rPr>
          <w:lang w:val="en-GB"/>
        </w:rPr>
      </w:pPr>
      <w:r w:rsidRPr="00002C7A">
        <w:rPr>
          <w:lang w:val="en-GB"/>
        </w:rPr>
        <w:t xml:space="preserve">Alternative methods for </w:t>
      </w:r>
      <w:r w:rsidR="00734B08" w:rsidRPr="00002C7A">
        <w:rPr>
          <w:lang w:val="en-GB"/>
        </w:rPr>
        <w:t xml:space="preserve">estimating the </w:t>
      </w:r>
      <w:r w:rsidR="00C51B79" w:rsidRPr="00002C7A">
        <w:rPr>
          <w:lang w:val="en-GB"/>
        </w:rPr>
        <w:t>ERP</w:t>
      </w:r>
      <w:r w:rsidR="00734B08" w:rsidRPr="00002C7A">
        <w:rPr>
          <w:lang w:val="en-GB"/>
        </w:rPr>
        <w:t xml:space="preserve"> are </w:t>
      </w:r>
      <w:r w:rsidR="00FF3035" w:rsidRPr="00002C7A">
        <w:rPr>
          <w:lang w:val="en-GB"/>
        </w:rPr>
        <w:t>di</w:t>
      </w:r>
      <w:r w:rsidR="00734B08" w:rsidRPr="00002C7A">
        <w:rPr>
          <w:lang w:val="en-GB"/>
        </w:rPr>
        <w:t xml:space="preserve">vidend </w:t>
      </w:r>
      <w:r w:rsidR="00FF3035" w:rsidRPr="00002C7A">
        <w:rPr>
          <w:lang w:val="en-GB"/>
        </w:rPr>
        <w:t>g</w:t>
      </w:r>
      <w:r w:rsidR="00734B08" w:rsidRPr="00002C7A">
        <w:rPr>
          <w:lang w:val="en-GB"/>
        </w:rPr>
        <w:t xml:space="preserve">rowth </w:t>
      </w:r>
      <w:r w:rsidR="00FF3035" w:rsidRPr="00002C7A">
        <w:rPr>
          <w:lang w:val="en-GB"/>
        </w:rPr>
        <w:t>m</w:t>
      </w:r>
      <w:r w:rsidR="00734B08" w:rsidRPr="00002C7A">
        <w:rPr>
          <w:lang w:val="en-GB"/>
        </w:rPr>
        <w:t>odels (DGM)</w:t>
      </w:r>
      <w:r w:rsidR="00FF3035" w:rsidRPr="00002C7A">
        <w:rPr>
          <w:lang w:val="en-GB"/>
        </w:rPr>
        <w:t xml:space="preserve">, which reflect the implied </w:t>
      </w:r>
      <w:r w:rsidR="00BF71FC" w:rsidRPr="00002C7A">
        <w:rPr>
          <w:lang w:val="en-GB"/>
        </w:rPr>
        <w:t xml:space="preserve">premium resulting from </w:t>
      </w:r>
      <w:r w:rsidR="00F956CD" w:rsidRPr="00002C7A">
        <w:rPr>
          <w:lang w:val="en-GB"/>
        </w:rPr>
        <w:t xml:space="preserve">current stock </w:t>
      </w:r>
      <w:r w:rsidR="00BC683A" w:rsidRPr="00002C7A">
        <w:rPr>
          <w:lang w:val="en-GB"/>
        </w:rPr>
        <w:t>prices and</w:t>
      </w:r>
      <w:r w:rsidR="00303369" w:rsidRPr="00002C7A">
        <w:rPr>
          <w:lang w:val="en-GB"/>
        </w:rPr>
        <w:t xml:space="preserve"> assumed dividend growth rate</w:t>
      </w:r>
      <w:r w:rsidR="00B902FB" w:rsidRPr="00002C7A">
        <w:rPr>
          <w:lang w:val="en-GB"/>
        </w:rPr>
        <w:t>,</w:t>
      </w:r>
      <w:r w:rsidR="00FF3035" w:rsidRPr="00002C7A">
        <w:rPr>
          <w:lang w:val="en-GB"/>
        </w:rPr>
        <w:t xml:space="preserve"> and survey</w:t>
      </w:r>
      <w:r w:rsidR="00B902FB" w:rsidRPr="00002C7A">
        <w:rPr>
          <w:lang w:val="en-GB"/>
        </w:rPr>
        <w:t xml:space="preserve"> </w:t>
      </w:r>
      <w:r w:rsidR="00EB121D" w:rsidRPr="00002C7A">
        <w:rPr>
          <w:lang w:val="en-GB"/>
        </w:rPr>
        <w:t>data</w:t>
      </w:r>
      <w:r w:rsidR="00534BF8" w:rsidRPr="00002C7A">
        <w:rPr>
          <w:lang w:val="en-GB"/>
        </w:rPr>
        <w:t xml:space="preserve">. </w:t>
      </w:r>
      <w:r w:rsidR="00F96E68" w:rsidRPr="00002C7A">
        <w:rPr>
          <w:lang w:val="en-GB"/>
        </w:rPr>
        <w:t xml:space="preserve">DGMs, however, tend to be volatile and </w:t>
      </w:r>
      <w:r w:rsidR="00580A99" w:rsidRPr="00002C7A">
        <w:rPr>
          <w:lang w:val="en-GB"/>
        </w:rPr>
        <w:t>driven by assumptions, whereas survey data</w:t>
      </w:r>
      <w:r w:rsidR="0028371E" w:rsidRPr="00002C7A">
        <w:rPr>
          <w:lang w:val="en-GB"/>
        </w:rPr>
        <w:t xml:space="preserve"> shows very large variability and is often driven by optimism or pessimism about the market outlook.</w:t>
      </w:r>
      <w:r w:rsidR="00A33359" w:rsidRPr="00002C7A">
        <w:rPr>
          <w:lang w:val="en-GB"/>
        </w:rPr>
        <w:t xml:space="preserve"> For these reasons, </w:t>
      </w:r>
      <w:r w:rsidR="00F17C4D" w:rsidRPr="00002C7A">
        <w:rPr>
          <w:lang w:val="en-GB"/>
        </w:rPr>
        <w:t>the use of historical data is generally preferred to DGMs and survey data</w:t>
      </w:r>
      <w:r w:rsidR="00752A03" w:rsidRPr="00002C7A">
        <w:rPr>
          <w:lang w:val="en-GB"/>
        </w:rPr>
        <w:t>.</w:t>
      </w:r>
      <w:r w:rsidR="004B2848" w:rsidRPr="00002C7A">
        <w:rPr>
          <w:lang w:val="en-GB"/>
        </w:rPr>
        <w:t xml:space="preserve"> </w:t>
      </w:r>
    </w:p>
    <w:p w14:paraId="258E6D86" w14:textId="79ADFF4E" w:rsidR="003B1BD7" w:rsidRPr="00002C7A" w:rsidRDefault="000D6C55" w:rsidP="00500B2F">
      <w:pPr>
        <w:pStyle w:val="ParagraphNumbered"/>
        <w:jc w:val="both"/>
        <w:rPr>
          <w:lang w:val="en-GB" w:eastAsia="en-US"/>
        </w:rPr>
      </w:pPr>
      <w:r w:rsidRPr="00002C7A">
        <w:rPr>
          <w:lang w:val="en-GB"/>
        </w:rPr>
        <w:t>Based on the above considerations</w:t>
      </w:r>
      <w:r w:rsidR="004B2848" w:rsidRPr="00002C7A">
        <w:rPr>
          <w:lang w:val="en-GB"/>
        </w:rPr>
        <w:t xml:space="preserve">, we recommend ComCom to </w:t>
      </w:r>
      <w:r w:rsidR="00E75AF1" w:rsidRPr="00002C7A">
        <w:rPr>
          <w:lang w:val="en-GB"/>
        </w:rPr>
        <w:t xml:space="preserve">estimate the ERP for </w:t>
      </w:r>
      <w:r w:rsidR="000B5850" w:rsidRPr="00002C7A">
        <w:rPr>
          <w:lang w:val="en-GB"/>
        </w:rPr>
        <w:t>tel</w:t>
      </w:r>
      <w:r w:rsidRPr="00002C7A">
        <w:rPr>
          <w:lang w:val="en-GB"/>
        </w:rPr>
        <w:t>e</w:t>
      </w:r>
      <w:r w:rsidR="000B5850" w:rsidRPr="00002C7A">
        <w:rPr>
          <w:lang w:val="en-GB"/>
        </w:rPr>
        <w:t>coms services in Georgia based on historical data</w:t>
      </w:r>
      <w:r w:rsidRPr="00002C7A">
        <w:rPr>
          <w:lang w:val="en-GB"/>
        </w:rPr>
        <w:t>, also consistent with the EC Guidelines</w:t>
      </w:r>
      <w:r w:rsidR="000B5850" w:rsidRPr="00002C7A">
        <w:rPr>
          <w:lang w:val="en-GB"/>
        </w:rPr>
        <w:t>.</w:t>
      </w:r>
    </w:p>
    <w:p w14:paraId="28A08ABE" w14:textId="039F16EF" w:rsidR="007A2BDF" w:rsidRPr="002A0656" w:rsidRDefault="007A2BDF" w:rsidP="00500B2F">
      <w:pPr>
        <w:pStyle w:val="Heading3"/>
        <w:jc w:val="both"/>
      </w:pPr>
      <w:bookmarkStart w:id="135" w:name="_Toc219739773"/>
      <w:bookmarkStart w:id="136" w:name="_Toc217060059"/>
      <w:r>
        <w:t>Geographic scope of the ERP</w:t>
      </w:r>
      <w:bookmarkEnd w:id="135"/>
      <w:bookmarkEnd w:id="136"/>
      <w:r w:rsidR="006E4849">
        <w:t xml:space="preserve"> </w:t>
      </w:r>
    </w:p>
    <w:p w14:paraId="3E0270EC" w14:textId="130D633B" w:rsidR="00B61518" w:rsidRPr="00002C7A" w:rsidRDefault="0035692A" w:rsidP="00500B2F">
      <w:pPr>
        <w:pStyle w:val="ParagraphNumbered"/>
        <w:jc w:val="both"/>
        <w:rPr>
          <w:lang w:val="en-GB"/>
        </w:rPr>
      </w:pPr>
      <w:r w:rsidRPr="00002C7A">
        <w:rPr>
          <w:lang w:val="en-GB"/>
        </w:rPr>
        <w:t xml:space="preserve">A second important </w:t>
      </w:r>
      <w:r w:rsidR="00EA70AF">
        <w:rPr>
          <w:lang w:val="en-GB"/>
        </w:rPr>
        <w:t>i</w:t>
      </w:r>
      <w:r w:rsidR="0047662F" w:rsidRPr="00002C7A">
        <w:rPr>
          <w:lang w:val="en-GB"/>
        </w:rPr>
        <w:t>ssue to consider when estimating the ERP is the geographic scope.</w:t>
      </w:r>
      <w:r w:rsidRPr="00002C7A">
        <w:rPr>
          <w:lang w:val="en-GB"/>
        </w:rPr>
        <w:t xml:space="preserve"> </w:t>
      </w:r>
      <w:r w:rsidR="006F1629" w:rsidRPr="00002C7A">
        <w:rPr>
          <w:lang w:val="en-GB"/>
        </w:rPr>
        <w:t xml:space="preserve">In principle, </w:t>
      </w:r>
      <w:r w:rsidR="00F16333" w:rsidRPr="00002C7A">
        <w:rPr>
          <w:lang w:val="en-GB"/>
        </w:rPr>
        <w:t xml:space="preserve">there is </w:t>
      </w:r>
      <w:r w:rsidR="007108B9" w:rsidRPr="00002C7A">
        <w:rPr>
          <w:lang w:val="en-GB"/>
        </w:rPr>
        <w:t>n</w:t>
      </w:r>
      <w:r w:rsidR="00F16333" w:rsidRPr="00002C7A">
        <w:rPr>
          <w:lang w:val="en-GB"/>
        </w:rPr>
        <w:t xml:space="preserve">o such thing as a ‘Georgian ERP’ or a </w:t>
      </w:r>
      <w:r w:rsidR="00D151F3" w:rsidRPr="00002C7A">
        <w:rPr>
          <w:lang w:val="en-GB"/>
        </w:rPr>
        <w:t xml:space="preserve">US ERP. </w:t>
      </w:r>
      <w:r w:rsidR="0003426D" w:rsidRPr="00002C7A">
        <w:rPr>
          <w:lang w:val="en-GB"/>
        </w:rPr>
        <w:t xml:space="preserve">Rather, analysts measure a historical series of excess stock returns over bonds for a specific country and </w:t>
      </w:r>
      <w:r w:rsidR="00A403F6" w:rsidRPr="00002C7A">
        <w:rPr>
          <w:lang w:val="en-GB"/>
        </w:rPr>
        <w:t xml:space="preserve">then combine these estimates to form an overall estimate of the ERP. </w:t>
      </w:r>
      <w:r w:rsidR="00016273" w:rsidRPr="00002C7A">
        <w:rPr>
          <w:lang w:val="en-GB"/>
        </w:rPr>
        <w:t xml:space="preserve">For example, if the historical series of excess stock returns over bonds for Georgia was 6%, </w:t>
      </w:r>
      <w:r w:rsidR="00455B40" w:rsidRPr="00002C7A">
        <w:rPr>
          <w:lang w:val="en-GB"/>
        </w:rPr>
        <w:t xml:space="preserve">and the series for Germany was 4%, </w:t>
      </w:r>
      <w:r w:rsidR="00016273" w:rsidRPr="00002C7A">
        <w:rPr>
          <w:lang w:val="en-GB"/>
        </w:rPr>
        <w:t xml:space="preserve">this does not mean that </w:t>
      </w:r>
      <w:r w:rsidR="00455B40" w:rsidRPr="00002C7A">
        <w:rPr>
          <w:lang w:val="en-GB"/>
        </w:rPr>
        <w:t>the ERP for Georgia is 6% and the ERP for Germany is 4%, fo</w:t>
      </w:r>
      <w:r w:rsidR="00333F3E" w:rsidRPr="00002C7A">
        <w:rPr>
          <w:lang w:val="en-GB"/>
        </w:rPr>
        <w:t>r</w:t>
      </w:r>
      <w:r w:rsidR="00455B40" w:rsidRPr="00002C7A">
        <w:rPr>
          <w:lang w:val="en-GB"/>
        </w:rPr>
        <w:t xml:space="preserve"> two reasons. </w:t>
      </w:r>
      <w:r w:rsidR="00333F3E" w:rsidRPr="00002C7A">
        <w:rPr>
          <w:lang w:val="en-GB"/>
        </w:rPr>
        <w:t xml:space="preserve">First, the </w:t>
      </w:r>
      <w:r w:rsidR="00BD0AA2" w:rsidRPr="00002C7A">
        <w:rPr>
          <w:lang w:val="en-GB"/>
        </w:rPr>
        <w:t>ERP derived from the data of one country will be statistically much more uncertain tha</w:t>
      </w:r>
      <w:r w:rsidR="00EF66DA" w:rsidRPr="00002C7A">
        <w:rPr>
          <w:lang w:val="en-GB"/>
        </w:rPr>
        <w:t>n</w:t>
      </w:r>
      <w:r w:rsidR="00BD0AA2" w:rsidRPr="00002C7A">
        <w:rPr>
          <w:lang w:val="en-GB"/>
        </w:rPr>
        <w:t xml:space="preserve"> the ERP derived from the </w:t>
      </w:r>
      <w:r w:rsidR="00240A03" w:rsidRPr="00002C7A">
        <w:rPr>
          <w:lang w:val="en-GB"/>
        </w:rPr>
        <w:t xml:space="preserve">data of 20 or 30 countries. That is, from a statistical perspective, the observed excess return of 6% for Georgia may not be statistically significantly different from the 4% </w:t>
      </w:r>
      <w:r w:rsidR="00727D3C" w:rsidRPr="00002C7A">
        <w:rPr>
          <w:lang w:val="en-GB"/>
        </w:rPr>
        <w:t xml:space="preserve">excess return for Germany. That is, the true ERP for both countries could actually be the same. Second, if investors can invest in multiple markets, </w:t>
      </w:r>
      <w:r w:rsidR="005170F7" w:rsidRPr="00002C7A">
        <w:rPr>
          <w:lang w:val="en-GB"/>
        </w:rPr>
        <w:t>it</w:t>
      </w:r>
      <w:r w:rsidR="00727D3C" w:rsidRPr="00002C7A">
        <w:rPr>
          <w:lang w:val="en-GB"/>
        </w:rPr>
        <w:t xml:space="preserve"> is not clear why they would need a </w:t>
      </w:r>
      <w:r w:rsidR="00376657" w:rsidRPr="00002C7A">
        <w:rPr>
          <w:lang w:val="en-GB"/>
        </w:rPr>
        <w:t xml:space="preserve">higher </w:t>
      </w:r>
      <w:r w:rsidR="00D54F78" w:rsidRPr="00002C7A">
        <w:rPr>
          <w:lang w:val="en-GB"/>
        </w:rPr>
        <w:t xml:space="preserve">excess return for holding stock over bonds in Georgia than they would in Germany, </w:t>
      </w:r>
      <w:r w:rsidR="00D54F78" w:rsidRPr="00002C7A">
        <w:rPr>
          <w:i/>
          <w:lang w:val="en-GB"/>
        </w:rPr>
        <w:t xml:space="preserve">given that </w:t>
      </w:r>
      <w:r w:rsidR="00AC4810" w:rsidRPr="00002C7A">
        <w:rPr>
          <w:i/>
          <w:lang w:val="en-GB"/>
        </w:rPr>
        <w:t>the</w:t>
      </w:r>
      <w:r w:rsidR="00D54F78" w:rsidRPr="00002C7A">
        <w:rPr>
          <w:i/>
          <w:lang w:val="en-GB"/>
        </w:rPr>
        <w:t xml:space="preserve"> underlying bond yield </w:t>
      </w:r>
      <w:r w:rsidR="00D37420" w:rsidRPr="00002C7A">
        <w:rPr>
          <w:i/>
          <w:lang w:val="en-GB"/>
        </w:rPr>
        <w:t>(</w:t>
      </w:r>
      <w:r w:rsidR="00D54F78" w:rsidRPr="00002C7A">
        <w:rPr>
          <w:i/>
          <w:lang w:val="en-GB"/>
        </w:rPr>
        <w:t>or risk-free rate</w:t>
      </w:r>
      <w:r w:rsidR="00D37420" w:rsidRPr="00002C7A">
        <w:rPr>
          <w:i/>
          <w:lang w:val="en-GB"/>
        </w:rPr>
        <w:t>)</w:t>
      </w:r>
      <w:r w:rsidR="00D54F78" w:rsidRPr="00002C7A">
        <w:rPr>
          <w:i/>
          <w:lang w:val="en-GB"/>
        </w:rPr>
        <w:t xml:space="preserve"> already accounts for Georgian country risk</w:t>
      </w:r>
      <w:r w:rsidR="00D54F78" w:rsidRPr="00002C7A">
        <w:rPr>
          <w:lang w:val="en-GB"/>
        </w:rPr>
        <w:t xml:space="preserve">. </w:t>
      </w:r>
    </w:p>
    <w:p w14:paraId="1B4464A5" w14:textId="3F74E7C6" w:rsidR="000B5850" w:rsidRPr="00002C7A" w:rsidRDefault="00CF456D" w:rsidP="00500B2F">
      <w:pPr>
        <w:pStyle w:val="ParagraphNumbered"/>
        <w:jc w:val="both"/>
        <w:rPr>
          <w:lang w:val="en-GB"/>
        </w:rPr>
      </w:pPr>
      <w:r w:rsidRPr="00002C7A">
        <w:rPr>
          <w:lang w:val="en-GB"/>
        </w:rPr>
        <w:t>At the extreme</w:t>
      </w:r>
      <w:r w:rsidR="006F1629" w:rsidRPr="00002C7A">
        <w:rPr>
          <w:lang w:val="en-GB"/>
        </w:rPr>
        <w:t xml:space="preserve">, if investors where </w:t>
      </w:r>
      <w:r w:rsidR="00C56B71" w:rsidRPr="00002C7A">
        <w:rPr>
          <w:lang w:val="en-GB"/>
        </w:rPr>
        <w:t xml:space="preserve">perfectly diversified over the world, it would make sense to try and measure a ‘worldwide’ ERP. In practise, however, economists have found evidence of ‘home bias’. That is, investors have a tendency to invest </w:t>
      </w:r>
      <w:r w:rsidR="00F95629" w:rsidRPr="00002C7A">
        <w:rPr>
          <w:lang w:val="en-GB"/>
        </w:rPr>
        <w:t xml:space="preserve">more </w:t>
      </w:r>
      <w:r w:rsidR="00C56B71" w:rsidRPr="00002C7A">
        <w:rPr>
          <w:lang w:val="en-GB"/>
        </w:rPr>
        <w:t xml:space="preserve">in markets </w:t>
      </w:r>
      <w:r w:rsidR="00744954" w:rsidRPr="00002C7A">
        <w:rPr>
          <w:lang w:val="en-GB"/>
        </w:rPr>
        <w:t xml:space="preserve">to </w:t>
      </w:r>
      <w:r w:rsidR="00C56B71" w:rsidRPr="00002C7A">
        <w:rPr>
          <w:lang w:val="en-GB"/>
        </w:rPr>
        <w:t xml:space="preserve">which </w:t>
      </w:r>
      <w:r w:rsidR="00744954" w:rsidRPr="00002C7A">
        <w:rPr>
          <w:lang w:val="en-GB"/>
        </w:rPr>
        <w:t>they</w:t>
      </w:r>
      <w:r w:rsidR="00C56B71" w:rsidRPr="00002C7A">
        <w:rPr>
          <w:lang w:val="en-GB"/>
        </w:rPr>
        <w:t xml:space="preserve"> are </w:t>
      </w:r>
      <w:r w:rsidR="00C56B71" w:rsidRPr="00002C7A">
        <w:rPr>
          <w:lang w:val="en-GB"/>
        </w:rPr>
        <w:lastRenderedPageBreak/>
        <w:t>geographically closer</w:t>
      </w:r>
      <w:r w:rsidR="00966BAF" w:rsidRPr="00002C7A">
        <w:rPr>
          <w:lang w:val="en-GB"/>
        </w:rPr>
        <w:t>,</w:t>
      </w:r>
      <w:r w:rsidR="00F95629" w:rsidRPr="00002C7A">
        <w:rPr>
          <w:lang w:val="en-GB"/>
        </w:rPr>
        <w:t xml:space="preserve"> or </w:t>
      </w:r>
      <w:r w:rsidR="00F42E7D" w:rsidRPr="00002C7A">
        <w:rPr>
          <w:lang w:val="en-GB"/>
        </w:rPr>
        <w:t>they are familiar with</w:t>
      </w:r>
      <w:r w:rsidR="00C56B71" w:rsidRPr="00002C7A">
        <w:rPr>
          <w:lang w:val="en-GB"/>
        </w:rPr>
        <w:t xml:space="preserve">, and often with which the investor shares a common language. At the same time, it would be too extreme to suppose that investors only concentrated on their own </w:t>
      </w:r>
      <w:r w:rsidR="006A26DB" w:rsidRPr="00002C7A">
        <w:rPr>
          <w:lang w:val="en-GB"/>
        </w:rPr>
        <w:t>country</w:t>
      </w:r>
      <w:r w:rsidR="00C56B71" w:rsidRPr="00002C7A">
        <w:rPr>
          <w:lang w:val="en-GB"/>
        </w:rPr>
        <w:t xml:space="preserve">, and did not make investments outside. </w:t>
      </w:r>
    </w:p>
    <w:p w14:paraId="43179C55" w14:textId="7AA51A9A" w:rsidR="00FF56B4" w:rsidRPr="00002C7A" w:rsidRDefault="00862B21" w:rsidP="008E7A2C">
      <w:pPr>
        <w:pStyle w:val="ParagraphNumbered"/>
        <w:rPr>
          <w:lang w:val="en-GB"/>
        </w:rPr>
      </w:pPr>
      <w:r w:rsidRPr="00002C7A">
        <w:rPr>
          <w:lang w:val="en-GB"/>
        </w:rPr>
        <w:t xml:space="preserve">The EC Guidelines recommend </w:t>
      </w:r>
      <w:r w:rsidR="00F22537" w:rsidRPr="00002C7A">
        <w:rPr>
          <w:lang w:val="en-GB"/>
        </w:rPr>
        <w:t xml:space="preserve">EU member states </w:t>
      </w:r>
      <w:r w:rsidR="005015AF" w:rsidRPr="00002C7A">
        <w:rPr>
          <w:lang w:val="en-GB"/>
        </w:rPr>
        <w:t xml:space="preserve">to </w:t>
      </w:r>
      <w:r w:rsidRPr="00002C7A">
        <w:rPr>
          <w:lang w:val="en-GB"/>
        </w:rPr>
        <w:t>conside</w:t>
      </w:r>
      <w:r w:rsidR="000A7163" w:rsidRPr="00002C7A">
        <w:rPr>
          <w:lang w:val="en-GB"/>
        </w:rPr>
        <w:t>r a European ERP</w:t>
      </w:r>
      <w:r w:rsidR="005015AF" w:rsidRPr="00002C7A">
        <w:rPr>
          <w:lang w:val="en-GB"/>
        </w:rPr>
        <w:t xml:space="preserve">. </w:t>
      </w:r>
      <w:r w:rsidR="004451CD" w:rsidRPr="00002C7A">
        <w:rPr>
          <w:lang w:val="en-GB"/>
        </w:rPr>
        <w:t>W</w:t>
      </w:r>
      <w:r w:rsidR="00CE54D0" w:rsidRPr="00002C7A">
        <w:rPr>
          <w:lang w:val="en-GB"/>
        </w:rPr>
        <w:t>hile Georgia</w:t>
      </w:r>
      <w:r w:rsidR="00312DF3" w:rsidRPr="00002C7A">
        <w:rPr>
          <w:lang w:val="en-GB"/>
        </w:rPr>
        <w:t xml:space="preserve"> has applied for membership</w:t>
      </w:r>
      <w:r w:rsidR="00680BCE" w:rsidRPr="00002C7A">
        <w:rPr>
          <w:lang w:val="en-GB"/>
        </w:rPr>
        <w:t>,</w:t>
      </w:r>
      <w:r w:rsidR="000C483C" w:rsidRPr="00002C7A">
        <w:rPr>
          <w:lang w:val="en-GB"/>
        </w:rPr>
        <w:t xml:space="preserve"> </w:t>
      </w:r>
      <w:r w:rsidR="005015AF" w:rsidRPr="00002C7A">
        <w:rPr>
          <w:lang w:val="en-GB"/>
        </w:rPr>
        <w:t xml:space="preserve">Georgia is not </w:t>
      </w:r>
      <w:r w:rsidR="00680BCE" w:rsidRPr="00002C7A">
        <w:rPr>
          <w:lang w:val="en-GB"/>
        </w:rPr>
        <w:t xml:space="preserve">yet </w:t>
      </w:r>
      <w:r w:rsidR="005015AF" w:rsidRPr="00002C7A">
        <w:rPr>
          <w:lang w:val="en-GB"/>
        </w:rPr>
        <w:t>part of the E</w:t>
      </w:r>
      <w:r w:rsidR="00312DF3" w:rsidRPr="00002C7A">
        <w:rPr>
          <w:lang w:val="en-GB"/>
        </w:rPr>
        <w:t>U</w:t>
      </w:r>
      <w:r w:rsidR="00680BCE" w:rsidRPr="00002C7A">
        <w:rPr>
          <w:lang w:val="en-GB"/>
        </w:rPr>
        <w:t>. Hence,</w:t>
      </w:r>
      <w:r w:rsidR="00DA3ED8" w:rsidRPr="00002C7A">
        <w:rPr>
          <w:lang w:val="en-GB"/>
        </w:rPr>
        <w:t xml:space="preserve"> </w:t>
      </w:r>
      <w:r w:rsidR="00116AEC" w:rsidRPr="00002C7A">
        <w:rPr>
          <w:lang w:val="en-GB"/>
        </w:rPr>
        <w:t xml:space="preserve">a question remains as the relevant geographic scope of the ERP for Georgia. </w:t>
      </w:r>
      <w:r w:rsidR="00FF56B4" w:rsidRPr="00002C7A">
        <w:rPr>
          <w:lang w:val="en-GB"/>
        </w:rPr>
        <w:t xml:space="preserve">In </w:t>
      </w:r>
      <w:r w:rsidR="002461FF" w:rsidRPr="00002C7A">
        <w:rPr>
          <w:lang w:val="en-GB"/>
        </w:rPr>
        <w:t xml:space="preserve">principle, </w:t>
      </w:r>
      <w:r w:rsidR="00FF56B4" w:rsidRPr="00002C7A">
        <w:rPr>
          <w:lang w:val="en-GB"/>
        </w:rPr>
        <w:t xml:space="preserve">one could consider </w:t>
      </w:r>
      <w:r w:rsidR="006B1AE9" w:rsidRPr="00002C7A">
        <w:rPr>
          <w:lang w:val="en-GB"/>
        </w:rPr>
        <w:t xml:space="preserve">countries that are </w:t>
      </w:r>
      <w:r w:rsidR="00325056" w:rsidRPr="00002C7A">
        <w:rPr>
          <w:lang w:val="en-GB"/>
        </w:rPr>
        <w:t xml:space="preserve">similar to Georgia and try to estimate a weighted average ERP for those countries. As we </w:t>
      </w:r>
      <w:r w:rsidR="00F179B7" w:rsidRPr="00002C7A">
        <w:rPr>
          <w:lang w:val="en-GB"/>
        </w:rPr>
        <w:t>discuss below</w:t>
      </w:r>
      <w:r w:rsidR="00F40BD4" w:rsidRPr="00002C7A">
        <w:rPr>
          <w:lang w:val="en-GB"/>
        </w:rPr>
        <w:t>,</w:t>
      </w:r>
      <w:r w:rsidR="00325056" w:rsidRPr="00002C7A">
        <w:rPr>
          <w:lang w:val="en-GB"/>
        </w:rPr>
        <w:t xml:space="preserve"> however, long-run historical data for such countries do not exist.</w:t>
      </w:r>
      <w:r w:rsidR="00092C33" w:rsidRPr="00002C7A">
        <w:rPr>
          <w:lang w:val="en-GB"/>
        </w:rPr>
        <w:t xml:space="preserve"> </w:t>
      </w:r>
      <w:r w:rsidR="00350BA5" w:rsidRPr="00002C7A">
        <w:rPr>
          <w:lang w:val="en-GB"/>
        </w:rPr>
        <w:t>T</w:t>
      </w:r>
      <w:r w:rsidR="00092C33" w:rsidRPr="00002C7A">
        <w:rPr>
          <w:lang w:val="en-GB"/>
        </w:rPr>
        <w:t xml:space="preserve">his narrows down the calculation of the ERP to two options: considering a European ERP or a world ERP. </w:t>
      </w:r>
      <w:r w:rsidR="00052522" w:rsidRPr="00002C7A">
        <w:rPr>
          <w:lang w:val="en-GB"/>
        </w:rPr>
        <w:t>I</w:t>
      </w:r>
      <w:r w:rsidR="00A834A8" w:rsidRPr="00002C7A">
        <w:rPr>
          <w:lang w:val="en-GB"/>
        </w:rPr>
        <w:t>n the next section</w:t>
      </w:r>
      <w:r w:rsidR="000115A9" w:rsidRPr="00002C7A">
        <w:rPr>
          <w:lang w:val="en-GB"/>
        </w:rPr>
        <w:t xml:space="preserve"> we </w:t>
      </w:r>
      <w:r w:rsidR="000468A1" w:rsidRPr="00002C7A">
        <w:rPr>
          <w:lang w:val="en-GB"/>
        </w:rPr>
        <w:t xml:space="preserve">start considering </w:t>
      </w:r>
      <w:r w:rsidR="000A3858" w:rsidRPr="00002C7A">
        <w:rPr>
          <w:lang w:val="en-GB"/>
        </w:rPr>
        <w:t xml:space="preserve">the available </w:t>
      </w:r>
      <w:r w:rsidR="006F0738" w:rsidRPr="00002C7A">
        <w:rPr>
          <w:lang w:val="en-GB"/>
        </w:rPr>
        <w:t xml:space="preserve">historical </w:t>
      </w:r>
      <w:r w:rsidR="000468A1" w:rsidRPr="00002C7A">
        <w:rPr>
          <w:lang w:val="en-GB"/>
        </w:rPr>
        <w:t xml:space="preserve">ERP data </w:t>
      </w:r>
      <w:r w:rsidR="006F0738" w:rsidRPr="00002C7A">
        <w:rPr>
          <w:lang w:val="en-GB"/>
        </w:rPr>
        <w:t xml:space="preserve">and then </w:t>
      </w:r>
      <w:r w:rsidR="00052522" w:rsidRPr="00002C7A">
        <w:rPr>
          <w:lang w:val="en-GB"/>
        </w:rPr>
        <w:t xml:space="preserve">explain </w:t>
      </w:r>
      <w:r w:rsidR="00A901D3" w:rsidRPr="00002C7A">
        <w:rPr>
          <w:lang w:val="en-GB"/>
        </w:rPr>
        <w:t xml:space="preserve">that </w:t>
      </w:r>
      <w:r w:rsidR="00C0342C" w:rsidRPr="00002C7A">
        <w:rPr>
          <w:lang w:val="en-GB"/>
        </w:rPr>
        <w:t>the difference between the ERP for Europe and the world ERP, if any, should be small</w:t>
      </w:r>
      <w:r w:rsidR="00A901D3" w:rsidRPr="00002C7A">
        <w:rPr>
          <w:lang w:val="en-GB"/>
        </w:rPr>
        <w:t xml:space="preserve">. Accordingly, we recommend ComCom to select the value of the ERP selected by BEREC </w:t>
      </w:r>
      <w:r w:rsidR="00546904" w:rsidRPr="00002C7A">
        <w:rPr>
          <w:lang w:val="en-GB"/>
        </w:rPr>
        <w:t>for the European Union.</w:t>
      </w:r>
    </w:p>
    <w:p w14:paraId="12F17FE4" w14:textId="2310F2B5" w:rsidR="00933F16" w:rsidRPr="006E6534" w:rsidRDefault="00042D4C" w:rsidP="00500B2F">
      <w:pPr>
        <w:pStyle w:val="Heading2"/>
        <w:jc w:val="both"/>
      </w:pPr>
      <w:bookmarkStart w:id="137" w:name="_Toc219739774"/>
      <w:bookmarkStart w:id="138" w:name="_Toc217060060"/>
      <w:r>
        <w:t xml:space="preserve">Evidence on </w:t>
      </w:r>
      <w:r w:rsidRPr="00E86E52">
        <w:t>the</w:t>
      </w:r>
      <w:r>
        <w:t xml:space="preserve"> ERP</w:t>
      </w:r>
      <w:bookmarkEnd w:id="137"/>
      <w:bookmarkEnd w:id="138"/>
    </w:p>
    <w:p w14:paraId="722EF8D7" w14:textId="0FE0F725" w:rsidR="007E49CB" w:rsidRPr="00002C7A" w:rsidRDefault="005F4EF9" w:rsidP="00500B2F">
      <w:pPr>
        <w:pStyle w:val="ParagraphNumbered"/>
        <w:jc w:val="both"/>
        <w:rPr>
          <w:lang w:val="en-GB"/>
        </w:rPr>
      </w:pPr>
      <w:r w:rsidRPr="00002C7A">
        <w:rPr>
          <w:lang w:val="en-GB"/>
        </w:rPr>
        <w:fldChar w:fldCharType="begin"/>
      </w:r>
      <w:r w:rsidRPr="00002C7A">
        <w:rPr>
          <w:lang w:val="en-GB"/>
        </w:rPr>
        <w:instrText xml:space="preserve"> REF _Ref213349652 \h </w:instrText>
      </w:r>
      <w:r w:rsidR="00500B2F" w:rsidRPr="00002C7A">
        <w:rPr>
          <w:lang w:val="en-GB"/>
        </w:rPr>
        <w:instrText xml:space="preserve"> \* MERGEFORMAT </w:instrText>
      </w:r>
      <w:r w:rsidRPr="00002C7A">
        <w:rPr>
          <w:lang w:val="en-GB"/>
        </w:rPr>
      </w:r>
      <w:r w:rsidRPr="00002C7A">
        <w:rPr>
          <w:lang w:val="en-GB"/>
        </w:rPr>
        <w:fldChar w:fldCharType="separate"/>
      </w:r>
      <w:r w:rsidR="007F093A" w:rsidRPr="007F093A">
        <w:rPr>
          <w:lang w:val="en-GB"/>
        </w:rPr>
        <w:t>Table 4</w:t>
      </w:r>
      <w:r w:rsidRPr="00002C7A">
        <w:rPr>
          <w:lang w:val="en-GB"/>
        </w:rPr>
        <w:fldChar w:fldCharType="end"/>
      </w:r>
      <w:r w:rsidRPr="00002C7A">
        <w:rPr>
          <w:lang w:val="en-GB"/>
        </w:rPr>
        <w:t xml:space="preserve"> </w:t>
      </w:r>
      <w:r w:rsidR="007E49CB" w:rsidRPr="00002C7A">
        <w:rPr>
          <w:lang w:val="en-GB"/>
        </w:rPr>
        <w:t xml:space="preserve">below illustrates the realised </w:t>
      </w:r>
      <w:r w:rsidR="00AF7A24" w:rsidRPr="00002C7A">
        <w:rPr>
          <w:lang w:val="en-GB"/>
        </w:rPr>
        <w:t>arithmetic and geometric averages of the</w:t>
      </w:r>
      <w:r w:rsidR="007E49CB" w:rsidRPr="00002C7A">
        <w:rPr>
          <w:lang w:val="en-GB"/>
        </w:rPr>
        <w:t xml:space="preserve"> ERP for </w:t>
      </w:r>
      <w:r w:rsidR="00564AE8" w:rsidRPr="00002C7A">
        <w:rPr>
          <w:lang w:val="en-GB"/>
        </w:rPr>
        <w:t xml:space="preserve">35 </w:t>
      </w:r>
      <w:r w:rsidR="007E49CB" w:rsidRPr="00002C7A">
        <w:rPr>
          <w:lang w:val="en-GB"/>
        </w:rPr>
        <w:t>individual countries</w:t>
      </w:r>
      <w:r w:rsidR="003E67DC" w:rsidRPr="00002C7A">
        <w:rPr>
          <w:lang w:val="en-GB"/>
        </w:rPr>
        <w:t xml:space="preserve"> </w:t>
      </w:r>
      <w:r w:rsidR="007E49CB" w:rsidRPr="00002C7A">
        <w:rPr>
          <w:lang w:val="en-GB"/>
        </w:rPr>
        <w:t>taken from the 202</w:t>
      </w:r>
      <w:r w:rsidR="00564AE8" w:rsidRPr="00002C7A">
        <w:rPr>
          <w:lang w:val="en-GB"/>
        </w:rPr>
        <w:t>5</w:t>
      </w:r>
      <w:r w:rsidR="007E49CB" w:rsidRPr="00002C7A">
        <w:rPr>
          <w:lang w:val="en-GB"/>
        </w:rPr>
        <w:t xml:space="preserve"> DMS report.</w:t>
      </w:r>
      <w:r w:rsidR="007E49CB" w:rsidRPr="00002C7A">
        <w:rPr>
          <w:rStyle w:val="FootnoteReference"/>
          <w:lang w:val="en-GB"/>
        </w:rPr>
        <w:footnoteReference w:id="28"/>
      </w:r>
      <w:r w:rsidR="007E49CB" w:rsidRPr="00002C7A">
        <w:rPr>
          <w:lang w:val="en-GB"/>
        </w:rPr>
        <w:t xml:space="preserve"> Th</w:t>
      </w:r>
      <w:r w:rsidR="001228BC" w:rsidRPr="00002C7A">
        <w:rPr>
          <w:lang w:val="en-GB"/>
        </w:rPr>
        <w:t>e table</w:t>
      </w:r>
      <w:r w:rsidR="007E49CB" w:rsidRPr="00002C7A">
        <w:rPr>
          <w:lang w:val="en-GB"/>
        </w:rPr>
        <w:t xml:space="preserve"> contains ERP estimates using data up to and including 202</w:t>
      </w:r>
      <w:r w:rsidR="00564AE8" w:rsidRPr="00002C7A">
        <w:rPr>
          <w:lang w:val="en-GB"/>
        </w:rPr>
        <w:t>4</w:t>
      </w:r>
      <w:r w:rsidR="00156019" w:rsidRPr="00002C7A">
        <w:rPr>
          <w:lang w:val="en-GB"/>
        </w:rPr>
        <w:t xml:space="preserve"> and specifies, for each country</w:t>
      </w:r>
      <w:r w:rsidR="00E033FC" w:rsidRPr="00002C7A">
        <w:rPr>
          <w:lang w:val="en-GB"/>
        </w:rPr>
        <w:t>,</w:t>
      </w:r>
      <w:r w:rsidR="00156019" w:rsidRPr="00002C7A">
        <w:rPr>
          <w:lang w:val="en-GB"/>
        </w:rPr>
        <w:t xml:space="preserve"> the start year for calculation of the average</w:t>
      </w:r>
      <w:r w:rsidR="007E49CB" w:rsidRPr="00002C7A">
        <w:rPr>
          <w:lang w:val="en-GB"/>
        </w:rPr>
        <w:t>.</w:t>
      </w:r>
    </w:p>
    <w:p w14:paraId="23B5C82B" w14:textId="1A18785F" w:rsidR="00D83DAA" w:rsidRDefault="00D83DAA" w:rsidP="00500B2F">
      <w:pPr>
        <w:pStyle w:val="Caption"/>
        <w:jc w:val="both"/>
      </w:pPr>
      <w:bookmarkStart w:id="139" w:name="_Ref213349652"/>
      <w:bookmarkStart w:id="140" w:name="_Toc219739796"/>
      <w:bookmarkStart w:id="141" w:name="_Toc217060080"/>
      <w:bookmarkEnd w:id="127"/>
      <w:bookmarkEnd w:id="128"/>
      <w:bookmarkEnd w:id="129"/>
      <w:bookmarkEnd w:id="130"/>
      <w:bookmarkEnd w:id="131"/>
      <w:bookmarkEnd w:id="132"/>
      <w:r>
        <w:lastRenderedPageBreak/>
        <w:t xml:space="preserve">Table </w:t>
      </w:r>
      <w:fldSimple w:instr=" SEQ Table \* ARABIC ">
        <w:r w:rsidR="007F093A">
          <w:rPr>
            <w:noProof/>
          </w:rPr>
          <w:t>4</w:t>
        </w:r>
      </w:fldSimple>
      <w:bookmarkEnd w:id="139"/>
      <w:r>
        <w:t xml:space="preserve">: </w:t>
      </w:r>
      <w:r w:rsidRPr="008C14A2">
        <w:t xml:space="preserve">Historic Equity Risk Premium </w:t>
      </w:r>
      <w:r w:rsidRPr="00E86E52">
        <w:t>Relative</w:t>
      </w:r>
      <w:r w:rsidRPr="008C14A2">
        <w:t xml:space="preserve"> to Bonds (1900 – 202</w:t>
      </w:r>
      <w:r>
        <w:t>4</w:t>
      </w:r>
      <w:r w:rsidRPr="008C14A2">
        <w:t>)</w:t>
      </w:r>
      <w:bookmarkEnd w:id="140"/>
      <w:bookmarkEnd w:id="141"/>
    </w:p>
    <w:p w14:paraId="3317030D" w14:textId="5D493238" w:rsidR="008762EA" w:rsidRDefault="00C33900" w:rsidP="00500B2F">
      <w:pPr>
        <w:pStyle w:val="Figure"/>
        <w:jc w:val="both"/>
      </w:pPr>
      <w:r w:rsidRPr="00C33900">
        <w:drawing>
          <wp:inline distT="0" distB="0" distL="0" distR="0" wp14:anchorId="363ADC1C" wp14:editId="1878D506">
            <wp:extent cx="4029075" cy="8372475"/>
            <wp:effectExtent l="0" t="0" r="9525" b="9525"/>
            <wp:docPr id="478134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9075" cy="8372475"/>
                    </a:xfrm>
                    <a:prstGeom prst="rect">
                      <a:avLst/>
                    </a:prstGeom>
                    <a:noFill/>
                    <a:ln>
                      <a:noFill/>
                    </a:ln>
                  </pic:spPr>
                </pic:pic>
              </a:graphicData>
            </a:graphic>
          </wp:inline>
        </w:drawing>
      </w:r>
    </w:p>
    <w:p w14:paraId="2E6291A2" w14:textId="46ACA888" w:rsidR="00922607" w:rsidRPr="00002C7A" w:rsidRDefault="00156019">
      <w:pPr>
        <w:pStyle w:val="ParagraphNumbered"/>
        <w:rPr>
          <w:lang w:val="en-GB"/>
        </w:rPr>
      </w:pPr>
      <w:r w:rsidRPr="00002C7A">
        <w:rPr>
          <w:lang w:val="en-GB"/>
        </w:rPr>
        <w:lastRenderedPageBreak/>
        <w:t xml:space="preserve">As it can be noted from </w:t>
      </w:r>
      <w:r w:rsidR="00753ED4">
        <w:rPr>
          <w:lang w:val="en-GB"/>
        </w:rPr>
        <w:fldChar w:fldCharType="begin"/>
      </w:r>
      <w:r w:rsidR="00753ED4">
        <w:rPr>
          <w:lang w:val="en-GB"/>
        </w:rPr>
        <w:instrText xml:space="preserve"> REF _Ref213349652 \h </w:instrText>
      </w:r>
      <w:r w:rsidR="00753ED4">
        <w:rPr>
          <w:lang w:val="en-GB"/>
        </w:rPr>
      </w:r>
      <w:r w:rsidR="00753ED4">
        <w:rPr>
          <w:lang w:val="en-GB"/>
        </w:rPr>
        <w:fldChar w:fldCharType="separate"/>
      </w:r>
      <w:r w:rsidR="007F093A">
        <w:t xml:space="preserve">Table </w:t>
      </w:r>
      <w:r w:rsidR="007F093A">
        <w:rPr>
          <w:noProof/>
        </w:rPr>
        <w:t>4</w:t>
      </w:r>
      <w:r w:rsidR="00753ED4">
        <w:rPr>
          <w:lang w:val="en-GB"/>
        </w:rPr>
        <w:fldChar w:fldCharType="end"/>
      </w:r>
      <w:r w:rsidRPr="00002C7A">
        <w:rPr>
          <w:lang w:val="en-GB"/>
        </w:rPr>
        <w:t xml:space="preserve">, DMS ERP estimates </w:t>
      </w:r>
      <w:r w:rsidR="00092AC2" w:rsidRPr="00002C7A">
        <w:rPr>
          <w:lang w:val="en-GB"/>
        </w:rPr>
        <w:t xml:space="preserve">calculated using data from 1900 include mostly </w:t>
      </w:r>
      <w:r w:rsidRPr="00002C7A">
        <w:rPr>
          <w:lang w:val="en-GB"/>
        </w:rPr>
        <w:t>European countries</w:t>
      </w:r>
      <w:r w:rsidR="00092AC2" w:rsidRPr="00002C7A">
        <w:rPr>
          <w:lang w:val="en-GB"/>
        </w:rPr>
        <w:t xml:space="preserve">, plus </w:t>
      </w:r>
      <w:r w:rsidR="002E0EE1" w:rsidRPr="00002C7A">
        <w:rPr>
          <w:lang w:val="en-GB"/>
        </w:rPr>
        <w:t>Canada</w:t>
      </w:r>
      <w:r w:rsidR="00092AC2" w:rsidRPr="00002C7A">
        <w:rPr>
          <w:lang w:val="en-GB"/>
        </w:rPr>
        <w:t>,</w:t>
      </w:r>
      <w:r w:rsidR="002E0EE1" w:rsidRPr="00002C7A">
        <w:rPr>
          <w:lang w:val="en-GB"/>
        </w:rPr>
        <w:t xml:space="preserve"> Japan</w:t>
      </w:r>
      <w:r w:rsidR="00092AC2" w:rsidRPr="00002C7A">
        <w:rPr>
          <w:lang w:val="en-GB"/>
        </w:rPr>
        <w:t>,</w:t>
      </w:r>
      <w:r w:rsidR="002E0EE1" w:rsidRPr="00002C7A">
        <w:rPr>
          <w:lang w:val="en-GB"/>
        </w:rPr>
        <w:t xml:space="preserve"> </w:t>
      </w:r>
      <w:r w:rsidR="00092AC2" w:rsidRPr="00002C7A">
        <w:rPr>
          <w:lang w:val="en-GB"/>
        </w:rPr>
        <w:t>N</w:t>
      </w:r>
      <w:r w:rsidR="002E0EE1" w:rsidRPr="00002C7A">
        <w:rPr>
          <w:lang w:val="en-GB"/>
        </w:rPr>
        <w:t xml:space="preserve">ew </w:t>
      </w:r>
      <w:r w:rsidR="00092AC2" w:rsidRPr="00002C7A">
        <w:rPr>
          <w:lang w:val="en-GB"/>
        </w:rPr>
        <w:t>Z</w:t>
      </w:r>
      <w:r w:rsidR="002E0EE1" w:rsidRPr="00002C7A">
        <w:rPr>
          <w:lang w:val="en-GB"/>
        </w:rPr>
        <w:t>ealand</w:t>
      </w:r>
      <w:r w:rsidR="00092AC2" w:rsidRPr="00002C7A">
        <w:rPr>
          <w:lang w:val="en-GB"/>
        </w:rPr>
        <w:t>,</w:t>
      </w:r>
      <w:r w:rsidR="002E0EE1" w:rsidRPr="00002C7A">
        <w:rPr>
          <w:lang w:val="en-GB"/>
        </w:rPr>
        <w:t xml:space="preserve"> South Africa </w:t>
      </w:r>
      <w:r w:rsidR="00092AC2" w:rsidRPr="00002C7A">
        <w:rPr>
          <w:lang w:val="en-GB"/>
        </w:rPr>
        <w:t xml:space="preserve">and the </w:t>
      </w:r>
      <w:r w:rsidR="002E0EE1" w:rsidRPr="00002C7A">
        <w:rPr>
          <w:lang w:val="en-GB"/>
        </w:rPr>
        <w:t>United States</w:t>
      </w:r>
      <w:r w:rsidR="00092AC2" w:rsidRPr="00002C7A">
        <w:rPr>
          <w:lang w:val="en-GB"/>
        </w:rPr>
        <w:t xml:space="preserve">. </w:t>
      </w:r>
      <w:r w:rsidR="009D65D4" w:rsidRPr="00002C7A">
        <w:rPr>
          <w:lang w:val="en-GB"/>
        </w:rPr>
        <w:t>Countries included in the dataset</w:t>
      </w:r>
      <w:r w:rsidR="00BF72CB" w:rsidRPr="00002C7A">
        <w:rPr>
          <w:lang w:val="en-GB"/>
        </w:rPr>
        <w:t xml:space="preserve"> </w:t>
      </w:r>
      <w:r w:rsidR="002C1D68" w:rsidRPr="00002C7A">
        <w:rPr>
          <w:lang w:val="en-GB"/>
        </w:rPr>
        <w:t>later</w:t>
      </w:r>
      <w:r w:rsidR="00AE344E" w:rsidRPr="00002C7A">
        <w:rPr>
          <w:lang w:val="en-GB"/>
        </w:rPr>
        <w:t>,</w:t>
      </w:r>
      <w:r w:rsidR="00BF72CB" w:rsidRPr="00002C7A">
        <w:rPr>
          <w:lang w:val="en-GB"/>
        </w:rPr>
        <w:t xml:space="preserve"> and mostly </w:t>
      </w:r>
      <w:r w:rsidR="009D65D4" w:rsidRPr="00002C7A">
        <w:rPr>
          <w:lang w:val="en-GB"/>
        </w:rPr>
        <w:t>from the 1990s</w:t>
      </w:r>
      <w:r w:rsidR="00AE344E" w:rsidRPr="00002C7A">
        <w:rPr>
          <w:lang w:val="en-GB"/>
        </w:rPr>
        <w:t>,</w:t>
      </w:r>
      <w:r w:rsidR="009D65D4" w:rsidRPr="00002C7A">
        <w:rPr>
          <w:lang w:val="en-GB"/>
        </w:rPr>
        <w:t xml:space="preserve"> include countries from Latin America, </w:t>
      </w:r>
      <w:r w:rsidR="00F3034C" w:rsidRPr="00002C7A">
        <w:rPr>
          <w:lang w:val="en-GB"/>
        </w:rPr>
        <w:t xml:space="preserve">Eastern Asia and Russia. </w:t>
      </w:r>
      <w:r w:rsidR="003D259B" w:rsidRPr="00002C7A">
        <w:rPr>
          <w:lang w:val="en-GB"/>
        </w:rPr>
        <w:t>No ERP estimate is provided for Georgia.</w:t>
      </w:r>
      <w:r w:rsidR="00E243D5" w:rsidRPr="00002C7A">
        <w:rPr>
          <w:lang w:val="en-GB"/>
        </w:rPr>
        <w:t xml:space="preserve"> </w:t>
      </w:r>
    </w:p>
    <w:p w14:paraId="6ED31F57" w14:textId="07141B96" w:rsidR="0022423F" w:rsidRPr="00002C7A" w:rsidRDefault="0022423F" w:rsidP="00D20192">
      <w:pPr>
        <w:pStyle w:val="ParagraphNumbered"/>
        <w:rPr>
          <w:lang w:val="en-GB"/>
        </w:rPr>
      </w:pPr>
      <w:r w:rsidRPr="00002C7A">
        <w:rPr>
          <w:lang w:val="en-GB"/>
        </w:rPr>
        <w:t>In effect, th</w:t>
      </w:r>
      <w:r w:rsidR="00922607" w:rsidRPr="00002C7A">
        <w:rPr>
          <w:lang w:val="en-GB"/>
        </w:rPr>
        <w:t>e available data</w:t>
      </w:r>
      <w:r w:rsidRPr="00002C7A">
        <w:rPr>
          <w:lang w:val="en-GB"/>
        </w:rPr>
        <w:t xml:space="preserve"> narrows down the </w:t>
      </w:r>
      <w:r w:rsidR="00F54AFE" w:rsidRPr="00002C7A">
        <w:rPr>
          <w:lang w:val="en-GB"/>
        </w:rPr>
        <w:t>options</w:t>
      </w:r>
      <w:r w:rsidR="00E61FA6" w:rsidRPr="00002C7A">
        <w:rPr>
          <w:lang w:val="en-GB"/>
        </w:rPr>
        <w:t xml:space="preserve"> for estimating the ERP</w:t>
      </w:r>
      <w:r w:rsidR="00F54AFE" w:rsidRPr="00002C7A">
        <w:rPr>
          <w:lang w:val="en-GB"/>
        </w:rPr>
        <w:t xml:space="preserve"> </w:t>
      </w:r>
      <w:r w:rsidR="006C054A" w:rsidRPr="00002C7A">
        <w:rPr>
          <w:lang w:val="en-GB"/>
        </w:rPr>
        <w:t>to two options: considering a European ERP or a world ERP</w:t>
      </w:r>
      <w:r w:rsidRPr="00002C7A">
        <w:rPr>
          <w:lang w:val="en-GB"/>
        </w:rPr>
        <w:t xml:space="preserve">. </w:t>
      </w:r>
    </w:p>
    <w:p w14:paraId="2D7BCB1A" w14:textId="342A959E" w:rsidR="00596331" w:rsidRPr="00002C7A" w:rsidRDefault="00DC5C37">
      <w:pPr>
        <w:pStyle w:val="ParagraphNumbered"/>
        <w:jc w:val="both"/>
        <w:rPr>
          <w:lang w:val="en-GB"/>
        </w:rPr>
      </w:pPr>
      <w:r w:rsidRPr="00002C7A">
        <w:rPr>
          <w:lang w:val="en-GB"/>
        </w:rPr>
        <w:t xml:space="preserve">In </w:t>
      </w:r>
      <w:r w:rsidRPr="00002C7A">
        <w:rPr>
          <w:lang w:val="en-GB"/>
        </w:rPr>
        <w:fldChar w:fldCharType="begin"/>
      </w:r>
      <w:r w:rsidRPr="00002C7A">
        <w:rPr>
          <w:lang w:val="en-GB"/>
        </w:rPr>
        <w:instrText xml:space="preserve"> REF _Ref213226464 \h  \* MERGEFORMAT </w:instrText>
      </w:r>
      <w:r w:rsidRPr="00002C7A">
        <w:rPr>
          <w:lang w:val="en-GB"/>
        </w:rPr>
      </w:r>
      <w:r w:rsidRPr="00002C7A">
        <w:rPr>
          <w:lang w:val="en-GB"/>
        </w:rPr>
        <w:fldChar w:fldCharType="separate"/>
      </w:r>
      <w:r w:rsidR="007F093A" w:rsidRPr="007F093A">
        <w:rPr>
          <w:lang w:val="en-GB"/>
        </w:rPr>
        <w:t>Table 5</w:t>
      </w:r>
      <w:r w:rsidRPr="00002C7A">
        <w:rPr>
          <w:lang w:val="en-GB"/>
        </w:rPr>
        <w:fldChar w:fldCharType="end"/>
      </w:r>
      <w:r w:rsidRPr="00002C7A">
        <w:rPr>
          <w:lang w:val="en-GB"/>
        </w:rPr>
        <w:t xml:space="preserve"> w</w:t>
      </w:r>
      <w:r w:rsidR="00205813" w:rsidRPr="00002C7A">
        <w:rPr>
          <w:lang w:val="en-GB"/>
        </w:rPr>
        <w:t xml:space="preserve">e </w:t>
      </w:r>
      <w:r w:rsidR="00480C7E" w:rsidRPr="00002C7A">
        <w:rPr>
          <w:lang w:val="en-GB"/>
        </w:rPr>
        <w:t xml:space="preserve">further </w:t>
      </w:r>
      <w:r w:rsidRPr="00002C7A">
        <w:rPr>
          <w:lang w:val="en-GB"/>
        </w:rPr>
        <w:t>analy</w:t>
      </w:r>
      <w:r w:rsidR="000E64E8">
        <w:rPr>
          <w:lang w:val="en-GB"/>
        </w:rPr>
        <w:t>s</w:t>
      </w:r>
      <w:r w:rsidR="00484954" w:rsidRPr="00002C7A">
        <w:rPr>
          <w:lang w:val="en-GB"/>
        </w:rPr>
        <w:t>e</w:t>
      </w:r>
      <w:r w:rsidR="00205813" w:rsidRPr="00002C7A">
        <w:rPr>
          <w:lang w:val="en-GB"/>
        </w:rPr>
        <w:t xml:space="preserve"> the evolution of the </w:t>
      </w:r>
      <w:r w:rsidR="00902C26" w:rsidRPr="00002C7A">
        <w:rPr>
          <w:lang w:val="en-GB"/>
        </w:rPr>
        <w:t>realized ERP</w:t>
      </w:r>
      <w:r w:rsidR="00205813" w:rsidRPr="00002C7A">
        <w:rPr>
          <w:lang w:val="en-GB"/>
        </w:rPr>
        <w:t xml:space="preserve"> for </w:t>
      </w:r>
      <w:r w:rsidR="00D175BA" w:rsidRPr="00002C7A">
        <w:rPr>
          <w:lang w:val="en-GB"/>
        </w:rPr>
        <w:t>t</w:t>
      </w:r>
      <w:r w:rsidR="00D8517A" w:rsidRPr="00002C7A">
        <w:rPr>
          <w:lang w:val="en-GB"/>
        </w:rPr>
        <w:t>wo</w:t>
      </w:r>
      <w:r w:rsidR="00D175BA" w:rsidRPr="00002C7A">
        <w:rPr>
          <w:lang w:val="en-GB"/>
        </w:rPr>
        <w:t xml:space="preserve"> </w:t>
      </w:r>
      <w:r w:rsidR="00FA5205" w:rsidRPr="00002C7A">
        <w:rPr>
          <w:lang w:val="en-GB"/>
        </w:rPr>
        <w:t xml:space="preserve">groups of </w:t>
      </w:r>
      <w:r w:rsidR="00DD7441" w:rsidRPr="00002C7A">
        <w:rPr>
          <w:lang w:val="en-GB"/>
        </w:rPr>
        <w:t xml:space="preserve">the 35 DMS </w:t>
      </w:r>
      <w:r w:rsidR="00FA5205" w:rsidRPr="00002C7A">
        <w:rPr>
          <w:lang w:val="en-GB"/>
        </w:rPr>
        <w:t>countries</w:t>
      </w:r>
      <w:r w:rsidR="00AA07CB" w:rsidRPr="00002C7A">
        <w:rPr>
          <w:lang w:val="en-GB"/>
        </w:rPr>
        <w:t xml:space="preserve"> – namely </w:t>
      </w:r>
      <w:r w:rsidR="006F544E" w:rsidRPr="00002C7A">
        <w:rPr>
          <w:lang w:val="en-GB"/>
        </w:rPr>
        <w:t>a</w:t>
      </w:r>
      <w:r w:rsidR="00D273C6" w:rsidRPr="00002C7A">
        <w:rPr>
          <w:lang w:val="en-GB"/>
        </w:rPr>
        <w:t>ll European countries</w:t>
      </w:r>
      <w:r w:rsidR="00D273C6" w:rsidRPr="00002C7A">
        <w:rPr>
          <w:rStyle w:val="FootnoteReference"/>
          <w:lang w:val="en-GB"/>
        </w:rPr>
        <w:footnoteReference w:id="29"/>
      </w:r>
      <w:r w:rsidR="006F544E" w:rsidRPr="00002C7A">
        <w:rPr>
          <w:lang w:val="en-GB"/>
        </w:rPr>
        <w:t xml:space="preserve"> </w:t>
      </w:r>
      <w:r w:rsidR="009A4333" w:rsidRPr="00002C7A">
        <w:rPr>
          <w:lang w:val="en-GB"/>
        </w:rPr>
        <w:t>and a</w:t>
      </w:r>
      <w:r w:rsidR="00D273C6" w:rsidRPr="00002C7A">
        <w:rPr>
          <w:lang w:val="en-GB"/>
        </w:rPr>
        <w:t xml:space="preserve">ll </w:t>
      </w:r>
      <w:r w:rsidR="009A4333" w:rsidRPr="00002C7A">
        <w:rPr>
          <w:lang w:val="en-GB"/>
        </w:rPr>
        <w:t>35 DMS</w:t>
      </w:r>
      <w:r w:rsidR="00D273C6" w:rsidRPr="00002C7A">
        <w:rPr>
          <w:lang w:val="en-GB"/>
        </w:rPr>
        <w:t xml:space="preserve"> countries</w:t>
      </w:r>
      <w:r w:rsidR="009A4333" w:rsidRPr="00002C7A">
        <w:rPr>
          <w:lang w:val="en-GB"/>
        </w:rPr>
        <w:t xml:space="preserve"> </w:t>
      </w:r>
      <w:r w:rsidR="004901B2" w:rsidRPr="00002C7A">
        <w:rPr>
          <w:lang w:val="en-GB"/>
        </w:rPr>
        <w:t>–</w:t>
      </w:r>
      <w:r w:rsidR="009A4333" w:rsidRPr="00002C7A">
        <w:rPr>
          <w:lang w:val="en-GB"/>
        </w:rPr>
        <w:t xml:space="preserve"> </w:t>
      </w:r>
      <w:r w:rsidR="004901B2" w:rsidRPr="00002C7A">
        <w:rPr>
          <w:lang w:val="en-GB"/>
        </w:rPr>
        <w:t xml:space="preserve">and </w:t>
      </w:r>
      <w:r w:rsidR="00DD7441" w:rsidRPr="00002C7A">
        <w:rPr>
          <w:lang w:val="en-GB"/>
        </w:rPr>
        <w:t xml:space="preserve">for two composite indices </w:t>
      </w:r>
      <w:r w:rsidR="004901B2" w:rsidRPr="00002C7A">
        <w:rPr>
          <w:lang w:val="en-GB"/>
        </w:rPr>
        <w:t xml:space="preserve">that DMS provides for </w:t>
      </w:r>
      <w:r w:rsidR="00E00A13" w:rsidRPr="00002C7A">
        <w:rPr>
          <w:lang w:val="en-GB"/>
        </w:rPr>
        <w:t>Europe and the world</w:t>
      </w:r>
      <w:r w:rsidR="005A7E3F" w:rsidRPr="00002C7A">
        <w:rPr>
          <w:lang w:val="en-GB"/>
        </w:rPr>
        <w:t xml:space="preserve">. </w:t>
      </w:r>
      <w:r w:rsidR="007C2218" w:rsidRPr="00002C7A">
        <w:rPr>
          <w:lang w:val="en-GB"/>
        </w:rPr>
        <w:t>For the t</w:t>
      </w:r>
      <w:r w:rsidR="00584872" w:rsidRPr="00002C7A">
        <w:rPr>
          <w:lang w:val="en-GB"/>
        </w:rPr>
        <w:t>wo</w:t>
      </w:r>
      <w:r w:rsidR="007C2218" w:rsidRPr="00002C7A">
        <w:rPr>
          <w:lang w:val="en-GB"/>
        </w:rPr>
        <w:t xml:space="preserve"> groups of </w:t>
      </w:r>
      <w:r w:rsidR="001E25EB" w:rsidRPr="00002C7A">
        <w:rPr>
          <w:lang w:val="en-GB"/>
        </w:rPr>
        <w:t xml:space="preserve">DMS </w:t>
      </w:r>
      <w:r w:rsidR="007C2218" w:rsidRPr="00002C7A">
        <w:rPr>
          <w:lang w:val="en-GB"/>
        </w:rPr>
        <w:t>countries</w:t>
      </w:r>
      <w:r w:rsidR="001534B0" w:rsidRPr="00002C7A">
        <w:rPr>
          <w:lang w:val="en-GB"/>
        </w:rPr>
        <w:t>, w</w:t>
      </w:r>
      <w:r w:rsidR="00A01DA5" w:rsidRPr="00002C7A">
        <w:rPr>
          <w:lang w:val="en-GB"/>
        </w:rPr>
        <w:t xml:space="preserve">e </w:t>
      </w:r>
      <w:r w:rsidR="006D6087" w:rsidRPr="00002C7A">
        <w:rPr>
          <w:lang w:val="en-GB"/>
        </w:rPr>
        <w:t xml:space="preserve">construct market cap weighted averages of the individual </w:t>
      </w:r>
      <w:r w:rsidR="008525AD" w:rsidRPr="00002C7A">
        <w:rPr>
          <w:lang w:val="en-GB"/>
        </w:rPr>
        <w:t>countries’</w:t>
      </w:r>
      <w:r w:rsidR="006D6087" w:rsidRPr="00002C7A">
        <w:rPr>
          <w:lang w:val="en-GB"/>
        </w:rPr>
        <w:t xml:space="preserve"> ERPs</w:t>
      </w:r>
      <w:r w:rsidR="001534B0" w:rsidRPr="00002C7A">
        <w:rPr>
          <w:lang w:val="en-GB"/>
        </w:rPr>
        <w:t xml:space="preserve"> </w:t>
      </w:r>
      <w:r w:rsidR="00751540" w:rsidRPr="00002C7A">
        <w:rPr>
          <w:lang w:val="en-GB"/>
        </w:rPr>
        <w:t xml:space="preserve">based on DMS </w:t>
      </w:r>
      <w:r w:rsidR="007242ED" w:rsidRPr="00002C7A">
        <w:rPr>
          <w:lang w:val="en-GB"/>
        </w:rPr>
        <w:t xml:space="preserve">2021-2025 </w:t>
      </w:r>
      <w:r w:rsidR="00751540" w:rsidRPr="00002C7A">
        <w:rPr>
          <w:lang w:val="en-GB"/>
        </w:rPr>
        <w:t>publications</w:t>
      </w:r>
      <w:r w:rsidR="00112D61" w:rsidRPr="00002C7A">
        <w:rPr>
          <w:lang w:val="en-GB"/>
        </w:rPr>
        <w:t xml:space="preserve">. </w:t>
      </w:r>
      <w:r w:rsidR="00161A30" w:rsidRPr="00002C7A">
        <w:rPr>
          <w:lang w:val="en-GB"/>
        </w:rPr>
        <w:fldChar w:fldCharType="begin"/>
      </w:r>
      <w:r w:rsidR="00161A30" w:rsidRPr="00002C7A">
        <w:rPr>
          <w:lang w:val="en-GB"/>
        </w:rPr>
        <w:instrText xml:space="preserve"> REF _Ref213226464 \h </w:instrText>
      </w:r>
      <w:r w:rsidR="00500B2F" w:rsidRPr="00002C7A">
        <w:rPr>
          <w:lang w:val="en-GB"/>
        </w:rPr>
        <w:instrText xml:space="preserve"> \* MERGEFORMAT </w:instrText>
      </w:r>
      <w:r w:rsidR="00161A30" w:rsidRPr="00002C7A">
        <w:rPr>
          <w:lang w:val="en-GB"/>
        </w:rPr>
      </w:r>
      <w:r w:rsidR="00161A30" w:rsidRPr="00002C7A">
        <w:rPr>
          <w:lang w:val="en-GB"/>
        </w:rPr>
        <w:fldChar w:fldCharType="separate"/>
      </w:r>
      <w:r w:rsidR="007F093A" w:rsidRPr="007F093A">
        <w:rPr>
          <w:lang w:val="en-GB"/>
        </w:rPr>
        <w:t>Table 5</w:t>
      </w:r>
      <w:r w:rsidR="00161A30" w:rsidRPr="00002C7A">
        <w:rPr>
          <w:lang w:val="en-GB"/>
        </w:rPr>
        <w:fldChar w:fldCharType="end"/>
      </w:r>
      <w:r w:rsidR="00161A30" w:rsidRPr="00002C7A">
        <w:rPr>
          <w:lang w:val="en-GB"/>
        </w:rPr>
        <w:t xml:space="preserve"> </w:t>
      </w:r>
      <w:r w:rsidR="00F10221" w:rsidRPr="00002C7A">
        <w:rPr>
          <w:lang w:val="en-GB"/>
        </w:rPr>
        <w:t xml:space="preserve">further </w:t>
      </w:r>
      <w:r w:rsidR="000D1255" w:rsidRPr="00002C7A">
        <w:rPr>
          <w:lang w:val="en-GB"/>
        </w:rPr>
        <w:t>reports BEREC’s estimate of the ERP for Europe from BEREC</w:t>
      </w:r>
      <w:r w:rsidR="008525AD" w:rsidRPr="00002C7A">
        <w:rPr>
          <w:lang w:val="en-GB"/>
        </w:rPr>
        <w:t>’s 2021-</w:t>
      </w:r>
      <w:r w:rsidR="00EF2A46" w:rsidRPr="00002C7A">
        <w:rPr>
          <w:lang w:val="en-GB"/>
        </w:rPr>
        <w:t xml:space="preserve">2025 </w:t>
      </w:r>
      <w:r w:rsidR="008525AD" w:rsidRPr="00002C7A">
        <w:rPr>
          <w:lang w:val="en-GB"/>
        </w:rPr>
        <w:t>publications</w:t>
      </w:r>
      <w:r w:rsidR="00990B4F" w:rsidRPr="00002C7A">
        <w:rPr>
          <w:lang w:val="en-GB"/>
        </w:rPr>
        <w:t>.</w:t>
      </w:r>
    </w:p>
    <w:p w14:paraId="2E545D21" w14:textId="6DE44416" w:rsidR="00DC5C37" w:rsidRPr="00002C7A" w:rsidRDefault="00213312">
      <w:pPr>
        <w:pStyle w:val="ParagraphNumbered"/>
        <w:rPr>
          <w:lang w:val="en-GB"/>
        </w:rPr>
      </w:pPr>
      <w:r w:rsidRPr="00002C7A">
        <w:rPr>
          <w:lang w:val="en-GB"/>
        </w:rPr>
        <w:t xml:space="preserve">Overall, we find that our market cap weighted average for </w:t>
      </w:r>
      <w:r w:rsidR="009F4119" w:rsidRPr="00002C7A">
        <w:rPr>
          <w:lang w:val="en-GB"/>
        </w:rPr>
        <w:t xml:space="preserve">Europe </w:t>
      </w:r>
      <w:r w:rsidR="008639F7" w:rsidRPr="00002C7A">
        <w:rPr>
          <w:lang w:val="en-GB"/>
        </w:rPr>
        <w:t>(5.9% in 2025)</w:t>
      </w:r>
      <w:r w:rsidR="009F4119" w:rsidRPr="00002C7A">
        <w:rPr>
          <w:lang w:val="en-GB"/>
        </w:rPr>
        <w:t xml:space="preserve"> is in line with BEREC’s calculation for the European Union</w:t>
      </w:r>
      <w:r w:rsidR="008639F7" w:rsidRPr="00002C7A">
        <w:rPr>
          <w:lang w:val="en-GB"/>
        </w:rPr>
        <w:t xml:space="preserve"> (5.9% in 2025)</w:t>
      </w:r>
      <w:r w:rsidR="009F4119" w:rsidRPr="00002C7A">
        <w:rPr>
          <w:lang w:val="en-GB"/>
        </w:rPr>
        <w:t>,</w:t>
      </w:r>
      <w:r w:rsidR="008639F7" w:rsidRPr="00002C7A">
        <w:rPr>
          <w:lang w:val="en-GB"/>
        </w:rPr>
        <w:t xml:space="preserve"> and lower than the weighted average for all DMS countries (6.8% in 2025)</w:t>
      </w:r>
      <w:r w:rsidR="00E674E3" w:rsidRPr="00002C7A">
        <w:rPr>
          <w:lang w:val="en-GB"/>
        </w:rPr>
        <w:t xml:space="preserve">. On the other hand, </w:t>
      </w:r>
      <w:r w:rsidR="00DB6B3E" w:rsidRPr="00002C7A">
        <w:rPr>
          <w:lang w:val="en-GB"/>
        </w:rPr>
        <w:t xml:space="preserve">the </w:t>
      </w:r>
      <w:r w:rsidR="00431DD7" w:rsidRPr="00002C7A">
        <w:rPr>
          <w:lang w:val="en-GB"/>
        </w:rPr>
        <w:t>DMS</w:t>
      </w:r>
      <w:r w:rsidR="00DC5C37" w:rsidRPr="00002C7A">
        <w:rPr>
          <w:lang w:val="en-GB"/>
        </w:rPr>
        <w:t xml:space="preserve"> composite indices show </w:t>
      </w:r>
      <w:r w:rsidR="009B4ED7" w:rsidRPr="00002C7A">
        <w:rPr>
          <w:lang w:val="en-GB"/>
        </w:rPr>
        <w:t>a</w:t>
      </w:r>
      <w:r w:rsidR="00AF08BC" w:rsidRPr="00002C7A">
        <w:rPr>
          <w:lang w:val="en-GB"/>
        </w:rPr>
        <w:t xml:space="preserve"> </w:t>
      </w:r>
      <w:r w:rsidR="003E6AB5" w:rsidRPr="00002C7A">
        <w:rPr>
          <w:lang w:val="en-GB"/>
        </w:rPr>
        <w:t>lower and similar</w:t>
      </w:r>
      <w:r w:rsidR="00791D0F" w:rsidRPr="00002C7A">
        <w:rPr>
          <w:lang w:val="en-GB"/>
        </w:rPr>
        <w:t xml:space="preserve"> value of the ERP for Europe</w:t>
      </w:r>
      <w:r w:rsidR="008265ED" w:rsidRPr="00002C7A">
        <w:rPr>
          <w:lang w:val="en-GB"/>
        </w:rPr>
        <w:t xml:space="preserve"> and the world (4.6%</w:t>
      </w:r>
      <w:r w:rsidR="005D4676" w:rsidRPr="00002C7A">
        <w:rPr>
          <w:lang w:val="en-GB"/>
        </w:rPr>
        <w:t xml:space="preserve"> in 2025</w:t>
      </w:r>
      <w:r w:rsidR="008265ED" w:rsidRPr="00002C7A">
        <w:rPr>
          <w:lang w:val="en-GB"/>
        </w:rPr>
        <w:t>)</w:t>
      </w:r>
      <w:r w:rsidR="001C6582" w:rsidRPr="00002C7A">
        <w:rPr>
          <w:lang w:val="en-GB"/>
        </w:rPr>
        <w:t>.</w:t>
      </w:r>
      <w:r w:rsidR="00061F4A" w:rsidRPr="00002C7A">
        <w:rPr>
          <w:lang w:val="en-GB"/>
        </w:rPr>
        <w:t xml:space="preserve"> </w:t>
      </w:r>
      <w:r w:rsidR="00301FC7">
        <w:rPr>
          <w:lang w:val="en-GB"/>
        </w:rPr>
        <w:t>T</w:t>
      </w:r>
      <w:r w:rsidR="00061F4A" w:rsidRPr="00002C7A">
        <w:rPr>
          <w:lang w:val="en-GB"/>
        </w:rPr>
        <w:t xml:space="preserve">his evidence suggests that </w:t>
      </w:r>
      <w:r w:rsidR="00C711DF" w:rsidRPr="00002C7A">
        <w:rPr>
          <w:lang w:val="en-GB"/>
        </w:rPr>
        <w:t xml:space="preserve">the difference between the ERP for Europe and the world ERP, if any, should be small. </w:t>
      </w:r>
    </w:p>
    <w:p w14:paraId="2D631FB5" w14:textId="0113BFC3" w:rsidR="00461836" w:rsidRDefault="003B600C" w:rsidP="00500B2F">
      <w:pPr>
        <w:pStyle w:val="Caption"/>
        <w:jc w:val="both"/>
      </w:pPr>
      <w:bookmarkStart w:id="142" w:name="_Ref213226464"/>
      <w:bookmarkStart w:id="143" w:name="_Toc219739797"/>
      <w:bookmarkStart w:id="144" w:name="_Toc217060081"/>
      <w:r>
        <w:lastRenderedPageBreak/>
        <w:t xml:space="preserve">Table </w:t>
      </w:r>
      <w:fldSimple w:instr=" SEQ Table \* ARABIC ">
        <w:r w:rsidR="007F093A">
          <w:rPr>
            <w:noProof/>
          </w:rPr>
          <w:t>5</w:t>
        </w:r>
      </w:fldSimple>
      <w:bookmarkEnd w:id="142"/>
      <w:r>
        <w:t>: World and Europe Equity Risk Premium (2021-2025)</w:t>
      </w:r>
      <w:bookmarkEnd w:id="143"/>
      <w:bookmarkEnd w:id="144"/>
    </w:p>
    <w:p w14:paraId="20A6556E" w14:textId="76E3BCF8" w:rsidR="003B600C" w:rsidRDefault="003659D8" w:rsidP="00500B2F">
      <w:pPr>
        <w:pStyle w:val="Figure"/>
        <w:jc w:val="both"/>
      </w:pPr>
      <w:r w:rsidRPr="003659D8">
        <w:t xml:space="preserve"> </w:t>
      </w:r>
      <w:r w:rsidRPr="003659D8">
        <w:drawing>
          <wp:inline distT="0" distB="0" distL="0" distR="0" wp14:anchorId="033D9A0D" wp14:editId="433A8ED9">
            <wp:extent cx="4881245" cy="4867275"/>
            <wp:effectExtent l="0" t="0" r="0" b="0"/>
            <wp:docPr id="238036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1245" cy="4867275"/>
                    </a:xfrm>
                    <a:prstGeom prst="rect">
                      <a:avLst/>
                    </a:prstGeom>
                    <a:noFill/>
                    <a:ln>
                      <a:noFill/>
                    </a:ln>
                  </pic:spPr>
                </pic:pic>
              </a:graphicData>
            </a:graphic>
          </wp:inline>
        </w:drawing>
      </w:r>
    </w:p>
    <w:p w14:paraId="0F631BE8" w14:textId="20BFFB77" w:rsidR="000131D8" w:rsidRPr="00002C7A" w:rsidRDefault="00B22CE8" w:rsidP="00273BF5">
      <w:pPr>
        <w:pStyle w:val="ParagraphNumbered"/>
        <w:jc w:val="both"/>
        <w:rPr>
          <w:lang w:val="en-GB"/>
        </w:rPr>
      </w:pPr>
      <w:r w:rsidRPr="00002C7A">
        <w:rPr>
          <w:lang w:val="en-GB"/>
        </w:rPr>
        <w:t>Above we explained that there is no such thing as a ‘Georgian ERP’</w:t>
      </w:r>
      <w:r w:rsidR="00645E5D" w:rsidRPr="00002C7A">
        <w:rPr>
          <w:lang w:val="en-GB"/>
        </w:rPr>
        <w:t xml:space="preserve"> and that estimating the ERP for telecoms services in Georgia based on a set of countries that are similar to Georgia is not feasible in practice</w:t>
      </w:r>
      <w:r w:rsidR="008C2821" w:rsidRPr="00002C7A">
        <w:rPr>
          <w:lang w:val="en-GB"/>
        </w:rPr>
        <w:t>,</w:t>
      </w:r>
      <w:r w:rsidR="00645E5D" w:rsidRPr="00002C7A">
        <w:rPr>
          <w:lang w:val="en-GB"/>
        </w:rPr>
        <w:t xml:space="preserve"> because </w:t>
      </w:r>
      <w:r w:rsidR="002B16E3" w:rsidRPr="00002C7A">
        <w:rPr>
          <w:lang w:val="en-GB"/>
        </w:rPr>
        <w:t>long-run historical data for such countries do not exist.</w:t>
      </w:r>
      <w:r w:rsidR="004D44F7" w:rsidRPr="00002C7A">
        <w:rPr>
          <w:lang w:val="en-GB"/>
        </w:rPr>
        <w:t xml:space="preserve"> This le</w:t>
      </w:r>
      <w:r w:rsidR="008C2821" w:rsidRPr="00002C7A">
        <w:rPr>
          <w:lang w:val="en-GB"/>
        </w:rPr>
        <w:t xml:space="preserve">ft us </w:t>
      </w:r>
      <w:r w:rsidR="004D44F7" w:rsidRPr="00002C7A">
        <w:rPr>
          <w:lang w:val="en-GB"/>
        </w:rPr>
        <w:t>with two options</w:t>
      </w:r>
      <w:r w:rsidR="00504635">
        <w:rPr>
          <w:lang w:val="en-GB"/>
        </w:rPr>
        <w:t>:</w:t>
      </w:r>
      <w:r w:rsidR="004D44F7" w:rsidRPr="00002C7A">
        <w:rPr>
          <w:lang w:val="en-GB"/>
        </w:rPr>
        <w:t xml:space="preserve"> </w:t>
      </w:r>
      <w:r w:rsidR="00723C05" w:rsidRPr="00002C7A">
        <w:rPr>
          <w:lang w:val="en-GB"/>
        </w:rPr>
        <w:t xml:space="preserve">considering a European ERP or a world ERP. </w:t>
      </w:r>
      <w:r w:rsidR="008C2821" w:rsidRPr="00002C7A">
        <w:rPr>
          <w:lang w:val="en-GB"/>
        </w:rPr>
        <w:t>However, the difference between a European ERP and a world ERP</w:t>
      </w:r>
      <w:r w:rsidR="002D1FE9" w:rsidRPr="00002C7A">
        <w:rPr>
          <w:lang w:val="en-GB"/>
        </w:rPr>
        <w:t>, if any,</w:t>
      </w:r>
      <w:r w:rsidR="008C2821" w:rsidRPr="00002C7A">
        <w:rPr>
          <w:lang w:val="en-GB"/>
        </w:rPr>
        <w:t xml:space="preserve"> should be small</w:t>
      </w:r>
      <w:r w:rsidR="002D1FE9" w:rsidRPr="00002C7A">
        <w:rPr>
          <w:lang w:val="en-GB"/>
        </w:rPr>
        <w:t xml:space="preserve">. </w:t>
      </w:r>
      <w:r w:rsidR="00094B11" w:rsidRPr="00002C7A">
        <w:rPr>
          <w:lang w:val="en-GB"/>
        </w:rPr>
        <w:t>Importantly,</w:t>
      </w:r>
      <w:r w:rsidR="00372F26" w:rsidRPr="00002C7A">
        <w:rPr>
          <w:lang w:val="en-GB"/>
        </w:rPr>
        <w:t xml:space="preserve"> t</w:t>
      </w:r>
      <w:r w:rsidR="000131D8" w:rsidRPr="00002C7A">
        <w:rPr>
          <w:lang w:val="en-GB"/>
        </w:rPr>
        <w:t xml:space="preserve">here </w:t>
      </w:r>
      <w:r w:rsidR="00273BF5" w:rsidRPr="00002C7A">
        <w:rPr>
          <w:lang w:val="en-GB"/>
        </w:rPr>
        <w:t xml:space="preserve">is no </w:t>
      </w:r>
      <w:r w:rsidR="000131D8" w:rsidRPr="00002C7A">
        <w:rPr>
          <w:lang w:val="en-GB"/>
        </w:rPr>
        <w:t>good theoretical reason why Georgia would have a higher ERP than average European countries.</w:t>
      </w:r>
      <w:r w:rsidR="00273BF5" w:rsidRPr="00002C7A">
        <w:rPr>
          <w:lang w:val="en-GB"/>
        </w:rPr>
        <w:t xml:space="preserve"> Also</w:t>
      </w:r>
      <w:r w:rsidR="000131D8" w:rsidRPr="00002C7A">
        <w:rPr>
          <w:lang w:val="en-GB"/>
        </w:rPr>
        <w:t xml:space="preserve">, the higher country risk of Georgia is already considered in the risk-free rate. Hence having a higher ‘Georgian’ ERP would risk double-counting such country risk. </w:t>
      </w:r>
    </w:p>
    <w:p w14:paraId="2F64D334" w14:textId="1E324D10" w:rsidR="00AB4C56" w:rsidRPr="00002C7A" w:rsidRDefault="00AB4C56" w:rsidP="00DC1904">
      <w:pPr>
        <w:pStyle w:val="ParagraphNumbered"/>
        <w:jc w:val="both"/>
        <w:rPr>
          <w:lang w:val="en-GB"/>
        </w:rPr>
      </w:pPr>
      <w:r w:rsidRPr="00002C7A">
        <w:rPr>
          <w:lang w:val="en-GB"/>
        </w:rPr>
        <w:t>Based on the above</w:t>
      </w:r>
      <w:r w:rsidR="00EC5302" w:rsidRPr="00002C7A">
        <w:rPr>
          <w:lang w:val="en-GB"/>
        </w:rPr>
        <w:t xml:space="preserve"> consideration</w:t>
      </w:r>
      <w:r w:rsidR="008342AD">
        <w:rPr>
          <w:lang w:val="en-GB"/>
        </w:rPr>
        <w:t>s</w:t>
      </w:r>
      <w:r w:rsidRPr="00002C7A">
        <w:rPr>
          <w:lang w:val="en-GB"/>
        </w:rPr>
        <w:t xml:space="preserve">, we recommend ComCom to </w:t>
      </w:r>
      <w:r w:rsidR="00EC5302" w:rsidRPr="00002C7A">
        <w:rPr>
          <w:lang w:val="en-GB"/>
        </w:rPr>
        <w:t xml:space="preserve">select </w:t>
      </w:r>
      <w:r w:rsidRPr="00002C7A">
        <w:rPr>
          <w:lang w:val="en-GB"/>
        </w:rPr>
        <w:t>BEREC’s</w:t>
      </w:r>
      <w:r w:rsidR="002F3C3E" w:rsidRPr="00002C7A">
        <w:rPr>
          <w:lang w:val="en-GB"/>
        </w:rPr>
        <w:t xml:space="preserve"> estimate of the ERP for Europe from BEREC’s annual publication</w:t>
      </w:r>
      <w:r w:rsidRPr="00002C7A">
        <w:rPr>
          <w:lang w:val="en-GB"/>
        </w:rPr>
        <w:t>, as the methodology employed is transparent and provides an estimate that is reasonable and comes from an objective source</w:t>
      </w:r>
      <w:r w:rsidR="00C972F9" w:rsidRPr="00002C7A">
        <w:rPr>
          <w:lang w:val="en-GB"/>
        </w:rPr>
        <w:t>. This approach results in a value of the ERP for telecoms services in Georgia equal to 5.9%</w:t>
      </w:r>
      <w:r w:rsidR="000D5558" w:rsidRPr="00002C7A">
        <w:rPr>
          <w:lang w:val="en-GB"/>
        </w:rPr>
        <w:t>.</w:t>
      </w:r>
    </w:p>
    <w:p w14:paraId="4C114430" w14:textId="7D909CCE" w:rsidR="00E17D1C" w:rsidRPr="008C14A2" w:rsidRDefault="00E17D1C" w:rsidP="00500B2F">
      <w:pPr>
        <w:pStyle w:val="Heading1"/>
        <w:jc w:val="both"/>
      </w:pPr>
      <w:bookmarkStart w:id="145" w:name="_Toc3321129"/>
      <w:bookmarkStart w:id="146" w:name="_Toc8902964"/>
      <w:bookmarkStart w:id="147" w:name="_Toc9850265"/>
      <w:bookmarkStart w:id="148" w:name="_Toc73455312"/>
      <w:bookmarkStart w:id="149" w:name="_Toc78563288"/>
      <w:bookmarkStart w:id="150" w:name="_Toc99716128"/>
      <w:bookmarkStart w:id="151" w:name="_Toc99716221"/>
      <w:bookmarkStart w:id="152" w:name="_Toc99728405"/>
      <w:bookmarkStart w:id="153" w:name="_Toc100325565"/>
      <w:bookmarkStart w:id="154" w:name="_Ref213873465"/>
      <w:bookmarkStart w:id="155" w:name="_Toc219739775"/>
      <w:bookmarkStart w:id="156" w:name="_Toc217060061"/>
      <w:r w:rsidRPr="008C14A2">
        <w:lastRenderedPageBreak/>
        <w:t xml:space="preserve">Selection of </w:t>
      </w:r>
      <w:r w:rsidR="005142EA" w:rsidRPr="008C14A2">
        <w:t xml:space="preserve">the </w:t>
      </w:r>
      <w:r w:rsidRPr="008C14A2">
        <w:t>Peer</w:t>
      </w:r>
      <w:r w:rsidR="005142EA" w:rsidRPr="008C14A2">
        <w:t xml:space="preserve"> </w:t>
      </w:r>
      <w:r w:rsidR="005142EA" w:rsidRPr="005D5EB8">
        <w:t>Groups</w:t>
      </w:r>
      <w:r w:rsidRPr="008C14A2">
        <w:t xml:space="preserve"> and Screening Tests</w:t>
      </w:r>
      <w:bookmarkEnd w:id="145"/>
      <w:bookmarkEnd w:id="146"/>
      <w:bookmarkEnd w:id="147"/>
      <w:bookmarkEnd w:id="148"/>
      <w:bookmarkEnd w:id="149"/>
      <w:bookmarkEnd w:id="150"/>
      <w:bookmarkEnd w:id="151"/>
      <w:bookmarkEnd w:id="152"/>
      <w:bookmarkEnd w:id="153"/>
      <w:bookmarkEnd w:id="154"/>
      <w:bookmarkEnd w:id="155"/>
      <w:bookmarkEnd w:id="156"/>
    </w:p>
    <w:p w14:paraId="4D71B59C" w14:textId="1B653EF2" w:rsidR="00E17D1C" w:rsidRPr="00002C7A" w:rsidRDefault="005D5EB8" w:rsidP="00500B2F">
      <w:pPr>
        <w:pStyle w:val="Heading1Separator"/>
        <w:jc w:val="both"/>
        <w:rPr>
          <w:lang w:val="en-GB"/>
        </w:rPr>
      </w:pPr>
      <w:r w:rsidRPr="00002C7A">
        <w:rPr>
          <w:lang w:val="en-GB"/>
        </w:rPr>
        <w:tab/>
      </w:r>
    </w:p>
    <w:p w14:paraId="1E510926" w14:textId="77777777" w:rsidR="00E17D1C" w:rsidRPr="008C14A2" w:rsidRDefault="00E17D1C" w:rsidP="00500B2F">
      <w:pPr>
        <w:pStyle w:val="Heading2"/>
        <w:jc w:val="both"/>
      </w:pPr>
      <w:bookmarkStart w:id="157" w:name="_Toc8902965"/>
      <w:bookmarkStart w:id="158" w:name="_Toc9850266"/>
      <w:bookmarkStart w:id="159" w:name="_Toc73455313"/>
      <w:bookmarkStart w:id="160" w:name="_Toc78563289"/>
      <w:bookmarkStart w:id="161" w:name="_Toc99716129"/>
      <w:bookmarkStart w:id="162" w:name="_Toc99716222"/>
      <w:bookmarkStart w:id="163" w:name="_Toc99728406"/>
      <w:bookmarkStart w:id="164" w:name="_Toc100325566"/>
      <w:bookmarkStart w:id="165" w:name="_Toc219739776"/>
      <w:bookmarkStart w:id="166" w:name="_Toc217060062"/>
      <w:r w:rsidRPr="008C14A2">
        <w:t>Potential Peers</w:t>
      </w:r>
      <w:bookmarkEnd w:id="157"/>
      <w:bookmarkEnd w:id="158"/>
      <w:bookmarkEnd w:id="159"/>
      <w:bookmarkEnd w:id="160"/>
      <w:bookmarkEnd w:id="161"/>
      <w:bookmarkEnd w:id="162"/>
      <w:bookmarkEnd w:id="163"/>
      <w:bookmarkEnd w:id="164"/>
      <w:bookmarkEnd w:id="165"/>
      <w:bookmarkEnd w:id="166"/>
    </w:p>
    <w:p w14:paraId="60025BEB" w14:textId="2A650843" w:rsidR="00EB4A85" w:rsidRPr="00002C7A" w:rsidRDefault="00EB4A85" w:rsidP="00500B2F">
      <w:pPr>
        <w:pStyle w:val="ParagraphNumbered"/>
        <w:jc w:val="both"/>
        <w:rPr>
          <w:lang w:val="en-GB"/>
        </w:rPr>
      </w:pPr>
      <w:r w:rsidRPr="00002C7A">
        <w:rPr>
          <w:lang w:val="en-GB"/>
        </w:rPr>
        <w:t xml:space="preserve">The beta parameter in the CAPM measures the </w:t>
      </w:r>
      <w:r w:rsidR="00250789" w:rsidRPr="00002C7A">
        <w:rPr>
          <w:lang w:val="en-GB"/>
        </w:rPr>
        <w:t>systematic risk of a given investment.</w:t>
      </w:r>
      <w:r w:rsidR="004D69A4" w:rsidRPr="00002C7A">
        <w:rPr>
          <w:rStyle w:val="FootnoteReference"/>
          <w:lang w:val="en-GB"/>
        </w:rPr>
        <w:footnoteReference w:id="30"/>
      </w:r>
      <w:r w:rsidR="00250789" w:rsidRPr="00002C7A">
        <w:rPr>
          <w:lang w:val="en-GB"/>
        </w:rPr>
        <w:t xml:space="preserve"> In other words, the degree to which returns in a given company’s stock would be expected to move with the </w:t>
      </w:r>
      <w:r w:rsidR="00DF03E9" w:rsidRPr="00002C7A">
        <w:rPr>
          <w:lang w:val="en-GB"/>
        </w:rPr>
        <w:t xml:space="preserve">returns of the market index. A beta of 1.0 means that, when the market index increases or decreases by e.g. 5%, the firm’s stock </w:t>
      </w:r>
      <w:r w:rsidR="008C2C3C" w:rsidRPr="00002C7A">
        <w:rPr>
          <w:lang w:val="en-GB"/>
        </w:rPr>
        <w:t>price is</w:t>
      </w:r>
      <w:r w:rsidR="00DF03E9" w:rsidRPr="00002C7A">
        <w:rPr>
          <w:lang w:val="en-GB"/>
        </w:rPr>
        <w:t xml:space="preserve"> also </w:t>
      </w:r>
      <w:r w:rsidR="008C2C3C" w:rsidRPr="00002C7A">
        <w:rPr>
          <w:lang w:val="en-GB"/>
        </w:rPr>
        <w:t xml:space="preserve">expected to </w:t>
      </w:r>
      <w:r w:rsidR="00DF03E9" w:rsidRPr="00002C7A">
        <w:rPr>
          <w:lang w:val="en-GB"/>
        </w:rPr>
        <w:t xml:space="preserve">increase or decrease by 5%. A beta of more than 1.0 means that when the market index increases or decreases by e.g. 5%, the firm’s stock </w:t>
      </w:r>
      <w:r w:rsidR="00EA70AF">
        <w:rPr>
          <w:lang w:val="en-GB"/>
        </w:rPr>
        <w:t>price</w:t>
      </w:r>
      <w:r w:rsidR="008C2C3C" w:rsidRPr="00002C7A">
        <w:rPr>
          <w:lang w:val="en-GB"/>
        </w:rPr>
        <w:t xml:space="preserve"> is expected to </w:t>
      </w:r>
      <w:r w:rsidR="00DF03E9" w:rsidRPr="00002C7A">
        <w:rPr>
          <w:lang w:val="en-GB"/>
        </w:rPr>
        <w:t xml:space="preserve">increase or decrease by more than 5%, and a beta of less than 1.0 means that when the market index increases or decreases by e.g. 5%, the firm’s stock </w:t>
      </w:r>
      <w:r w:rsidR="00183DF5" w:rsidRPr="00002C7A">
        <w:rPr>
          <w:lang w:val="en-GB"/>
        </w:rPr>
        <w:t xml:space="preserve">price is expected </w:t>
      </w:r>
      <w:r w:rsidR="002424A7" w:rsidRPr="00002C7A">
        <w:rPr>
          <w:lang w:val="en-GB"/>
        </w:rPr>
        <w:t>to</w:t>
      </w:r>
      <w:r w:rsidR="00DF03E9" w:rsidRPr="00002C7A">
        <w:rPr>
          <w:lang w:val="en-GB"/>
        </w:rPr>
        <w:t xml:space="preserve"> increase or decrease by less than 5%. </w:t>
      </w:r>
      <w:r w:rsidR="008A3E01" w:rsidRPr="00002C7A">
        <w:rPr>
          <w:lang w:val="en-GB"/>
        </w:rPr>
        <w:t>Stocks with a beta of more than 1.0 make a diversified investor</w:t>
      </w:r>
      <w:r w:rsidR="00BC5DD6">
        <w:rPr>
          <w:lang w:val="en-GB"/>
        </w:rPr>
        <w:t>’</w:t>
      </w:r>
      <w:r w:rsidR="008A3E01" w:rsidRPr="00002C7A">
        <w:rPr>
          <w:lang w:val="en-GB"/>
        </w:rPr>
        <w:t xml:space="preserve">s portfolio </w:t>
      </w:r>
      <w:r w:rsidR="00FB7F5B" w:rsidRPr="00002C7A">
        <w:rPr>
          <w:lang w:val="en-GB"/>
        </w:rPr>
        <w:t>riskier</w:t>
      </w:r>
      <w:r w:rsidR="008A3E01" w:rsidRPr="00002C7A">
        <w:rPr>
          <w:lang w:val="en-GB"/>
        </w:rPr>
        <w:t xml:space="preserve">, and stocks with a beta of less than 1.0 make a diversified investors portfolio less risky. </w:t>
      </w:r>
    </w:p>
    <w:p w14:paraId="330C4CD7" w14:textId="0E22B110" w:rsidR="00D0302E" w:rsidRPr="00002C7A" w:rsidRDefault="00D0302E" w:rsidP="00500B2F">
      <w:pPr>
        <w:pStyle w:val="ParagraphNumbered"/>
        <w:jc w:val="both"/>
        <w:rPr>
          <w:lang w:val="en-GB"/>
        </w:rPr>
      </w:pPr>
      <w:r w:rsidRPr="00002C7A">
        <w:rPr>
          <w:lang w:val="en-GB"/>
        </w:rPr>
        <w:t xml:space="preserve">In selecting </w:t>
      </w:r>
      <w:r w:rsidR="00D446BA" w:rsidRPr="00002C7A">
        <w:rPr>
          <w:lang w:val="en-GB"/>
        </w:rPr>
        <w:t xml:space="preserve">potential </w:t>
      </w:r>
      <w:r w:rsidRPr="00002C7A">
        <w:rPr>
          <w:lang w:val="en-GB"/>
        </w:rPr>
        <w:t xml:space="preserve">peers, </w:t>
      </w:r>
      <w:r w:rsidR="00D446BA" w:rsidRPr="00002C7A">
        <w:rPr>
          <w:lang w:val="en-GB"/>
        </w:rPr>
        <w:t xml:space="preserve">we appreciate that </w:t>
      </w:r>
      <w:r w:rsidRPr="00002C7A">
        <w:rPr>
          <w:lang w:val="en-GB"/>
        </w:rPr>
        <w:t xml:space="preserve">Georgia is classified as an emerging market with a current credit rating of BB. </w:t>
      </w:r>
      <w:r w:rsidR="00D446BA" w:rsidRPr="00002C7A">
        <w:rPr>
          <w:lang w:val="en-GB"/>
        </w:rPr>
        <w:t xml:space="preserve">Clearly, </w:t>
      </w:r>
      <w:r w:rsidRPr="00002C7A">
        <w:rPr>
          <w:lang w:val="en-GB"/>
        </w:rPr>
        <w:t xml:space="preserve">the economic and market conditions in Georgia </w:t>
      </w:r>
      <w:r w:rsidR="00D446BA" w:rsidRPr="00002C7A">
        <w:rPr>
          <w:lang w:val="en-GB"/>
        </w:rPr>
        <w:t xml:space="preserve">will </w:t>
      </w:r>
      <w:r w:rsidRPr="00002C7A">
        <w:rPr>
          <w:lang w:val="en-GB"/>
        </w:rPr>
        <w:t xml:space="preserve">significantly differ from those in more developed markets. </w:t>
      </w:r>
      <w:r w:rsidR="00D446BA" w:rsidRPr="00002C7A">
        <w:rPr>
          <w:lang w:val="en-GB"/>
        </w:rPr>
        <w:t xml:space="preserve">However, </w:t>
      </w:r>
      <w:r w:rsidR="008E0C14" w:rsidRPr="00002C7A">
        <w:rPr>
          <w:lang w:val="en-GB"/>
        </w:rPr>
        <w:t xml:space="preserve">many of the additional risks that a telecoms company in Georgia faces, relative to a telecoms company in France or </w:t>
      </w:r>
      <w:r w:rsidR="0081461D" w:rsidRPr="00002C7A">
        <w:rPr>
          <w:lang w:val="en-GB"/>
        </w:rPr>
        <w:t>Germany</w:t>
      </w:r>
      <w:r w:rsidR="008E0C14" w:rsidRPr="00002C7A">
        <w:rPr>
          <w:lang w:val="en-GB"/>
        </w:rPr>
        <w:t xml:space="preserve"> </w:t>
      </w:r>
      <w:r w:rsidR="001363AC" w:rsidRPr="00002C7A">
        <w:rPr>
          <w:lang w:val="en-GB"/>
        </w:rPr>
        <w:t>are not system</w:t>
      </w:r>
      <w:r w:rsidR="00872703" w:rsidRPr="00002C7A">
        <w:rPr>
          <w:lang w:val="en-GB"/>
        </w:rPr>
        <w:t>atic. For example, there may be additional regulatory or legal risks, but</w:t>
      </w:r>
      <w:r w:rsidR="00131454" w:rsidRPr="00002C7A">
        <w:rPr>
          <w:lang w:val="en-GB"/>
        </w:rPr>
        <w:t>:</w:t>
      </w:r>
    </w:p>
    <w:p w14:paraId="57202B7C" w14:textId="6334B44D" w:rsidR="00025CCA" w:rsidRPr="00002C7A" w:rsidRDefault="00025CCA" w:rsidP="00025CCA">
      <w:pPr>
        <w:pStyle w:val="ParagraphNumbered2"/>
        <w:rPr>
          <w:lang w:val="en-GB"/>
        </w:rPr>
      </w:pPr>
      <w:r w:rsidRPr="00002C7A">
        <w:rPr>
          <w:lang w:val="en-GB"/>
        </w:rPr>
        <w:t>These risks will not be correlated with the wider economy</w:t>
      </w:r>
      <w:r w:rsidR="00080079" w:rsidRPr="00002C7A">
        <w:rPr>
          <w:lang w:val="en-GB"/>
        </w:rPr>
        <w:t xml:space="preserve"> and so are not systematic</w:t>
      </w:r>
      <w:r w:rsidR="009D74E9" w:rsidRPr="00002C7A">
        <w:rPr>
          <w:lang w:val="en-GB"/>
        </w:rPr>
        <w:t>.</w:t>
      </w:r>
    </w:p>
    <w:p w14:paraId="77CE0931" w14:textId="2EA3E138" w:rsidR="00080079" w:rsidRPr="00002C7A" w:rsidRDefault="00131454" w:rsidP="00025CCA">
      <w:pPr>
        <w:pStyle w:val="ParagraphNumbered2"/>
        <w:rPr>
          <w:lang w:val="en-GB"/>
        </w:rPr>
      </w:pPr>
      <w:r w:rsidRPr="00002C7A">
        <w:rPr>
          <w:lang w:val="en-GB"/>
        </w:rPr>
        <w:t>The</w:t>
      </w:r>
      <w:r w:rsidR="00FD4656" w:rsidRPr="00002C7A">
        <w:rPr>
          <w:lang w:val="en-GB"/>
        </w:rPr>
        <w:t xml:space="preserve">se risks </w:t>
      </w:r>
      <w:r w:rsidRPr="00002C7A">
        <w:rPr>
          <w:lang w:val="en-GB"/>
        </w:rPr>
        <w:t>should be largely accounted for in the relatively high</w:t>
      </w:r>
      <w:r w:rsidR="00FD4656" w:rsidRPr="00002C7A">
        <w:rPr>
          <w:lang w:val="en-GB"/>
        </w:rPr>
        <w:t xml:space="preserve"> level of the </w:t>
      </w:r>
      <w:r w:rsidRPr="00002C7A">
        <w:rPr>
          <w:lang w:val="en-GB"/>
        </w:rPr>
        <w:t>risk-free</w:t>
      </w:r>
      <w:r w:rsidR="008242E9">
        <w:rPr>
          <w:lang w:val="en-GB"/>
        </w:rPr>
        <w:t xml:space="preserve"> </w:t>
      </w:r>
      <w:r w:rsidRPr="00002C7A">
        <w:rPr>
          <w:lang w:val="en-GB"/>
        </w:rPr>
        <w:t>rate, which</w:t>
      </w:r>
      <w:r w:rsidR="00B5441D" w:rsidRPr="00002C7A">
        <w:rPr>
          <w:lang w:val="en-GB"/>
        </w:rPr>
        <w:t>, as explained above,</w:t>
      </w:r>
      <w:r w:rsidRPr="00002C7A">
        <w:rPr>
          <w:lang w:val="en-GB"/>
        </w:rPr>
        <w:t xml:space="preserve"> includes </w:t>
      </w:r>
      <w:r w:rsidR="00B5441D" w:rsidRPr="00002C7A">
        <w:rPr>
          <w:lang w:val="en-GB"/>
        </w:rPr>
        <w:t xml:space="preserve">compensation for </w:t>
      </w:r>
      <w:r w:rsidRPr="00002C7A">
        <w:rPr>
          <w:lang w:val="en-GB"/>
        </w:rPr>
        <w:t xml:space="preserve">Georgian country risk. </w:t>
      </w:r>
    </w:p>
    <w:p w14:paraId="76D4BC5D" w14:textId="67C55325" w:rsidR="00131454" w:rsidRPr="00002C7A" w:rsidRDefault="00131454" w:rsidP="00131454">
      <w:pPr>
        <w:pStyle w:val="ParagraphNumbered"/>
        <w:rPr>
          <w:lang w:val="en-GB"/>
        </w:rPr>
      </w:pPr>
      <w:r w:rsidRPr="00002C7A">
        <w:rPr>
          <w:lang w:val="en-GB"/>
        </w:rPr>
        <w:t xml:space="preserve">To the extent that there are non-systematic risks that are not covered by the Georgian risk-free rate, they should be compensated through cost allowances rather than through any adjustment to the cost of capital. </w:t>
      </w:r>
    </w:p>
    <w:p w14:paraId="15C69255" w14:textId="222AB52D" w:rsidR="00DC2FE6" w:rsidRPr="00002C7A" w:rsidRDefault="008A3E01" w:rsidP="00500B2F">
      <w:pPr>
        <w:pStyle w:val="ParagraphNumbered"/>
        <w:jc w:val="both"/>
        <w:rPr>
          <w:lang w:val="en-GB"/>
        </w:rPr>
      </w:pPr>
      <w:r w:rsidRPr="00002C7A">
        <w:rPr>
          <w:lang w:val="en-GB"/>
        </w:rPr>
        <w:lastRenderedPageBreak/>
        <w:t xml:space="preserve">Analysts routinely estimate betas by regressing the returns of a given firm’s share price against the returns of a market index. </w:t>
      </w:r>
      <w:r w:rsidR="00AE14E3" w:rsidRPr="00002C7A">
        <w:rPr>
          <w:lang w:val="en-GB"/>
        </w:rPr>
        <w:t xml:space="preserve">Hence, </w:t>
      </w:r>
      <w:r w:rsidR="00181B9E" w:rsidRPr="00002C7A">
        <w:rPr>
          <w:lang w:val="en-GB"/>
        </w:rPr>
        <w:t>to estimate beta for a given firm or activity the firm, or firms that perform that activity, must be listed</w:t>
      </w:r>
      <w:r w:rsidR="00C01A5F" w:rsidRPr="00002C7A">
        <w:rPr>
          <w:lang w:val="en-GB"/>
        </w:rPr>
        <w:t xml:space="preserve">/publicly traded. </w:t>
      </w:r>
      <w:r w:rsidRPr="00002C7A">
        <w:rPr>
          <w:lang w:val="en-GB"/>
        </w:rPr>
        <w:t>However, t</w:t>
      </w:r>
      <w:r w:rsidR="341BC336" w:rsidRPr="00002C7A">
        <w:rPr>
          <w:lang w:val="en-GB"/>
        </w:rPr>
        <w:t xml:space="preserve">he </w:t>
      </w:r>
      <w:r w:rsidR="008906E7" w:rsidRPr="00002C7A">
        <w:rPr>
          <w:lang w:val="en-GB"/>
        </w:rPr>
        <w:t xml:space="preserve">regulated </w:t>
      </w:r>
      <w:r w:rsidR="00482527" w:rsidRPr="00002C7A">
        <w:rPr>
          <w:lang w:val="en-GB"/>
        </w:rPr>
        <w:t xml:space="preserve">Georgian </w:t>
      </w:r>
      <w:r w:rsidR="008906E7" w:rsidRPr="00002C7A">
        <w:rPr>
          <w:lang w:val="en-GB"/>
        </w:rPr>
        <w:t>c</w:t>
      </w:r>
      <w:r w:rsidR="00B50989" w:rsidRPr="00002C7A">
        <w:rPr>
          <w:lang w:val="en-GB"/>
        </w:rPr>
        <w:t xml:space="preserve">ompanies in </w:t>
      </w:r>
      <w:r w:rsidR="00482527" w:rsidRPr="00002C7A">
        <w:rPr>
          <w:lang w:val="en-GB"/>
        </w:rPr>
        <w:t>the telecommunications sector</w:t>
      </w:r>
      <w:r w:rsidR="00B50989" w:rsidRPr="00002C7A">
        <w:rPr>
          <w:lang w:val="en-GB"/>
        </w:rPr>
        <w:t xml:space="preserve"> </w:t>
      </w:r>
      <w:r w:rsidR="341BC336" w:rsidRPr="00002C7A">
        <w:rPr>
          <w:lang w:val="en-GB"/>
        </w:rPr>
        <w:t>are not listed on a stock exchange. Therefore, to estimate the beta parameter, we need to find publicly traded firms with similar systematic</w:t>
      </w:r>
      <w:r w:rsidR="00AD250B" w:rsidRPr="00002C7A">
        <w:rPr>
          <w:lang w:val="en-GB"/>
        </w:rPr>
        <w:t xml:space="preserve"> risk</w:t>
      </w:r>
      <w:r w:rsidR="00E3436F" w:rsidRPr="00002C7A">
        <w:rPr>
          <w:lang w:val="en-GB"/>
        </w:rPr>
        <w:t>s</w:t>
      </w:r>
      <w:r w:rsidR="341BC336" w:rsidRPr="00002C7A">
        <w:rPr>
          <w:lang w:val="en-GB"/>
        </w:rPr>
        <w:t xml:space="preserve">. </w:t>
      </w:r>
      <w:r w:rsidR="00DC2FE6" w:rsidRPr="00002C7A">
        <w:rPr>
          <w:lang w:val="en-GB"/>
        </w:rPr>
        <w:t>We refer to these companies as the ‘comparables’ or ‘peers’.</w:t>
      </w:r>
    </w:p>
    <w:p w14:paraId="54E20617" w14:textId="1AC623D4" w:rsidR="00A44E8E" w:rsidRPr="00002C7A" w:rsidRDefault="00E17D1C" w:rsidP="00500B2F">
      <w:pPr>
        <w:pStyle w:val="ParagraphNumbered"/>
        <w:jc w:val="both"/>
        <w:rPr>
          <w:lang w:val="en-GB"/>
        </w:rPr>
      </w:pPr>
      <w:r w:rsidRPr="00002C7A">
        <w:rPr>
          <w:lang w:val="en-GB"/>
        </w:rPr>
        <w:t xml:space="preserve">In </w:t>
      </w:r>
      <w:r w:rsidR="007A7253" w:rsidRPr="00002C7A">
        <w:rPr>
          <w:lang w:val="en-GB"/>
        </w:rPr>
        <w:t>202</w:t>
      </w:r>
      <w:r w:rsidR="005E4984" w:rsidRPr="00002C7A">
        <w:rPr>
          <w:lang w:val="en-GB"/>
        </w:rPr>
        <w:t>0</w:t>
      </w:r>
      <w:r w:rsidR="007A7253" w:rsidRPr="00002C7A">
        <w:rPr>
          <w:lang w:val="en-GB"/>
        </w:rPr>
        <w:t>,</w:t>
      </w:r>
      <w:r w:rsidR="000F5FC9" w:rsidRPr="00002C7A">
        <w:rPr>
          <w:lang w:val="en-GB"/>
        </w:rPr>
        <w:t xml:space="preserve"> </w:t>
      </w:r>
      <w:r w:rsidR="00162051" w:rsidRPr="00002C7A">
        <w:rPr>
          <w:lang w:val="en-GB"/>
        </w:rPr>
        <w:t>PwC</w:t>
      </w:r>
      <w:r w:rsidR="004C2C2A" w:rsidRPr="00002C7A">
        <w:rPr>
          <w:rStyle w:val="FootnoteReference"/>
          <w:lang w:val="en-GB"/>
        </w:rPr>
        <w:footnoteReference w:id="31"/>
      </w:r>
      <w:r w:rsidR="000F5FC9" w:rsidRPr="00002C7A">
        <w:rPr>
          <w:lang w:val="en-GB"/>
        </w:rPr>
        <w:t xml:space="preserve"> considered </w:t>
      </w:r>
      <w:r w:rsidR="007A7253" w:rsidRPr="00002C7A">
        <w:rPr>
          <w:lang w:val="en-GB"/>
        </w:rPr>
        <w:t>a sample of</w:t>
      </w:r>
      <w:r w:rsidR="00732AEB" w:rsidRPr="00002C7A">
        <w:rPr>
          <w:lang w:val="en-GB"/>
        </w:rPr>
        <w:t xml:space="preserve"> </w:t>
      </w:r>
      <w:r w:rsidR="00482527" w:rsidRPr="00002C7A">
        <w:rPr>
          <w:lang w:val="en-GB"/>
        </w:rPr>
        <w:t xml:space="preserve">13 </w:t>
      </w:r>
      <w:r w:rsidR="000F5FC9" w:rsidRPr="00002C7A">
        <w:rPr>
          <w:lang w:val="en-GB"/>
        </w:rPr>
        <w:t xml:space="preserve">companies </w:t>
      </w:r>
      <w:r w:rsidR="008F20D5" w:rsidRPr="00002C7A">
        <w:rPr>
          <w:lang w:val="en-GB"/>
        </w:rPr>
        <w:t xml:space="preserve">that own </w:t>
      </w:r>
      <w:r w:rsidR="00C63850" w:rsidRPr="00002C7A">
        <w:rPr>
          <w:lang w:val="en-GB"/>
        </w:rPr>
        <w:t>electric communication infrastructures</w:t>
      </w:r>
      <w:r w:rsidR="00935A76" w:rsidRPr="00002C7A">
        <w:rPr>
          <w:lang w:val="en-GB"/>
        </w:rPr>
        <w:t>, which include</w:t>
      </w:r>
      <w:r w:rsidR="00712946" w:rsidRPr="00002C7A">
        <w:rPr>
          <w:lang w:val="en-GB"/>
        </w:rPr>
        <w:t>d</w:t>
      </w:r>
      <w:r w:rsidR="00935A76" w:rsidRPr="00002C7A">
        <w:rPr>
          <w:lang w:val="en-GB"/>
        </w:rPr>
        <w:t xml:space="preserve"> </w:t>
      </w:r>
      <w:r w:rsidR="00EB1C9C" w:rsidRPr="00002C7A">
        <w:rPr>
          <w:lang w:val="en-GB"/>
        </w:rPr>
        <w:t>companies from Europe</w:t>
      </w:r>
      <w:r w:rsidR="00DF02FD" w:rsidRPr="00002C7A">
        <w:rPr>
          <w:lang w:val="en-GB"/>
        </w:rPr>
        <w:t xml:space="preserve"> (10)</w:t>
      </w:r>
      <w:r w:rsidR="00EB1C9C" w:rsidRPr="00002C7A">
        <w:rPr>
          <w:lang w:val="en-GB"/>
        </w:rPr>
        <w:t xml:space="preserve">, China </w:t>
      </w:r>
      <w:r w:rsidR="00DF02FD" w:rsidRPr="00002C7A">
        <w:rPr>
          <w:lang w:val="en-GB"/>
        </w:rPr>
        <w:t>(1)</w:t>
      </w:r>
      <w:r w:rsidR="00EB1C9C" w:rsidRPr="00002C7A">
        <w:rPr>
          <w:lang w:val="en-GB"/>
        </w:rPr>
        <w:t xml:space="preserve"> and Russia</w:t>
      </w:r>
      <w:r w:rsidR="00DF02FD" w:rsidRPr="00002C7A">
        <w:rPr>
          <w:lang w:val="en-GB"/>
        </w:rPr>
        <w:t xml:space="preserve"> (2)</w:t>
      </w:r>
      <w:r w:rsidR="009D07DD" w:rsidRPr="00002C7A">
        <w:rPr>
          <w:lang w:val="en-GB"/>
        </w:rPr>
        <w:t xml:space="preserve">. </w:t>
      </w:r>
      <w:r w:rsidR="00E75572" w:rsidRPr="00002C7A">
        <w:rPr>
          <w:lang w:val="en-GB"/>
        </w:rPr>
        <w:t xml:space="preserve">On the other hand, </w:t>
      </w:r>
      <w:r w:rsidR="00EB1C9C" w:rsidRPr="00002C7A">
        <w:rPr>
          <w:lang w:val="en-GB"/>
        </w:rPr>
        <w:t xml:space="preserve">BEREC’s annual report </w:t>
      </w:r>
      <w:r w:rsidR="009D07DD" w:rsidRPr="00002C7A">
        <w:rPr>
          <w:lang w:val="en-GB"/>
        </w:rPr>
        <w:t xml:space="preserve">regularly calculates betas </w:t>
      </w:r>
      <w:r w:rsidR="00E83D93" w:rsidRPr="00002C7A">
        <w:rPr>
          <w:lang w:val="en-GB"/>
        </w:rPr>
        <w:t>considering</w:t>
      </w:r>
      <w:r w:rsidR="00EB1C9C" w:rsidRPr="00002C7A">
        <w:rPr>
          <w:lang w:val="en-GB"/>
        </w:rPr>
        <w:t xml:space="preserve"> only European peers</w:t>
      </w:r>
      <w:r w:rsidR="00847DB5" w:rsidRPr="00002C7A">
        <w:rPr>
          <w:lang w:val="en-GB"/>
        </w:rPr>
        <w:t>.</w:t>
      </w:r>
      <w:r w:rsidR="004C2C2A" w:rsidRPr="00002C7A">
        <w:rPr>
          <w:rStyle w:val="FootnoteReference"/>
          <w:lang w:val="en-GB"/>
        </w:rPr>
        <w:footnoteReference w:id="32"/>
      </w:r>
      <w:r w:rsidR="003C07B9" w:rsidRPr="00002C7A">
        <w:rPr>
          <w:lang w:val="en-GB"/>
        </w:rPr>
        <w:t xml:space="preserve"> </w:t>
      </w:r>
      <w:r w:rsidR="00AF3C18" w:rsidRPr="00002C7A">
        <w:rPr>
          <w:lang w:val="en-GB"/>
        </w:rPr>
        <w:t>W</w:t>
      </w:r>
      <w:r w:rsidR="00C925CB" w:rsidRPr="00002C7A">
        <w:rPr>
          <w:lang w:val="en-GB"/>
        </w:rPr>
        <w:t xml:space="preserve">e </w:t>
      </w:r>
      <w:r w:rsidR="0051607E" w:rsidRPr="00002C7A">
        <w:rPr>
          <w:lang w:val="en-GB"/>
        </w:rPr>
        <w:t>create a ‘long list</w:t>
      </w:r>
      <w:r w:rsidR="00866550" w:rsidRPr="00002C7A">
        <w:rPr>
          <w:lang w:val="en-GB"/>
        </w:rPr>
        <w:t>’</w:t>
      </w:r>
      <w:r w:rsidR="0051607E" w:rsidRPr="00002C7A">
        <w:rPr>
          <w:lang w:val="en-GB"/>
        </w:rPr>
        <w:t xml:space="preserve"> of peers</w:t>
      </w:r>
      <w:r w:rsidR="00C925CB" w:rsidRPr="00002C7A">
        <w:rPr>
          <w:lang w:val="en-GB"/>
        </w:rPr>
        <w:t xml:space="preserve"> </w:t>
      </w:r>
      <w:r w:rsidR="003C07B9" w:rsidRPr="00002C7A">
        <w:rPr>
          <w:lang w:val="en-GB"/>
        </w:rPr>
        <w:t>by</w:t>
      </w:r>
      <w:r w:rsidR="00C925CB" w:rsidRPr="00002C7A">
        <w:rPr>
          <w:lang w:val="en-GB"/>
        </w:rPr>
        <w:t xml:space="preserve"> start</w:t>
      </w:r>
      <w:r w:rsidR="0051607E" w:rsidRPr="00002C7A">
        <w:rPr>
          <w:lang w:val="en-GB"/>
        </w:rPr>
        <w:t>ing</w:t>
      </w:r>
      <w:r w:rsidR="00C925CB" w:rsidRPr="00002C7A">
        <w:rPr>
          <w:lang w:val="en-GB"/>
        </w:rPr>
        <w:t xml:space="preserve"> </w:t>
      </w:r>
      <w:r w:rsidR="0051607E" w:rsidRPr="00002C7A">
        <w:rPr>
          <w:lang w:val="en-GB"/>
        </w:rPr>
        <w:t>with</w:t>
      </w:r>
      <w:r w:rsidR="00C925CB" w:rsidRPr="00002C7A">
        <w:rPr>
          <w:lang w:val="en-GB"/>
        </w:rPr>
        <w:t xml:space="preserve"> the peer groups of companies considered in the PwC</w:t>
      </w:r>
      <w:r w:rsidR="00226F7D" w:rsidRPr="00002C7A">
        <w:rPr>
          <w:lang w:val="en-GB"/>
        </w:rPr>
        <w:t xml:space="preserve"> report</w:t>
      </w:r>
      <w:r w:rsidR="001316C1" w:rsidRPr="00002C7A">
        <w:rPr>
          <w:lang w:val="en-GB"/>
        </w:rPr>
        <w:t xml:space="preserve"> and in</w:t>
      </w:r>
      <w:r w:rsidR="00C925CB" w:rsidRPr="00002C7A">
        <w:rPr>
          <w:lang w:val="en-GB"/>
        </w:rPr>
        <w:t xml:space="preserve"> the latest BEREC report</w:t>
      </w:r>
      <w:r w:rsidR="00866550" w:rsidRPr="00002C7A">
        <w:rPr>
          <w:lang w:val="en-GB"/>
        </w:rPr>
        <w:t>,</w:t>
      </w:r>
      <w:r w:rsidR="001316C1" w:rsidRPr="00002C7A">
        <w:rPr>
          <w:lang w:val="en-GB"/>
        </w:rPr>
        <w:t xml:space="preserve"> as well as </w:t>
      </w:r>
      <w:r w:rsidR="00C62A0E" w:rsidRPr="00002C7A">
        <w:rPr>
          <w:lang w:val="en-GB"/>
        </w:rPr>
        <w:t>the peer groups considered in prior Brattle reports for the telecoms sector</w:t>
      </w:r>
      <w:r w:rsidR="002F06A1" w:rsidRPr="00002C7A">
        <w:rPr>
          <w:lang w:val="en-GB"/>
        </w:rPr>
        <w:t xml:space="preserve">, including </w:t>
      </w:r>
      <w:r w:rsidR="00294A81" w:rsidRPr="00002C7A">
        <w:rPr>
          <w:lang w:val="en-GB"/>
        </w:rPr>
        <w:t>three companies outside of Europe</w:t>
      </w:r>
      <w:r w:rsidR="00505083" w:rsidRPr="00002C7A">
        <w:rPr>
          <w:lang w:val="en-GB"/>
        </w:rPr>
        <w:t>.</w:t>
      </w:r>
      <w:r w:rsidR="00505083" w:rsidRPr="00002C7A">
        <w:rPr>
          <w:rStyle w:val="FootnoteReference"/>
          <w:lang w:val="en-GB"/>
        </w:rPr>
        <w:footnoteReference w:id="33"/>
      </w:r>
      <w:r w:rsidR="00A44E8E" w:rsidRPr="00002C7A">
        <w:rPr>
          <w:lang w:val="en-GB"/>
        </w:rPr>
        <w:t xml:space="preserve"> From this group, we exclude the two Russian companies due to the lack of public trading</w:t>
      </w:r>
      <w:r w:rsidR="00451F7F" w:rsidRPr="00002C7A">
        <w:rPr>
          <w:lang w:val="en-GB"/>
        </w:rPr>
        <w:t xml:space="preserve"> </w:t>
      </w:r>
      <w:r w:rsidR="00A44E8E" w:rsidRPr="00002C7A">
        <w:rPr>
          <w:lang w:val="en-GB"/>
        </w:rPr>
        <w:t>and financial data. We also exclude Telenet Group Holding NV because it was delisted.</w:t>
      </w:r>
      <w:r w:rsidR="00A44E8E" w:rsidRPr="00002C7A">
        <w:rPr>
          <w:rStyle w:val="FootnoteReference"/>
          <w:lang w:val="en-GB"/>
        </w:rPr>
        <w:footnoteReference w:id="34"/>
      </w:r>
      <w:r w:rsidR="00A44E8E" w:rsidRPr="00002C7A">
        <w:rPr>
          <w:lang w:val="en-GB"/>
        </w:rPr>
        <w:t xml:space="preserve"> We end up with a </w:t>
      </w:r>
      <w:r w:rsidR="00A22305" w:rsidRPr="00002C7A">
        <w:rPr>
          <w:lang w:val="en-GB"/>
        </w:rPr>
        <w:t>long list</w:t>
      </w:r>
      <w:r w:rsidR="00A44E8E" w:rsidRPr="00002C7A">
        <w:rPr>
          <w:lang w:val="en-GB"/>
        </w:rPr>
        <w:t xml:space="preserve"> of </w:t>
      </w:r>
      <w:r w:rsidR="00FA06FB" w:rsidRPr="00002C7A">
        <w:rPr>
          <w:lang w:val="en-GB"/>
        </w:rPr>
        <w:t xml:space="preserve">27 </w:t>
      </w:r>
      <w:r w:rsidR="00A44E8E" w:rsidRPr="00002C7A">
        <w:rPr>
          <w:lang w:val="en-GB"/>
        </w:rPr>
        <w:t>candi</w:t>
      </w:r>
      <w:r w:rsidR="008A35C6" w:rsidRPr="00002C7A">
        <w:rPr>
          <w:lang w:val="en-GB"/>
        </w:rPr>
        <w:t>date peers</w:t>
      </w:r>
      <w:r w:rsidR="00FB4E5B" w:rsidRPr="00002C7A">
        <w:rPr>
          <w:lang w:val="en-GB"/>
        </w:rPr>
        <w:t>.</w:t>
      </w:r>
    </w:p>
    <w:p w14:paraId="4FFE9F9B" w14:textId="77777777" w:rsidR="00292724" w:rsidRPr="00002C7A" w:rsidRDefault="00335F5A" w:rsidP="006534A8">
      <w:pPr>
        <w:pStyle w:val="ParagraphNumbered"/>
        <w:jc w:val="both"/>
        <w:rPr>
          <w:lang w:val="en-GB"/>
        </w:rPr>
      </w:pPr>
      <w:r w:rsidRPr="00002C7A">
        <w:rPr>
          <w:lang w:val="en-GB"/>
        </w:rPr>
        <w:t>Because the</w:t>
      </w:r>
      <w:r w:rsidR="00AA1F5F" w:rsidRPr="00002C7A">
        <w:rPr>
          <w:lang w:val="en-GB"/>
        </w:rPr>
        <w:t xml:space="preserve"> regulatory framework under </w:t>
      </w:r>
      <w:r w:rsidR="001633FF" w:rsidRPr="00002C7A">
        <w:rPr>
          <w:lang w:val="en-GB"/>
        </w:rPr>
        <w:t>which</w:t>
      </w:r>
      <w:r w:rsidR="00AA1F5F" w:rsidRPr="00002C7A">
        <w:rPr>
          <w:lang w:val="en-GB"/>
        </w:rPr>
        <w:t xml:space="preserve"> a telecoms firm operates </w:t>
      </w:r>
      <w:r w:rsidRPr="00002C7A">
        <w:rPr>
          <w:lang w:val="en-GB"/>
        </w:rPr>
        <w:t xml:space="preserve">determines how the firm’s revenues and profits vary under different economic circumstances, it </w:t>
      </w:r>
      <w:r w:rsidR="00AA1F5F" w:rsidRPr="00002C7A">
        <w:rPr>
          <w:lang w:val="en-GB"/>
        </w:rPr>
        <w:t xml:space="preserve">will be a key determinant of the firm’s systematic risk. For this reason, </w:t>
      </w:r>
      <w:r w:rsidR="00A22305" w:rsidRPr="00002C7A">
        <w:rPr>
          <w:lang w:val="en-GB"/>
        </w:rPr>
        <w:t xml:space="preserve">we </w:t>
      </w:r>
      <w:r w:rsidR="00FE0B8E" w:rsidRPr="00002C7A">
        <w:rPr>
          <w:lang w:val="en-GB"/>
        </w:rPr>
        <w:t xml:space="preserve">should </w:t>
      </w:r>
      <w:r w:rsidR="00A22305" w:rsidRPr="00002C7A">
        <w:rPr>
          <w:lang w:val="en-GB"/>
        </w:rPr>
        <w:t xml:space="preserve">ideally select </w:t>
      </w:r>
      <w:r w:rsidR="00FE0B8E" w:rsidRPr="00002C7A">
        <w:rPr>
          <w:lang w:val="en-GB"/>
        </w:rPr>
        <w:t xml:space="preserve">peers from countries with a broadly similar regulatory </w:t>
      </w:r>
      <w:r w:rsidR="007A7F70" w:rsidRPr="00002C7A">
        <w:rPr>
          <w:lang w:val="en-GB"/>
        </w:rPr>
        <w:t>framework</w:t>
      </w:r>
      <w:r w:rsidR="00D87A98" w:rsidRPr="00002C7A">
        <w:rPr>
          <w:lang w:val="en-GB"/>
        </w:rPr>
        <w:t xml:space="preserve"> as </w:t>
      </w:r>
      <w:r w:rsidR="00A22305" w:rsidRPr="00002C7A">
        <w:rPr>
          <w:lang w:val="en-GB"/>
        </w:rPr>
        <w:t>the Georgian framework</w:t>
      </w:r>
      <w:r w:rsidR="00FE0B8E" w:rsidRPr="00002C7A">
        <w:rPr>
          <w:lang w:val="en-GB"/>
        </w:rPr>
        <w:t xml:space="preserve">. </w:t>
      </w:r>
    </w:p>
    <w:p w14:paraId="363C6AC9" w14:textId="54A724D9" w:rsidR="00F80DC0" w:rsidRPr="00002C7A" w:rsidRDefault="00D132FB">
      <w:pPr>
        <w:pStyle w:val="ParagraphNumbered"/>
        <w:jc w:val="both"/>
        <w:rPr>
          <w:lang w:val="en-GB"/>
        </w:rPr>
      </w:pPr>
      <w:r w:rsidRPr="00002C7A">
        <w:rPr>
          <w:lang w:val="en-GB"/>
        </w:rPr>
        <w:t xml:space="preserve">We note </w:t>
      </w:r>
      <w:r w:rsidR="006534A8" w:rsidRPr="00002C7A">
        <w:rPr>
          <w:lang w:val="en-GB"/>
        </w:rPr>
        <w:t>that c</w:t>
      </w:r>
      <w:r w:rsidR="00AA431F" w:rsidRPr="00002C7A">
        <w:rPr>
          <w:lang w:val="en-GB"/>
        </w:rPr>
        <w:t>ompanies operating</w:t>
      </w:r>
      <w:r w:rsidR="00B52D21" w:rsidRPr="00002C7A">
        <w:rPr>
          <w:lang w:val="en-GB"/>
        </w:rPr>
        <w:t xml:space="preserve"> in </w:t>
      </w:r>
      <w:r w:rsidR="00D41B3F" w:rsidRPr="00002C7A">
        <w:rPr>
          <w:lang w:val="en-GB"/>
        </w:rPr>
        <w:t xml:space="preserve">EU countries </w:t>
      </w:r>
      <w:r w:rsidR="00317226" w:rsidRPr="00002C7A">
        <w:rPr>
          <w:lang w:val="en-GB"/>
        </w:rPr>
        <w:t>share a similar regulatory framework with Georgia</w:t>
      </w:r>
      <w:r w:rsidR="0083523F" w:rsidRPr="00002C7A">
        <w:rPr>
          <w:lang w:val="en-GB"/>
        </w:rPr>
        <w:t xml:space="preserve"> and</w:t>
      </w:r>
      <w:r w:rsidR="005A2809" w:rsidRPr="00002C7A">
        <w:rPr>
          <w:lang w:val="en-GB"/>
        </w:rPr>
        <w:t xml:space="preserve"> should definitely be considered in the analysis</w:t>
      </w:r>
      <w:r w:rsidR="00D45E1A" w:rsidRPr="00002C7A">
        <w:rPr>
          <w:lang w:val="en-GB"/>
        </w:rPr>
        <w:t>.</w:t>
      </w:r>
      <w:r w:rsidR="493260C6" w:rsidRPr="00002C7A">
        <w:rPr>
          <w:lang w:val="en-GB"/>
        </w:rPr>
        <w:t xml:space="preserve"> </w:t>
      </w:r>
      <w:r w:rsidR="003D250D" w:rsidRPr="00002C7A">
        <w:rPr>
          <w:lang w:val="en-GB"/>
        </w:rPr>
        <w:t xml:space="preserve">Also, </w:t>
      </w:r>
      <w:r w:rsidR="00FA3D75" w:rsidRPr="00002C7A">
        <w:rPr>
          <w:lang w:val="en-GB"/>
        </w:rPr>
        <w:t>the broad number of European peers already provides us with a large enough sample to obtain a robust beta estimate</w:t>
      </w:r>
      <w:r w:rsidR="00B550E8" w:rsidRPr="00002C7A">
        <w:rPr>
          <w:lang w:val="en-GB"/>
        </w:rPr>
        <w:t>.</w:t>
      </w:r>
      <w:r w:rsidR="006378AC" w:rsidRPr="00002C7A">
        <w:rPr>
          <w:rStyle w:val="FootnoteReference"/>
          <w:lang w:val="en-GB"/>
        </w:rPr>
        <w:footnoteReference w:id="35"/>
      </w:r>
      <w:r w:rsidR="00B550E8" w:rsidRPr="00002C7A">
        <w:rPr>
          <w:lang w:val="en-GB"/>
        </w:rPr>
        <w:t xml:space="preserve"> </w:t>
      </w:r>
      <w:r w:rsidR="006534A8" w:rsidRPr="00002C7A">
        <w:rPr>
          <w:lang w:val="en-GB"/>
        </w:rPr>
        <w:t xml:space="preserve">On the other hand, </w:t>
      </w:r>
      <w:r w:rsidR="004136F5" w:rsidRPr="00002C7A">
        <w:rPr>
          <w:lang w:val="en-GB"/>
        </w:rPr>
        <w:t>we note that i</w:t>
      </w:r>
      <w:r w:rsidR="004F71DB" w:rsidRPr="00002C7A">
        <w:rPr>
          <w:lang w:val="en-GB"/>
        </w:rPr>
        <w:t xml:space="preserve">t is unclear whether </w:t>
      </w:r>
      <w:r w:rsidR="00BB1FC3" w:rsidRPr="00002C7A">
        <w:rPr>
          <w:lang w:val="en-GB"/>
        </w:rPr>
        <w:t>the regulatory framework in China is similar</w:t>
      </w:r>
      <w:r w:rsidR="007F68EC" w:rsidRPr="00002C7A">
        <w:rPr>
          <w:lang w:val="en-GB"/>
        </w:rPr>
        <w:t xml:space="preserve"> </w:t>
      </w:r>
      <w:r w:rsidR="00BB1FC3" w:rsidRPr="00002C7A">
        <w:rPr>
          <w:lang w:val="en-GB"/>
        </w:rPr>
        <w:t>to the regulatory framework in Georgia</w:t>
      </w:r>
      <w:r w:rsidR="004136F5" w:rsidRPr="00002C7A">
        <w:rPr>
          <w:lang w:val="en-GB"/>
        </w:rPr>
        <w:t xml:space="preserve">. Therefore, </w:t>
      </w:r>
      <w:r w:rsidR="001D78B4" w:rsidRPr="00002C7A">
        <w:rPr>
          <w:lang w:val="en-GB"/>
        </w:rPr>
        <w:t xml:space="preserve">including betas of Chinese firms </w:t>
      </w:r>
      <w:r w:rsidR="00FD6A44" w:rsidRPr="00002C7A">
        <w:rPr>
          <w:lang w:val="en-GB"/>
        </w:rPr>
        <w:t xml:space="preserve">might not </w:t>
      </w:r>
      <w:r w:rsidR="00722F2B" w:rsidRPr="00002C7A">
        <w:rPr>
          <w:lang w:val="en-GB"/>
        </w:rPr>
        <w:t xml:space="preserve">provide </w:t>
      </w:r>
      <w:r w:rsidR="001D78B4" w:rsidRPr="00002C7A">
        <w:rPr>
          <w:lang w:val="en-GB"/>
        </w:rPr>
        <w:t>an accurate estimate of the beta for telecoms firms in Georgia</w:t>
      </w:r>
      <w:r w:rsidR="00CB05A4" w:rsidRPr="00002C7A">
        <w:rPr>
          <w:lang w:val="en-GB"/>
        </w:rPr>
        <w:t>.</w:t>
      </w:r>
      <w:r w:rsidR="004136F5" w:rsidRPr="00002C7A">
        <w:rPr>
          <w:lang w:val="en-GB"/>
        </w:rPr>
        <w:t xml:space="preserve"> Accordingly, </w:t>
      </w:r>
      <w:r w:rsidR="00B62286" w:rsidRPr="00002C7A">
        <w:rPr>
          <w:lang w:val="en-GB"/>
        </w:rPr>
        <w:t>we recommend ComCom to estimate beta considering only the European peers</w:t>
      </w:r>
      <w:r w:rsidR="00CF588E" w:rsidRPr="00002C7A">
        <w:rPr>
          <w:lang w:val="en-GB"/>
        </w:rPr>
        <w:t>.</w:t>
      </w:r>
      <w:r w:rsidR="0027559F" w:rsidRPr="00002C7A">
        <w:rPr>
          <w:lang w:val="en-GB"/>
        </w:rPr>
        <w:t xml:space="preserve"> </w:t>
      </w:r>
    </w:p>
    <w:p w14:paraId="0E427B9B" w14:textId="1F79FDDD" w:rsidR="00043EFC" w:rsidRPr="008F23DE" w:rsidRDefault="00576B71" w:rsidP="00500B2F">
      <w:pPr>
        <w:pStyle w:val="Caption"/>
        <w:jc w:val="both"/>
      </w:pPr>
      <w:bookmarkStart w:id="167" w:name="_Ref99705992"/>
      <w:bookmarkStart w:id="168" w:name="_Toc99716107"/>
      <w:bookmarkStart w:id="169" w:name="_Toc99716200"/>
      <w:bookmarkStart w:id="170" w:name="_Toc99728380"/>
      <w:bookmarkStart w:id="171" w:name="_Toc100325541"/>
      <w:bookmarkStart w:id="172" w:name="_Toc219739798"/>
      <w:bookmarkStart w:id="173" w:name="_Toc217060082"/>
      <w:r w:rsidRPr="008C14A2">
        <w:lastRenderedPageBreak/>
        <w:t xml:space="preserve">Table </w:t>
      </w:r>
      <w:r w:rsidRPr="008C14A2">
        <w:fldChar w:fldCharType="begin"/>
      </w:r>
      <w:r w:rsidRPr="008C14A2">
        <w:rPr>
          <w:noProof/>
        </w:rPr>
        <w:instrText xml:space="preserve"> SEQ Table \* ARABIC </w:instrText>
      </w:r>
      <w:r w:rsidRPr="008C14A2">
        <w:rPr>
          <w:noProof/>
        </w:rPr>
        <w:fldChar w:fldCharType="separate"/>
      </w:r>
      <w:r w:rsidR="007F093A">
        <w:rPr>
          <w:noProof/>
        </w:rPr>
        <w:t>6</w:t>
      </w:r>
      <w:r w:rsidRPr="008C14A2">
        <w:fldChar w:fldCharType="end"/>
      </w:r>
      <w:bookmarkEnd w:id="167"/>
      <w:r w:rsidRPr="008C14A2">
        <w:t xml:space="preserve">: Potential Peer </w:t>
      </w:r>
      <w:r w:rsidRPr="005D5EB8">
        <w:t>Group</w:t>
      </w:r>
      <w:bookmarkEnd w:id="168"/>
      <w:bookmarkEnd w:id="169"/>
      <w:bookmarkEnd w:id="170"/>
      <w:bookmarkEnd w:id="171"/>
      <w:bookmarkEnd w:id="172"/>
      <w:bookmarkEnd w:id="173"/>
    </w:p>
    <w:p w14:paraId="2C33489C" w14:textId="4502C43D" w:rsidR="00663497" w:rsidRDefault="00BA42C3" w:rsidP="00500B2F">
      <w:pPr>
        <w:pStyle w:val="Figure"/>
        <w:jc w:val="both"/>
      </w:pPr>
      <w:r w:rsidRPr="00BA42C3">
        <w:drawing>
          <wp:inline distT="0" distB="0" distL="0" distR="0" wp14:anchorId="2FD2A413" wp14:editId="038FF6FC">
            <wp:extent cx="5372100" cy="6057900"/>
            <wp:effectExtent l="0" t="0" r="0" b="0"/>
            <wp:docPr id="1212203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2100" cy="6057900"/>
                    </a:xfrm>
                    <a:prstGeom prst="rect">
                      <a:avLst/>
                    </a:prstGeom>
                    <a:noFill/>
                    <a:ln>
                      <a:noFill/>
                    </a:ln>
                  </pic:spPr>
                </pic:pic>
              </a:graphicData>
            </a:graphic>
          </wp:inline>
        </w:drawing>
      </w:r>
    </w:p>
    <w:p w14:paraId="6A877023" w14:textId="6A4AC487" w:rsidR="00E17D1C" w:rsidRPr="008C14A2" w:rsidRDefault="00C132D2" w:rsidP="00500B2F">
      <w:pPr>
        <w:pStyle w:val="Heading2"/>
        <w:jc w:val="both"/>
      </w:pPr>
      <w:bookmarkStart w:id="174" w:name="_Toc8902966"/>
      <w:bookmarkStart w:id="175" w:name="_Toc9850267"/>
      <w:bookmarkStart w:id="176" w:name="_Toc73455314"/>
      <w:bookmarkStart w:id="177" w:name="_Toc78563290"/>
      <w:bookmarkStart w:id="178" w:name="_Toc99716130"/>
      <w:bookmarkStart w:id="179" w:name="_Toc99716223"/>
      <w:bookmarkStart w:id="180" w:name="_Toc99728407"/>
      <w:bookmarkStart w:id="181" w:name="_Toc100325567"/>
      <w:bookmarkStart w:id="182" w:name="_Toc219739777"/>
      <w:bookmarkStart w:id="183" w:name="_Toc217060063"/>
      <w:r>
        <w:t xml:space="preserve">Liquidity </w:t>
      </w:r>
      <w:r w:rsidRPr="005D5EB8">
        <w:t>and</w:t>
      </w:r>
      <w:r>
        <w:t xml:space="preserve"> other s</w:t>
      </w:r>
      <w:r w:rsidR="00DE3432">
        <w:t>creening</w:t>
      </w:r>
      <w:r w:rsidR="00E17D1C" w:rsidRPr="008C14A2">
        <w:t xml:space="preserve"> </w:t>
      </w:r>
      <w:r>
        <w:t>t</w:t>
      </w:r>
      <w:r w:rsidR="00E17D1C" w:rsidRPr="008C14A2">
        <w:t>ests</w:t>
      </w:r>
      <w:bookmarkEnd w:id="174"/>
      <w:bookmarkEnd w:id="175"/>
      <w:bookmarkEnd w:id="176"/>
      <w:bookmarkEnd w:id="177"/>
      <w:bookmarkEnd w:id="178"/>
      <w:bookmarkEnd w:id="179"/>
      <w:bookmarkEnd w:id="180"/>
      <w:bookmarkEnd w:id="181"/>
      <w:bookmarkEnd w:id="182"/>
      <w:bookmarkEnd w:id="183"/>
    </w:p>
    <w:p w14:paraId="1778F178" w14:textId="7B70222C" w:rsidR="00317816" w:rsidRPr="00002C7A" w:rsidRDefault="501BA077" w:rsidP="00500B2F">
      <w:pPr>
        <w:pStyle w:val="ParagraphNumbered"/>
        <w:jc w:val="both"/>
        <w:rPr>
          <w:lang w:val="en-GB"/>
        </w:rPr>
      </w:pPr>
      <w:r w:rsidRPr="00002C7A">
        <w:rPr>
          <w:lang w:val="en-GB"/>
        </w:rPr>
        <w:t>T</w:t>
      </w:r>
      <w:r w:rsidR="6CB652C9" w:rsidRPr="00002C7A">
        <w:rPr>
          <w:lang w:val="en-GB"/>
        </w:rPr>
        <w:t>o obtain a reliable beta estimate, w</w:t>
      </w:r>
      <w:r w:rsidR="2B852FA9" w:rsidRPr="00002C7A">
        <w:rPr>
          <w:lang w:val="en-GB"/>
        </w:rPr>
        <w:t xml:space="preserve">e </w:t>
      </w:r>
      <w:r w:rsidR="4C8E2DE2" w:rsidRPr="00002C7A">
        <w:rPr>
          <w:lang w:val="en-GB"/>
        </w:rPr>
        <w:t xml:space="preserve">apply </w:t>
      </w:r>
      <w:r w:rsidR="5C274272" w:rsidRPr="00002C7A">
        <w:rPr>
          <w:lang w:val="en-GB"/>
        </w:rPr>
        <w:t>several</w:t>
      </w:r>
      <w:r w:rsidR="4C8E2DE2" w:rsidRPr="00002C7A">
        <w:rPr>
          <w:lang w:val="en-GB"/>
        </w:rPr>
        <w:t xml:space="preserve"> scr</w:t>
      </w:r>
      <w:r w:rsidR="4C2894EB" w:rsidRPr="00002C7A">
        <w:rPr>
          <w:lang w:val="en-GB"/>
        </w:rPr>
        <w:t xml:space="preserve">eening criteria </w:t>
      </w:r>
      <w:r w:rsidR="6CB652C9" w:rsidRPr="00002C7A">
        <w:rPr>
          <w:lang w:val="en-GB"/>
        </w:rPr>
        <w:t xml:space="preserve">to </w:t>
      </w:r>
      <w:r w:rsidR="2A65CDF9" w:rsidRPr="00002C7A">
        <w:rPr>
          <w:lang w:val="en-GB"/>
        </w:rPr>
        <w:t>each of the candidate p</w:t>
      </w:r>
      <w:r w:rsidR="00317816" w:rsidRPr="00002C7A">
        <w:rPr>
          <w:lang w:val="en-GB"/>
        </w:rPr>
        <w:t xml:space="preserve">eers. </w:t>
      </w:r>
    </w:p>
    <w:p w14:paraId="02FE534F" w14:textId="08BB824C" w:rsidR="002A7DCC" w:rsidRPr="00002C7A" w:rsidRDefault="6E9EF0C1" w:rsidP="00500B2F">
      <w:pPr>
        <w:pStyle w:val="ParagraphNumbered"/>
        <w:jc w:val="both"/>
        <w:rPr>
          <w:lang w:val="en-GB"/>
        </w:rPr>
      </w:pPr>
      <w:r w:rsidRPr="00002C7A">
        <w:rPr>
          <w:lang w:val="en-GB"/>
        </w:rPr>
        <w:t>First, we check that the stocks of the individual peers a</w:t>
      </w:r>
      <w:r w:rsidR="5C274272" w:rsidRPr="00002C7A">
        <w:rPr>
          <w:lang w:val="en-GB"/>
        </w:rPr>
        <w:t>re</w:t>
      </w:r>
      <w:r w:rsidRPr="00002C7A">
        <w:rPr>
          <w:lang w:val="en-GB"/>
        </w:rPr>
        <w:t xml:space="preserve"> sufficiently liquid. </w:t>
      </w:r>
      <w:r w:rsidR="29F82681" w:rsidRPr="00002C7A">
        <w:rPr>
          <w:lang w:val="en-GB"/>
        </w:rPr>
        <w:t>Illiquid stocks tend to underestimate the beta.</w:t>
      </w:r>
      <w:r w:rsidR="00D238BA" w:rsidRPr="00002C7A">
        <w:rPr>
          <w:rStyle w:val="FootnoteReference"/>
          <w:lang w:val="en-GB"/>
        </w:rPr>
        <w:footnoteReference w:id="36"/>
      </w:r>
      <w:r w:rsidR="29F82681" w:rsidRPr="00002C7A">
        <w:rPr>
          <w:lang w:val="en-GB"/>
        </w:rPr>
        <w:t xml:space="preserve"> Hence, for each of the potential peers in the initial sample, we </w:t>
      </w:r>
      <w:r w:rsidR="29F82681" w:rsidRPr="00002C7A">
        <w:rPr>
          <w:lang w:val="en-GB"/>
        </w:rPr>
        <w:lastRenderedPageBreak/>
        <w:t xml:space="preserve">test to see if the firms’ shares are sufficiently liquid. </w:t>
      </w:r>
      <w:r w:rsidR="657D8755" w:rsidRPr="00002C7A">
        <w:rPr>
          <w:lang w:val="en-GB"/>
        </w:rPr>
        <w:t xml:space="preserve">As a measure of </w:t>
      </w:r>
      <w:r w:rsidR="63CB6DA0" w:rsidRPr="00002C7A">
        <w:rPr>
          <w:lang w:val="en-GB"/>
        </w:rPr>
        <w:t>liquidity,</w:t>
      </w:r>
      <w:r w:rsidR="657D8755" w:rsidRPr="00002C7A">
        <w:rPr>
          <w:lang w:val="en-GB"/>
        </w:rPr>
        <w:t xml:space="preserve"> we consider the </w:t>
      </w:r>
      <w:r w:rsidR="29F82681" w:rsidRPr="00002C7A">
        <w:rPr>
          <w:lang w:val="en-GB"/>
        </w:rPr>
        <w:t>bid-ask spread</w:t>
      </w:r>
      <w:r w:rsidR="2B392F4F" w:rsidRPr="00002C7A">
        <w:rPr>
          <w:lang w:val="en-GB"/>
        </w:rPr>
        <w:t xml:space="preserve"> measured as a percentage of the stock price</w:t>
      </w:r>
      <w:r w:rsidR="280F5730" w:rsidRPr="00002C7A">
        <w:rPr>
          <w:lang w:val="en-GB"/>
        </w:rPr>
        <w:t xml:space="preserve"> and apply a </w:t>
      </w:r>
      <w:r w:rsidR="29F82681" w:rsidRPr="00002C7A">
        <w:rPr>
          <w:lang w:val="en-GB"/>
        </w:rPr>
        <w:t>threshold of 1% as a liquidity criterion.</w:t>
      </w:r>
      <w:r w:rsidR="280F5730" w:rsidRPr="00002C7A">
        <w:rPr>
          <w:lang w:val="en-GB"/>
        </w:rPr>
        <w:t xml:space="preserve"> </w:t>
      </w:r>
      <w:r w:rsidR="29F82681" w:rsidRPr="00002C7A">
        <w:rPr>
          <w:lang w:val="en-GB"/>
        </w:rPr>
        <w:t>Accordingly, we calculate the average bid-ask spread as a percentage of the stock price over the reference period 1 October 2020 – 30 September 2025. As illustrated in</w:t>
      </w:r>
      <w:r w:rsidR="12D3E303" w:rsidRPr="00002C7A">
        <w:rPr>
          <w:lang w:val="en-GB"/>
        </w:rPr>
        <w:t xml:space="preserve"> </w:t>
      </w:r>
      <w:r w:rsidR="00851BB8" w:rsidRPr="00002C7A">
        <w:rPr>
          <w:lang w:val="en-GB"/>
        </w:rPr>
        <w:fldChar w:fldCharType="begin"/>
      </w:r>
      <w:r w:rsidR="00851BB8" w:rsidRPr="00002C7A">
        <w:rPr>
          <w:lang w:val="en-GB"/>
        </w:rPr>
        <w:instrText xml:space="preserve"> REF _Ref213418461 \h </w:instrText>
      </w:r>
      <w:r w:rsidR="00CF6D96" w:rsidRPr="00002C7A">
        <w:rPr>
          <w:lang w:val="en-GB"/>
        </w:rPr>
        <w:instrText xml:space="preserve"> \* MERGEFORMAT </w:instrText>
      </w:r>
      <w:r w:rsidR="00851BB8" w:rsidRPr="00002C7A">
        <w:rPr>
          <w:lang w:val="en-GB"/>
        </w:rPr>
      </w:r>
      <w:r w:rsidR="00851BB8" w:rsidRPr="00002C7A">
        <w:rPr>
          <w:lang w:val="en-GB"/>
        </w:rPr>
        <w:fldChar w:fldCharType="separate"/>
      </w:r>
      <w:r w:rsidR="007F093A" w:rsidRPr="007F093A">
        <w:rPr>
          <w:lang w:val="en-GB"/>
        </w:rPr>
        <w:t xml:space="preserve">Figure </w:t>
      </w:r>
      <w:r w:rsidR="007F093A">
        <w:rPr>
          <w:noProof/>
        </w:rPr>
        <w:t>4</w:t>
      </w:r>
      <w:r w:rsidR="00851BB8" w:rsidRPr="00002C7A">
        <w:rPr>
          <w:lang w:val="en-GB"/>
        </w:rPr>
        <w:fldChar w:fldCharType="end"/>
      </w:r>
      <w:r w:rsidR="29F82681" w:rsidRPr="00002C7A">
        <w:rPr>
          <w:lang w:val="en-GB"/>
        </w:rPr>
        <w:t>, the 1% cut-off does not lead to exclusion of an</w:t>
      </w:r>
      <w:r w:rsidR="00317816" w:rsidRPr="00002C7A">
        <w:rPr>
          <w:lang w:val="en-GB"/>
        </w:rPr>
        <w:t xml:space="preserve">y peers. </w:t>
      </w:r>
      <w:r w:rsidR="72306166" w:rsidRPr="00002C7A" w:rsidDel="00E31571">
        <w:rPr>
          <w:lang w:val="en-GB"/>
        </w:rPr>
        <w:t xml:space="preserve"> </w:t>
      </w:r>
    </w:p>
    <w:p w14:paraId="68300333" w14:textId="1E0FF8AD" w:rsidR="002A6B81" w:rsidRDefault="002A6B81" w:rsidP="00500B2F">
      <w:pPr>
        <w:pStyle w:val="Caption"/>
        <w:jc w:val="both"/>
      </w:pPr>
      <w:bookmarkStart w:id="184" w:name="_Ref213418461"/>
      <w:bookmarkStart w:id="185" w:name="_Toc219739814"/>
      <w:bookmarkStart w:id="186" w:name="_Toc217060097"/>
      <w:r>
        <w:t xml:space="preserve">Figure </w:t>
      </w:r>
      <w:fldSimple w:instr=" SEQ Figure \* ARABIC ">
        <w:r w:rsidR="007F093A">
          <w:rPr>
            <w:noProof/>
          </w:rPr>
          <w:t>4</w:t>
        </w:r>
      </w:fldSimple>
      <w:bookmarkEnd w:id="184"/>
      <w:r>
        <w:t xml:space="preserve">: Bid-ask spread, 5-year </w:t>
      </w:r>
      <w:r w:rsidRPr="005D5EB8">
        <w:t>weekly</w:t>
      </w:r>
      <w:r>
        <w:t xml:space="preserve"> average</w:t>
      </w:r>
      <w:bookmarkEnd w:id="185"/>
      <w:bookmarkEnd w:id="186"/>
    </w:p>
    <w:p w14:paraId="3CD1DCB9" w14:textId="57727DF7" w:rsidR="007C49B4" w:rsidRPr="002A0656" w:rsidRDefault="003C5057" w:rsidP="00500B2F">
      <w:pPr>
        <w:pStyle w:val="Figure"/>
        <w:jc w:val="both"/>
      </w:pPr>
      <w:r>
        <w:drawing>
          <wp:inline distT="0" distB="0" distL="0" distR="0" wp14:anchorId="50AF72A4" wp14:editId="78F55707">
            <wp:extent cx="5731510" cy="4163060"/>
            <wp:effectExtent l="0" t="0" r="2540" b="8890"/>
            <wp:docPr id="2068581453" name="Picture 1" descr="A graph with blue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81453" name="Picture 1" descr="A graph with blue and red lines&#10;&#10;AI-generated content may be incorrect."/>
                    <pic:cNvPicPr/>
                  </pic:nvPicPr>
                  <pic:blipFill>
                    <a:blip r:embed="rId29"/>
                    <a:stretch>
                      <a:fillRect/>
                    </a:stretch>
                  </pic:blipFill>
                  <pic:spPr>
                    <a:xfrm>
                      <a:off x="0" y="0"/>
                      <a:ext cx="5731510" cy="4163060"/>
                    </a:xfrm>
                    <a:prstGeom prst="rect">
                      <a:avLst/>
                    </a:prstGeom>
                  </pic:spPr>
                </pic:pic>
              </a:graphicData>
            </a:graphic>
          </wp:inline>
        </w:drawing>
      </w:r>
    </w:p>
    <w:p w14:paraId="0663A16C" w14:textId="726A185C" w:rsidR="00D3773A" w:rsidRPr="00002C7A" w:rsidRDefault="002F70E6" w:rsidP="00500B2F">
      <w:pPr>
        <w:pStyle w:val="ParagraphNumbered"/>
        <w:jc w:val="both"/>
        <w:rPr>
          <w:lang w:val="en-GB"/>
        </w:rPr>
      </w:pPr>
      <w:r w:rsidRPr="00002C7A">
        <w:rPr>
          <w:lang w:val="en-GB"/>
        </w:rPr>
        <w:t>We consider two additional screening tests to ensure a reliable beta estimate. Specifically</w:t>
      </w:r>
      <w:r w:rsidR="00370195" w:rsidRPr="00002C7A">
        <w:rPr>
          <w:lang w:val="en-GB"/>
        </w:rPr>
        <w:t xml:space="preserve">, </w:t>
      </w:r>
      <w:r w:rsidR="003061B9" w:rsidRPr="00002C7A">
        <w:rPr>
          <w:lang w:val="en-GB"/>
        </w:rPr>
        <w:t>we check that the</w:t>
      </w:r>
      <w:r w:rsidR="00D3773A" w:rsidRPr="00002C7A">
        <w:rPr>
          <w:lang w:val="en-GB"/>
        </w:rPr>
        <w:t>:</w:t>
      </w:r>
    </w:p>
    <w:p w14:paraId="773A03DD" w14:textId="5B36FAE1" w:rsidR="00D3773A" w:rsidRPr="00002C7A" w:rsidRDefault="00D3773A" w:rsidP="00500B2F">
      <w:pPr>
        <w:pStyle w:val="ParagraphNumbered2"/>
        <w:jc w:val="both"/>
        <w:rPr>
          <w:lang w:val="en-GB"/>
        </w:rPr>
      </w:pPr>
      <w:r w:rsidRPr="00002C7A">
        <w:rPr>
          <w:lang w:val="en-GB"/>
        </w:rPr>
        <w:t>C</w:t>
      </w:r>
      <w:r w:rsidR="003061B9" w:rsidRPr="00002C7A">
        <w:rPr>
          <w:lang w:val="en-GB"/>
        </w:rPr>
        <w:t>redit rating of the candidate peers is not below investment grade</w:t>
      </w:r>
      <w:r w:rsidR="00DA77A1" w:rsidRPr="00002C7A">
        <w:rPr>
          <w:lang w:val="en-GB"/>
        </w:rPr>
        <w:t xml:space="preserve">. </w:t>
      </w:r>
      <w:r w:rsidR="006911EF" w:rsidRPr="00002C7A">
        <w:rPr>
          <w:lang w:val="en-GB"/>
        </w:rPr>
        <w:t xml:space="preserve">Share prices of firms </w:t>
      </w:r>
      <w:r w:rsidR="005B7D67" w:rsidRPr="00002C7A">
        <w:rPr>
          <w:lang w:val="en-GB"/>
        </w:rPr>
        <w:t>with a low credit rating</w:t>
      </w:r>
      <w:r w:rsidR="00E80B90" w:rsidRPr="00002C7A">
        <w:rPr>
          <w:lang w:val="en-GB"/>
        </w:rPr>
        <w:t xml:space="preserve"> </w:t>
      </w:r>
      <w:r w:rsidR="006911EF" w:rsidRPr="00002C7A">
        <w:rPr>
          <w:lang w:val="en-GB"/>
        </w:rPr>
        <w:t xml:space="preserve">tend to be more reactive to company-specific news. This will lower the measured beta, in a way that may not be representative of the </w:t>
      </w:r>
      <w:r w:rsidR="00F007A5" w:rsidRPr="00002C7A">
        <w:rPr>
          <w:lang w:val="en-GB"/>
        </w:rPr>
        <w:t xml:space="preserve">systematic risk of the </w:t>
      </w:r>
      <w:r w:rsidR="006911EF" w:rsidRPr="00002C7A">
        <w:rPr>
          <w:lang w:val="en-GB"/>
        </w:rPr>
        <w:t>companies</w:t>
      </w:r>
      <w:r w:rsidR="00FC0FBC" w:rsidRPr="00002C7A">
        <w:rPr>
          <w:lang w:val="en-GB"/>
        </w:rPr>
        <w:t>.</w:t>
      </w:r>
      <w:r w:rsidR="005B7D67" w:rsidRPr="00002C7A">
        <w:rPr>
          <w:lang w:val="en-GB"/>
        </w:rPr>
        <w:t xml:space="preserve"> Based on this criterion,</w:t>
      </w:r>
      <w:r w:rsidR="00E80B90" w:rsidRPr="00002C7A">
        <w:rPr>
          <w:lang w:val="en-GB"/>
        </w:rPr>
        <w:t xml:space="preserve"> we exclude Digi Communications N.V. (rated BB-), Iliad SA (rated BB) and Telecom Italia S.p.A. (rated BB)</w:t>
      </w:r>
      <w:r w:rsidR="00FC0FBC" w:rsidRPr="00002C7A">
        <w:rPr>
          <w:lang w:val="en-GB"/>
        </w:rPr>
        <w:t>.</w:t>
      </w:r>
    </w:p>
    <w:p w14:paraId="28021A07" w14:textId="7D1B236A" w:rsidR="00EB1C9C" w:rsidRPr="00002C7A" w:rsidRDefault="00D3773A">
      <w:pPr>
        <w:pStyle w:val="ParagraphNumbered2"/>
        <w:jc w:val="both"/>
        <w:rPr>
          <w:lang w:val="en-GB"/>
        </w:rPr>
      </w:pPr>
      <w:r w:rsidRPr="00002C7A">
        <w:rPr>
          <w:lang w:val="en-GB"/>
        </w:rPr>
        <w:lastRenderedPageBreak/>
        <w:t>T</w:t>
      </w:r>
      <w:r w:rsidR="00E031D2" w:rsidRPr="00002C7A">
        <w:rPr>
          <w:lang w:val="en-GB"/>
        </w:rPr>
        <w:t>he companies were not involved in substantial M&amp;A activity</w:t>
      </w:r>
      <w:r w:rsidR="003061B9" w:rsidRPr="00002C7A">
        <w:rPr>
          <w:lang w:val="en-GB"/>
        </w:rPr>
        <w:t xml:space="preserve">. </w:t>
      </w:r>
      <w:r w:rsidR="0032315B" w:rsidRPr="00002C7A">
        <w:rPr>
          <w:lang w:val="en-GB"/>
        </w:rPr>
        <w:t>Substantial M&amp;A activity will tend to affect a firm’s share price in a way that is unrelated to the systematic risk of the business. Hence, the observed beta for a firm with substantial M&amp;A activity will tend to underestimate the true beta for a firm with the same business activity absent M&amp;A activity. Accordingly, we would exclude firms that have been involved in ‘substantial’ mergers and acquisitions (M&amp;A) during the period for which data is used to calculate the beta.</w:t>
      </w:r>
      <w:r w:rsidR="00E80B90" w:rsidRPr="00002C7A">
        <w:rPr>
          <w:lang w:val="en-GB"/>
        </w:rPr>
        <w:t xml:space="preserve"> In practice we do not exclude any peers due to this criteri</w:t>
      </w:r>
      <w:r w:rsidR="00BA7D1E" w:rsidRPr="00002C7A">
        <w:rPr>
          <w:lang w:val="en-GB"/>
        </w:rPr>
        <w:t>on</w:t>
      </w:r>
      <w:r w:rsidR="00E80B90" w:rsidRPr="00002C7A">
        <w:rPr>
          <w:lang w:val="en-GB"/>
        </w:rPr>
        <w:t>.</w:t>
      </w:r>
    </w:p>
    <w:p w14:paraId="3E1B41DA" w14:textId="4D56E75C" w:rsidR="00E17D1C" w:rsidRPr="00D25F87" w:rsidRDefault="00E17D1C" w:rsidP="00500B2F">
      <w:pPr>
        <w:pStyle w:val="Heading2"/>
        <w:jc w:val="both"/>
      </w:pPr>
      <w:bookmarkStart w:id="187" w:name="_Toc8902970"/>
      <w:bookmarkStart w:id="188" w:name="_Toc9850271"/>
      <w:bookmarkStart w:id="189" w:name="_Toc73455318"/>
      <w:bookmarkStart w:id="190" w:name="_Toc78563294"/>
      <w:bookmarkStart w:id="191" w:name="_Toc99716131"/>
      <w:bookmarkStart w:id="192" w:name="_Toc99716224"/>
      <w:bookmarkStart w:id="193" w:name="_Toc99728408"/>
      <w:bookmarkStart w:id="194" w:name="_Toc100325568"/>
      <w:bookmarkStart w:id="195" w:name="_Toc219739778"/>
      <w:bookmarkStart w:id="196" w:name="_Toc217060064"/>
      <w:r w:rsidRPr="00D25F87">
        <w:t xml:space="preserve">The Final </w:t>
      </w:r>
      <w:r w:rsidR="00C33F6B">
        <w:t xml:space="preserve">Sample of </w:t>
      </w:r>
      <w:r w:rsidRPr="00D25F87">
        <w:t>Peer</w:t>
      </w:r>
      <w:bookmarkEnd w:id="187"/>
      <w:bookmarkEnd w:id="188"/>
      <w:bookmarkEnd w:id="189"/>
      <w:bookmarkEnd w:id="190"/>
      <w:r w:rsidR="005142EA" w:rsidRPr="00D25F87">
        <w:t>s</w:t>
      </w:r>
      <w:bookmarkEnd w:id="191"/>
      <w:bookmarkEnd w:id="192"/>
      <w:bookmarkEnd w:id="193"/>
      <w:bookmarkEnd w:id="194"/>
      <w:bookmarkEnd w:id="195"/>
      <w:bookmarkEnd w:id="196"/>
    </w:p>
    <w:p w14:paraId="36BA0E8E" w14:textId="5C0979ED" w:rsidR="00E17D1C" w:rsidRPr="00002C7A" w:rsidRDefault="00E17D1C" w:rsidP="00500B2F">
      <w:pPr>
        <w:pStyle w:val="ParagraphNumbered"/>
        <w:jc w:val="both"/>
        <w:rPr>
          <w:lang w:val="en-GB"/>
        </w:rPr>
      </w:pPr>
      <w:r w:rsidRPr="00002C7A">
        <w:rPr>
          <w:lang w:val="en-GB"/>
        </w:rPr>
        <w:fldChar w:fldCharType="begin"/>
      </w:r>
      <w:r w:rsidRPr="00002C7A">
        <w:rPr>
          <w:lang w:val="en-GB"/>
        </w:rPr>
        <w:instrText xml:space="preserve"> REF _Ref8825815 \h </w:instrText>
      </w:r>
      <w:r w:rsidR="005142EA" w:rsidRPr="00002C7A">
        <w:rPr>
          <w:lang w:val="en-GB"/>
        </w:rPr>
        <w:instrText xml:space="preserve"> \* MERGEFORMAT </w:instrText>
      </w:r>
      <w:r w:rsidRPr="00002C7A">
        <w:rPr>
          <w:lang w:val="en-GB"/>
        </w:rPr>
      </w:r>
      <w:r w:rsidRPr="00002C7A">
        <w:rPr>
          <w:lang w:val="en-GB"/>
        </w:rPr>
        <w:fldChar w:fldCharType="separate"/>
      </w:r>
      <w:r w:rsidR="007F093A" w:rsidRPr="007F093A">
        <w:rPr>
          <w:lang w:val="en-GB"/>
        </w:rPr>
        <w:t>Table 7</w:t>
      </w:r>
      <w:r w:rsidRPr="00002C7A">
        <w:rPr>
          <w:lang w:val="en-GB"/>
        </w:rPr>
        <w:fldChar w:fldCharType="end"/>
      </w:r>
      <w:r w:rsidRPr="00002C7A">
        <w:rPr>
          <w:lang w:val="en-GB"/>
        </w:rPr>
        <w:t xml:space="preserve">, below, </w:t>
      </w:r>
      <w:r w:rsidR="007A0323" w:rsidRPr="00002C7A">
        <w:rPr>
          <w:lang w:val="en-GB"/>
        </w:rPr>
        <w:t xml:space="preserve">lists </w:t>
      </w:r>
      <w:r w:rsidR="003B5519" w:rsidRPr="00002C7A">
        <w:rPr>
          <w:lang w:val="en-GB"/>
        </w:rPr>
        <w:t xml:space="preserve">the </w:t>
      </w:r>
      <w:r w:rsidR="007A0323" w:rsidRPr="00002C7A">
        <w:rPr>
          <w:lang w:val="en-GB"/>
        </w:rPr>
        <w:t>companies in the final sample.</w:t>
      </w:r>
      <w:r w:rsidRPr="00002C7A">
        <w:rPr>
          <w:lang w:val="en-GB"/>
        </w:rPr>
        <w:t xml:space="preserve"> </w:t>
      </w:r>
      <w:r w:rsidR="00AB6F7A" w:rsidRPr="00002C7A">
        <w:rPr>
          <w:lang w:val="en-GB"/>
        </w:rPr>
        <w:t xml:space="preserve">Overall, the final sample includes </w:t>
      </w:r>
      <w:r w:rsidR="00D25F87" w:rsidRPr="00002C7A">
        <w:rPr>
          <w:lang w:val="en-GB"/>
        </w:rPr>
        <w:t>2</w:t>
      </w:r>
      <w:r w:rsidR="003C50FA" w:rsidRPr="00002C7A">
        <w:rPr>
          <w:lang w:val="en-GB"/>
        </w:rPr>
        <w:t>0</w:t>
      </w:r>
      <w:r w:rsidR="00D25F87" w:rsidRPr="00002C7A">
        <w:rPr>
          <w:lang w:val="en-GB"/>
        </w:rPr>
        <w:t xml:space="preserve"> </w:t>
      </w:r>
      <w:r w:rsidR="00FC3F43" w:rsidRPr="00002C7A">
        <w:rPr>
          <w:lang w:val="en-GB"/>
        </w:rPr>
        <w:t xml:space="preserve">European </w:t>
      </w:r>
      <w:r w:rsidR="00D25F87" w:rsidRPr="00002C7A">
        <w:rPr>
          <w:lang w:val="en-GB"/>
        </w:rPr>
        <w:t>companies</w:t>
      </w:r>
      <w:r w:rsidR="00620929" w:rsidRPr="00002C7A">
        <w:rPr>
          <w:lang w:val="en-GB"/>
        </w:rPr>
        <w:t>.</w:t>
      </w:r>
    </w:p>
    <w:p w14:paraId="1ACD2692" w14:textId="302342AC" w:rsidR="00461836" w:rsidRDefault="00E17D1C" w:rsidP="00500B2F">
      <w:pPr>
        <w:pStyle w:val="Caption"/>
        <w:jc w:val="both"/>
      </w:pPr>
      <w:bookmarkStart w:id="197" w:name="_Ref8825815"/>
      <w:bookmarkStart w:id="198" w:name="_Ref8825809"/>
      <w:bookmarkStart w:id="199" w:name="_Toc73455340"/>
      <w:bookmarkStart w:id="200" w:name="_Toc78563257"/>
      <w:bookmarkStart w:id="201" w:name="_Toc99716108"/>
      <w:bookmarkStart w:id="202" w:name="_Toc99716201"/>
      <w:bookmarkStart w:id="203" w:name="_Toc99728381"/>
      <w:bookmarkStart w:id="204" w:name="_Toc100325542"/>
      <w:bookmarkStart w:id="205" w:name="_Toc219739799"/>
      <w:bookmarkStart w:id="206" w:name="_Toc217060083"/>
      <w:r w:rsidRPr="00D25F87">
        <w:t xml:space="preserve">Table </w:t>
      </w:r>
      <w:fldSimple w:instr=" SEQ Table \* ARABIC ">
        <w:r w:rsidR="007F093A">
          <w:rPr>
            <w:noProof/>
          </w:rPr>
          <w:t>7</w:t>
        </w:r>
      </w:fldSimple>
      <w:bookmarkEnd w:id="197"/>
      <w:r w:rsidRPr="00D25F87">
        <w:t xml:space="preserve">: Screening </w:t>
      </w:r>
      <w:r w:rsidRPr="005D5EB8">
        <w:t>Tests</w:t>
      </w:r>
      <w:r w:rsidRPr="00D25F87">
        <w:t xml:space="preserve"> Summary</w:t>
      </w:r>
      <w:bookmarkEnd w:id="198"/>
      <w:bookmarkEnd w:id="199"/>
      <w:bookmarkEnd w:id="200"/>
      <w:bookmarkEnd w:id="201"/>
      <w:bookmarkEnd w:id="202"/>
      <w:bookmarkEnd w:id="203"/>
      <w:bookmarkEnd w:id="204"/>
      <w:bookmarkEnd w:id="205"/>
      <w:bookmarkEnd w:id="206"/>
    </w:p>
    <w:p w14:paraId="791A7AE1" w14:textId="6B775C8D" w:rsidR="0028392B" w:rsidRDefault="006107CE" w:rsidP="00500B2F">
      <w:pPr>
        <w:pStyle w:val="Figure"/>
        <w:jc w:val="both"/>
      </w:pPr>
      <w:r w:rsidRPr="006107CE">
        <w:drawing>
          <wp:inline distT="0" distB="0" distL="0" distR="0" wp14:anchorId="74A35094" wp14:editId="55CC625C">
            <wp:extent cx="5731510" cy="4316730"/>
            <wp:effectExtent l="0" t="0" r="2540" b="7620"/>
            <wp:docPr id="18188622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316730"/>
                    </a:xfrm>
                    <a:prstGeom prst="rect">
                      <a:avLst/>
                    </a:prstGeom>
                    <a:noFill/>
                    <a:ln>
                      <a:noFill/>
                    </a:ln>
                  </pic:spPr>
                </pic:pic>
              </a:graphicData>
            </a:graphic>
          </wp:inline>
        </w:drawing>
      </w:r>
    </w:p>
    <w:p w14:paraId="50274EA0" w14:textId="77777777" w:rsidR="00E17D1C" w:rsidRPr="007E25D1" w:rsidRDefault="00E17D1C" w:rsidP="00500B2F">
      <w:pPr>
        <w:pStyle w:val="Heading1"/>
        <w:jc w:val="both"/>
      </w:pPr>
      <w:bookmarkStart w:id="207" w:name="_Toc8902971"/>
      <w:bookmarkStart w:id="208" w:name="_Toc9850272"/>
      <w:bookmarkStart w:id="209" w:name="_Toc73455319"/>
      <w:bookmarkStart w:id="210" w:name="_Toc78563295"/>
      <w:bookmarkStart w:id="211" w:name="_Toc99716132"/>
      <w:bookmarkStart w:id="212" w:name="_Toc99716225"/>
      <w:bookmarkStart w:id="213" w:name="_Toc99728409"/>
      <w:bookmarkStart w:id="214" w:name="_Toc100325569"/>
      <w:bookmarkStart w:id="215" w:name="_Ref213873480"/>
      <w:bookmarkStart w:id="216" w:name="_Toc219739779"/>
      <w:bookmarkStart w:id="217" w:name="_Toc217060065"/>
      <w:r w:rsidRPr="007E25D1">
        <w:lastRenderedPageBreak/>
        <w:t>Beta</w:t>
      </w:r>
      <w:bookmarkEnd w:id="207"/>
      <w:bookmarkEnd w:id="208"/>
      <w:bookmarkEnd w:id="209"/>
      <w:bookmarkEnd w:id="210"/>
      <w:r w:rsidR="005142EA" w:rsidRPr="007E25D1">
        <w:t xml:space="preserve"> and </w:t>
      </w:r>
      <w:r w:rsidR="005142EA" w:rsidRPr="005D5EB8">
        <w:t>Gearing</w:t>
      </w:r>
      <w:bookmarkEnd w:id="211"/>
      <w:bookmarkEnd w:id="212"/>
      <w:bookmarkEnd w:id="213"/>
      <w:bookmarkEnd w:id="214"/>
      <w:bookmarkEnd w:id="215"/>
      <w:bookmarkEnd w:id="216"/>
      <w:bookmarkEnd w:id="217"/>
    </w:p>
    <w:p w14:paraId="0F002938" w14:textId="385CF20E" w:rsidR="00E17D1C" w:rsidRPr="00002C7A" w:rsidRDefault="005D5EB8" w:rsidP="00500B2F">
      <w:pPr>
        <w:pStyle w:val="Heading1Separator"/>
        <w:jc w:val="both"/>
        <w:rPr>
          <w:lang w:val="en-GB"/>
        </w:rPr>
      </w:pPr>
      <w:r w:rsidRPr="00002C7A">
        <w:rPr>
          <w:lang w:val="en-GB"/>
        </w:rPr>
        <w:tab/>
      </w:r>
    </w:p>
    <w:p w14:paraId="76C2C8EE" w14:textId="77777777" w:rsidR="008C3FE0" w:rsidRDefault="008C3FE0" w:rsidP="00500B2F">
      <w:pPr>
        <w:pStyle w:val="Heading2"/>
        <w:jc w:val="both"/>
      </w:pPr>
      <w:bookmarkStart w:id="218" w:name="_Toc219739780"/>
      <w:bookmarkStart w:id="219" w:name="_Toc217060066"/>
      <w:bookmarkStart w:id="220" w:name="_Toc8902972"/>
      <w:bookmarkStart w:id="221" w:name="_Toc9850273"/>
      <w:bookmarkStart w:id="222" w:name="_Toc73455320"/>
      <w:bookmarkStart w:id="223" w:name="_Toc78563296"/>
      <w:bookmarkStart w:id="224" w:name="_Toc99716133"/>
      <w:bookmarkStart w:id="225" w:name="_Toc99716226"/>
      <w:bookmarkStart w:id="226" w:name="_Toc99728410"/>
      <w:bookmarkStart w:id="227" w:name="_Toc100325570"/>
      <w:r>
        <w:t>Methodological considerations</w:t>
      </w:r>
      <w:bookmarkEnd w:id="218"/>
      <w:bookmarkEnd w:id="219"/>
    </w:p>
    <w:p w14:paraId="56F2758E" w14:textId="42D7D9D7" w:rsidR="00270188" w:rsidRPr="00002C7A" w:rsidRDefault="007F7C1E" w:rsidP="00500B2F">
      <w:pPr>
        <w:pStyle w:val="ParagraphNumbered"/>
        <w:jc w:val="both"/>
        <w:rPr>
          <w:lang w:val="en-GB"/>
        </w:rPr>
      </w:pPr>
      <w:r w:rsidRPr="00002C7A">
        <w:rPr>
          <w:lang w:val="en-GB" w:eastAsia="en-US"/>
        </w:rPr>
        <w:t>The EC Guidelines recommend estimating</w:t>
      </w:r>
      <w:r w:rsidR="00224F70" w:rsidRPr="00002C7A">
        <w:rPr>
          <w:lang w:val="en-GB" w:eastAsia="en-US"/>
        </w:rPr>
        <w:t xml:space="preserve"> </w:t>
      </w:r>
      <w:r w:rsidR="009F7497" w:rsidRPr="00002C7A">
        <w:rPr>
          <w:lang w:val="en-GB" w:eastAsia="en-US"/>
        </w:rPr>
        <w:t xml:space="preserve">equity </w:t>
      </w:r>
      <w:r w:rsidR="00224F70" w:rsidRPr="00002C7A">
        <w:rPr>
          <w:lang w:val="en-GB" w:eastAsia="en-US"/>
        </w:rPr>
        <w:t xml:space="preserve">beta using a five-year </w:t>
      </w:r>
      <w:r w:rsidR="00ED127C" w:rsidRPr="00002C7A">
        <w:rPr>
          <w:lang w:val="en-GB" w:eastAsia="en-US"/>
        </w:rPr>
        <w:t>estimation window</w:t>
      </w:r>
      <w:r w:rsidR="00224F70" w:rsidRPr="00002C7A">
        <w:rPr>
          <w:lang w:val="en-GB" w:eastAsia="en-US"/>
        </w:rPr>
        <w:t xml:space="preserve"> and weekly data </w:t>
      </w:r>
      <w:r w:rsidR="00224F70" w:rsidRPr="00002C7A">
        <w:rPr>
          <w:lang w:val="en-GB"/>
        </w:rPr>
        <w:t xml:space="preserve">frequency. </w:t>
      </w:r>
    </w:p>
    <w:p w14:paraId="7F800847" w14:textId="267DEEAE" w:rsidR="00EA064D" w:rsidRPr="00002C7A" w:rsidRDefault="00270188" w:rsidP="00500B2F">
      <w:pPr>
        <w:pStyle w:val="ParagraphNumbered"/>
        <w:jc w:val="both"/>
        <w:rPr>
          <w:lang w:val="en-GB" w:eastAsia="en-US"/>
        </w:rPr>
      </w:pPr>
      <w:r w:rsidRPr="00002C7A">
        <w:rPr>
          <w:lang w:val="en-GB"/>
        </w:rPr>
        <w:t>As we explained in the</w:t>
      </w:r>
      <w:r w:rsidRPr="00002C7A">
        <w:rPr>
          <w:lang w:val="en-GB" w:eastAsia="en-US"/>
        </w:rPr>
        <w:t xml:space="preserve"> 2016 Brattle Report</w:t>
      </w:r>
      <w:r w:rsidR="00087465" w:rsidRPr="00002C7A">
        <w:rPr>
          <w:lang w:val="en-GB" w:eastAsia="en-US"/>
        </w:rPr>
        <w:t xml:space="preserve">, </w:t>
      </w:r>
      <w:r w:rsidR="00A319C1" w:rsidRPr="00002C7A">
        <w:rPr>
          <w:lang w:val="en-GB" w:eastAsia="en-US"/>
        </w:rPr>
        <w:t xml:space="preserve">the choice of the estimation window involves a trade-off. On the one hand, a longer data series will </w:t>
      </w:r>
      <w:r w:rsidR="00EA064D" w:rsidRPr="00002C7A">
        <w:rPr>
          <w:lang w:val="en-GB" w:eastAsia="en-US"/>
        </w:rPr>
        <w:t>increase the number of observations available for estimation</w:t>
      </w:r>
      <w:r w:rsidR="00AC3A9A" w:rsidRPr="00002C7A">
        <w:rPr>
          <w:lang w:val="en-GB" w:eastAsia="en-US"/>
        </w:rPr>
        <w:t>, improving the precision of the estimate</w:t>
      </w:r>
      <w:r w:rsidR="00EA064D" w:rsidRPr="00002C7A">
        <w:rPr>
          <w:lang w:val="en-GB" w:eastAsia="en-US"/>
        </w:rPr>
        <w:t xml:space="preserve">. On the other hand, however, extending the estimation window </w:t>
      </w:r>
      <w:r w:rsidR="00776775" w:rsidRPr="00002C7A">
        <w:rPr>
          <w:lang w:val="en-GB" w:eastAsia="en-US"/>
        </w:rPr>
        <w:t>may fail to</w:t>
      </w:r>
      <w:r w:rsidR="00E90FB0" w:rsidRPr="00002C7A">
        <w:rPr>
          <w:lang w:val="en-GB" w:eastAsia="en-US"/>
        </w:rPr>
        <w:t xml:space="preserve"> adequately </w:t>
      </w:r>
      <w:r w:rsidR="00776775" w:rsidRPr="00002C7A">
        <w:rPr>
          <w:lang w:val="en-GB" w:eastAsia="en-US"/>
        </w:rPr>
        <w:t xml:space="preserve">capture changes in </w:t>
      </w:r>
      <w:r w:rsidR="00E90FB0" w:rsidRPr="00002C7A">
        <w:rPr>
          <w:lang w:val="en-GB" w:eastAsia="en-US"/>
        </w:rPr>
        <w:t>systematic risk over time.</w:t>
      </w:r>
    </w:p>
    <w:p w14:paraId="198A2F81" w14:textId="2049855C" w:rsidR="00817FF0" w:rsidRPr="00002C7A" w:rsidRDefault="00E90FB0" w:rsidP="00500B2F">
      <w:pPr>
        <w:pStyle w:val="ParagraphNumbered"/>
        <w:jc w:val="both"/>
        <w:rPr>
          <w:lang w:val="en-GB"/>
        </w:rPr>
      </w:pPr>
      <w:r w:rsidRPr="00002C7A">
        <w:rPr>
          <w:lang w:val="en-GB"/>
        </w:rPr>
        <w:t xml:space="preserve">On balance, in 2016 we recommended </w:t>
      </w:r>
      <w:r w:rsidR="002E0B55" w:rsidRPr="00002C7A">
        <w:rPr>
          <w:lang w:val="en-GB"/>
        </w:rPr>
        <w:t>using a two-year estimation window and a daily data frequency</w:t>
      </w:r>
      <w:r w:rsidR="00B47194" w:rsidRPr="00002C7A">
        <w:rPr>
          <w:lang w:val="en-GB"/>
        </w:rPr>
        <w:t xml:space="preserve">, largely due to concerns </w:t>
      </w:r>
      <w:r w:rsidR="00817FF0" w:rsidRPr="00002C7A">
        <w:rPr>
          <w:lang w:val="en-GB"/>
        </w:rPr>
        <w:t>about rapid technological change</w:t>
      </w:r>
      <w:r w:rsidR="00B47194" w:rsidRPr="00002C7A">
        <w:rPr>
          <w:lang w:val="en-GB"/>
        </w:rPr>
        <w:t xml:space="preserve">. </w:t>
      </w:r>
      <w:r w:rsidR="00EE4C57" w:rsidRPr="00002C7A">
        <w:rPr>
          <w:lang w:val="en-GB"/>
        </w:rPr>
        <w:t>However, market development</w:t>
      </w:r>
      <w:r w:rsidR="00D155D3" w:rsidRPr="00002C7A">
        <w:rPr>
          <w:lang w:val="en-GB"/>
        </w:rPr>
        <w:t>s</w:t>
      </w:r>
      <w:r w:rsidR="00EE4C57" w:rsidRPr="00002C7A">
        <w:rPr>
          <w:lang w:val="en-GB"/>
        </w:rPr>
        <w:t xml:space="preserve"> </w:t>
      </w:r>
      <w:r w:rsidR="004D35D3" w:rsidRPr="00002C7A">
        <w:rPr>
          <w:lang w:val="en-GB"/>
        </w:rPr>
        <w:t xml:space="preserve">over the last ten years have </w:t>
      </w:r>
      <w:r w:rsidR="0092712C" w:rsidRPr="00002C7A">
        <w:rPr>
          <w:lang w:val="en-GB"/>
        </w:rPr>
        <w:t xml:space="preserve">resulted in </w:t>
      </w:r>
      <w:r w:rsidR="005227BB" w:rsidRPr="00002C7A">
        <w:rPr>
          <w:lang w:val="en-GB"/>
        </w:rPr>
        <w:t>significant variations of the two</w:t>
      </w:r>
      <w:r w:rsidR="00D155D3" w:rsidRPr="00002C7A">
        <w:rPr>
          <w:lang w:val="en-GB"/>
        </w:rPr>
        <w:t>-</w:t>
      </w:r>
      <w:r w:rsidR="005227BB" w:rsidRPr="00002C7A">
        <w:rPr>
          <w:lang w:val="en-GB"/>
        </w:rPr>
        <w:t>year betas relative to the five-year betas</w:t>
      </w:r>
      <w:r w:rsidR="00C80180" w:rsidRPr="00002C7A">
        <w:rPr>
          <w:lang w:val="en-GB"/>
        </w:rPr>
        <w:t xml:space="preserve">. Also, in recent projects on the calculation of the WACC </w:t>
      </w:r>
      <w:r w:rsidR="00AD1996" w:rsidRPr="00002C7A">
        <w:rPr>
          <w:lang w:val="en-GB"/>
        </w:rPr>
        <w:t xml:space="preserve">for regulated companies we have seen that liquidity issues and other </w:t>
      </w:r>
      <w:r w:rsidR="00817FF0" w:rsidRPr="00002C7A">
        <w:rPr>
          <w:lang w:val="en-GB"/>
        </w:rPr>
        <w:t>market imperfections tend to affect daily betas</w:t>
      </w:r>
      <w:r w:rsidR="001872F5" w:rsidRPr="00002C7A">
        <w:rPr>
          <w:lang w:val="en-GB"/>
        </w:rPr>
        <w:t xml:space="preserve"> even when we restrict the sample to consider only firms that are </w:t>
      </w:r>
      <w:r w:rsidR="00B97D55" w:rsidRPr="00002C7A">
        <w:rPr>
          <w:lang w:val="en-GB"/>
        </w:rPr>
        <w:t>relatively</w:t>
      </w:r>
      <w:r w:rsidR="001872F5" w:rsidRPr="00002C7A">
        <w:rPr>
          <w:lang w:val="en-GB"/>
        </w:rPr>
        <w:t xml:space="preserve"> liquid. </w:t>
      </w:r>
    </w:p>
    <w:p w14:paraId="58D77E75" w14:textId="0395CCA9" w:rsidR="00387C8C" w:rsidRPr="00002C7A" w:rsidRDefault="006E5CB7" w:rsidP="00500B2F">
      <w:pPr>
        <w:pStyle w:val="ParagraphNumbered"/>
        <w:jc w:val="both"/>
        <w:rPr>
          <w:lang w:val="en-GB"/>
        </w:rPr>
      </w:pPr>
      <w:r w:rsidRPr="00002C7A">
        <w:rPr>
          <w:lang w:val="en-GB"/>
        </w:rPr>
        <w:t xml:space="preserve">Given the above considerations, </w:t>
      </w:r>
      <w:r w:rsidR="00F336E3" w:rsidRPr="00002C7A">
        <w:rPr>
          <w:lang w:val="en-GB"/>
        </w:rPr>
        <w:t>to check for stability and trends in beta</w:t>
      </w:r>
      <w:r w:rsidRPr="00002C7A">
        <w:rPr>
          <w:lang w:val="en-GB"/>
        </w:rPr>
        <w:t xml:space="preserve"> we examine the evolution of both the five-year weekly and the </w:t>
      </w:r>
      <w:r w:rsidR="008E2737" w:rsidRPr="00002C7A">
        <w:rPr>
          <w:lang w:val="en-GB"/>
        </w:rPr>
        <w:t>two-year daily betas</w:t>
      </w:r>
      <w:r w:rsidR="00E16CAC" w:rsidRPr="00002C7A">
        <w:rPr>
          <w:lang w:val="en-GB"/>
        </w:rPr>
        <w:t xml:space="preserve"> </w:t>
      </w:r>
      <w:r w:rsidR="006F10D5" w:rsidRPr="00002C7A">
        <w:rPr>
          <w:lang w:val="en-GB"/>
        </w:rPr>
        <w:t>over the past five years</w:t>
      </w:r>
      <w:r w:rsidR="00387C8C" w:rsidRPr="00002C7A">
        <w:rPr>
          <w:lang w:val="en-GB"/>
        </w:rPr>
        <w:t xml:space="preserve"> through a rolling beta analysis</w:t>
      </w:r>
      <w:r w:rsidR="00F336E3" w:rsidRPr="00002C7A">
        <w:rPr>
          <w:lang w:val="en-GB"/>
        </w:rPr>
        <w:t>.</w:t>
      </w:r>
    </w:p>
    <w:p w14:paraId="27B98307" w14:textId="5CD0FF1A" w:rsidR="0031245A" w:rsidRPr="00002C7A" w:rsidRDefault="0031245A" w:rsidP="00500B2F">
      <w:pPr>
        <w:pStyle w:val="ParagraphNumbered"/>
        <w:jc w:val="both"/>
        <w:rPr>
          <w:lang w:val="en-GB"/>
        </w:rPr>
      </w:pPr>
      <w:r w:rsidRPr="00002C7A">
        <w:rPr>
          <w:lang w:val="en-GB"/>
        </w:rPr>
        <w:t xml:space="preserve">In addition, we apply a test to the two-year daily betas to correct for market imperfections. </w:t>
      </w:r>
      <w:r w:rsidR="00733E51" w:rsidRPr="00002C7A">
        <w:rPr>
          <w:lang w:val="en-GB"/>
        </w:rPr>
        <w:t xml:space="preserve">More specifically, </w:t>
      </w:r>
      <w:r w:rsidR="00210DA3" w:rsidRPr="00002C7A">
        <w:rPr>
          <w:lang w:val="en-GB"/>
        </w:rPr>
        <w:t>we</w:t>
      </w:r>
      <w:r w:rsidRPr="00002C7A">
        <w:rPr>
          <w:lang w:val="en-GB"/>
        </w:rPr>
        <w:t xml:space="preserve"> use </w:t>
      </w:r>
      <w:r w:rsidR="00210DA3" w:rsidRPr="00002C7A">
        <w:rPr>
          <w:lang w:val="en-GB"/>
        </w:rPr>
        <w:t xml:space="preserve">the five-year </w:t>
      </w:r>
      <w:r w:rsidRPr="00002C7A">
        <w:rPr>
          <w:lang w:val="en-GB"/>
        </w:rPr>
        <w:t xml:space="preserve">weekly beta instead of the </w:t>
      </w:r>
      <w:r w:rsidR="00210DA3" w:rsidRPr="00002C7A">
        <w:rPr>
          <w:lang w:val="en-GB"/>
        </w:rPr>
        <w:t xml:space="preserve">two-years </w:t>
      </w:r>
      <w:r w:rsidRPr="00002C7A">
        <w:rPr>
          <w:lang w:val="en-GB"/>
        </w:rPr>
        <w:t xml:space="preserve">daily beta, if it appears that share prices react to news the day before or the day after the market index reacts. This could occur because of differences in market opening times and trading hours, or differences in the liquidity of the firm’s shares relative to the average liquidity of the market. If such an effect is present, a beta estimated using daily returns on the firm’s share and on the market index may be biased. Similarly, financial market frictions caused by information asymmetries, transaction costs, limit orders, and overreaction to news may also affect the way information is incorporated in the share price. In contrast, weekly betas are less sensitive to the speed at which share prices assimilate information, because they use returns over five trading days. </w:t>
      </w:r>
    </w:p>
    <w:p w14:paraId="5F964FC2" w14:textId="2AAD7100" w:rsidR="003A00DB" w:rsidRPr="00002C7A" w:rsidRDefault="0031245A" w:rsidP="00500B2F">
      <w:pPr>
        <w:pStyle w:val="ParagraphNumbered"/>
        <w:jc w:val="both"/>
        <w:rPr>
          <w:rFonts w:cstheme="minorHAnsi"/>
          <w:lang w:val="en-GB"/>
        </w:rPr>
      </w:pPr>
      <w:r w:rsidRPr="00002C7A">
        <w:rPr>
          <w:lang w:val="en-GB"/>
        </w:rPr>
        <w:lastRenderedPageBreak/>
        <w:t>If the market is</w:t>
      </w:r>
      <w:r w:rsidRPr="00002C7A">
        <w:rPr>
          <w:rFonts w:cstheme="minorHAnsi"/>
          <w:lang w:val="en-GB"/>
        </w:rPr>
        <w:t xml:space="preserve"> perfectly efficient, all information should be dealt with on the same day. The test for market imperfections</w:t>
      </w:r>
      <w:r w:rsidR="0055469E" w:rsidRPr="00002C7A">
        <w:rPr>
          <w:rFonts w:cstheme="minorHAnsi"/>
          <w:lang w:val="en-GB"/>
        </w:rPr>
        <w:t xml:space="preserve"> is a variation of the Dimson test</w:t>
      </w:r>
      <w:r w:rsidR="00DC6132" w:rsidRPr="00002C7A">
        <w:rPr>
          <w:rStyle w:val="FootnoteReference"/>
          <w:rFonts w:cstheme="minorHAnsi"/>
          <w:lang w:val="en-GB"/>
        </w:rPr>
        <w:footnoteReference w:id="37"/>
      </w:r>
      <w:r w:rsidR="0055469E" w:rsidRPr="00002C7A">
        <w:rPr>
          <w:rFonts w:cstheme="minorHAnsi"/>
          <w:lang w:val="en-GB"/>
        </w:rPr>
        <w:t xml:space="preserve"> and</w:t>
      </w:r>
      <w:r w:rsidRPr="00002C7A">
        <w:rPr>
          <w:rFonts w:cstheme="minorHAnsi"/>
          <w:lang w:val="en-GB"/>
        </w:rPr>
        <w:t xml:space="preserve"> requires regress</w:t>
      </w:r>
      <w:r w:rsidR="00525D1C">
        <w:rPr>
          <w:rFonts w:cstheme="minorHAnsi"/>
          <w:lang w:val="en-GB"/>
        </w:rPr>
        <w:t>ing</w:t>
      </w:r>
      <w:r w:rsidRPr="00002C7A">
        <w:rPr>
          <w:rFonts w:cstheme="minorHAnsi"/>
          <w:lang w:val="en-GB"/>
        </w:rPr>
        <w:t xml:space="preserve"> a company’s daily returns using the market index returns one day before and one day after as additional regressors</w:t>
      </w:r>
      <w:r w:rsidR="0055469E" w:rsidRPr="00002C7A">
        <w:rPr>
          <w:rFonts w:cstheme="minorHAnsi"/>
          <w:lang w:val="en-GB"/>
        </w:rPr>
        <w:t xml:space="preserve"> (also known as the Dimson regression)</w:t>
      </w:r>
      <w:r w:rsidRPr="00002C7A">
        <w:rPr>
          <w:rFonts w:cstheme="minorHAnsi"/>
          <w:lang w:val="en-GB"/>
        </w:rPr>
        <w:t xml:space="preserve">. If the lag or the lead coefficients are either significantly different from zero or jointly significantly different from zero, this suggests that information about the true beta may be lost by considering only the simple regression. This problem is addressed using </w:t>
      </w:r>
      <w:r w:rsidR="005D5A4F" w:rsidRPr="00002C7A">
        <w:rPr>
          <w:rFonts w:cstheme="minorHAnsi"/>
          <w:lang w:val="en-GB"/>
        </w:rPr>
        <w:t xml:space="preserve">five-year </w:t>
      </w:r>
      <w:r w:rsidRPr="00002C7A">
        <w:rPr>
          <w:rFonts w:cstheme="minorHAnsi"/>
          <w:lang w:val="en-GB"/>
        </w:rPr>
        <w:t xml:space="preserve">weekly data to estimate the equity beta. </w:t>
      </w:r>
    </w:p>
    <w:p w14:paraId="1439FBB3" w14:textId="13C7E5AD" w:rsidR="00E17D1C" w:rsidRPr="006B507A" w:rsidRDefault="00E17D1C" w:rsidP="00500B2F">
      <w:pPr>
        <w:pStyle w:val="Heading2"/>
        <w:jc w:val="both"/>
      </w:pPr>
      <w:bookmarkStart w:id="228" w:name="_Toc219739781"/>
      <w:bookmarkStart w:id="229" w:name="_Toc217060067"/>
      <w:r w:rsidRPr="006B507A">
        <w:t>Peer Group</w:t>
      </w:r>
      <w:r w:rsidR="00AB6F7A" w:rsidRPr="006B507A">
        <w:t>s</w:t>
      </w:r>
      <w:r w:rsidRPr="006B507A">
        <w:t xml:space="preserve"> Equity Betas</w:t>
      </w:r>
      <w:bookmarkEnd w:id="220"/>
      <w:bookmarkEnd w:id="221"/>
      <w:bookmarkEnd w:id="222"/>
      <w:bookmarkEnd w:id="223"/>
      <w:bookmarkEnd w:id="224"/>
      <w:bookmarkEnd w:id="225"/>
      <w:bookmarkEnd w:id="226"/>
      <w:bookmarkEnd w:id="227"/>
      <w:bookmarkEnd w:id="228"/>
      <w:bookmarkEnd w:id="229"/>
    </w:p>
    <w:p w14:paraId="3A39DEB5" w14:textId="6FBAD867" w:rsidR="00BD754F" w:rsidRPr="00002C7A" w:rsidRDefault="006B507A" w:rsidP="00500B2F">
      <w:pPr>
        <w:pStyle w:val="ParagraphNumbered"/>
        <w:jc w:val="both"/>
        <w:rPr>
          <w:lang w:val="en-GB"/>
        </w:rPr>
      </w:pPr>
      <w:r w:rsidRPr="00002C7A">
        <w:rPr>
          <w:lang w:val="en-GB"/>
        </w:rPr>
        <w:t>W</w:t>
      </w:r>
      <w:r w:rsidR="00E17D1C" w:rsidRPr="00002C7A">
        <w:rPr>
          <w:lang w:val="en-GB"/>
        </w:rPr>
        <w:t xml:space="preserve">e estimate equity betas for the peer group of firms by regressing daily </w:t>
      </w:r>
      <w:r w:rsidR="00C83CE3" w:rsidRPr="00002C7A">
        <w:rPr>
          <w:lang w:val="en-GB"/>
        </w:rPr>
        <w:t xml:space="preserve">and weekly </w:t>
      </w:r>
      <w:r w:rsidR="00E17D1C" w:rsidRPr="00002C7A">
        <w:rPr>
          <w:lang w:val="en-GB"/>
        </w:rPr>
        <w:t xml:space="preserve">returns of individual stocks on </w:t>
      </w:r>
      <w:r w:rsidR="008E32E6" w:rsidRPr="00002C7A">
        <w:rPr>
          <w:lang w:val="en-GB"/>
        </w:rPr>
        <w:t>daily and weekly returns on the reference market index</w:t>
      </w:r>
      <w:r w:rsidR="00910F78" w:rsidRPr="00002C7A">
        <w:rPr>
          <w:lang w:val="en-GB"/>
        </w:rPr>
        <w:t>. We consider a two-year estimation window for daily returns and a five-year estimation window for weekly returns.</w:t>
      </w:r>
      <w:r w:rsidR="00104602" w:rsidRPr="00002C7A">
        <w:rPr>
          <w:rStyle w:val="FootnoteReference"/>
          <w:lang w:val="en-GB"/>
        </w:rPr>
        <w:footnoteReference w:id="38"/>
      </w:r>
      <w:r w:rsidR="00910F78" w:rsidRPr="00002C7A">
        <w:rPr>
          <w:lang w:val="en-GB"/>
        </w:rPr>
        <w:t xml:space="preserve"> </w:t>
      </w:r>
      <w:r w:rsidR="00081201" w:rsidRPr="00002C7A">
        <w:rPr>
          <w:lang w:val="en-GB"/>
        </w:rPr>
        <w:t>We select broad industrial indices as the reference market index for each peer.</w:t>
      </w:r>
      <w:r w:rsidR="00081201" w:rsidRPr="00002C7A">
        <w:rPr>
          <w:highlight w:val="yellow"/>
          <w:lang w:val="en-GB"/>
        </w:rPr>
        <w:t xml:space="preserve"> </w:t>
      </w:r>
      <w:r w:rsidR="00910F78" w:rsidRPr="00002C7A">
        <w:rPr>
          <w:lang w:val="en-GB"/>
        </w:rPr>
        <w:t xml:space="preserve">Specifically, we use the </w:t>
      </w:r>
      <w:r w:rsidR="00A7294C" w:rsidRPr="00002C7A">
        <w:rPr>
          <w:lang w:val="en-GB"/>
        </w:rPr>
        <w:t>STOXX Europe Total Market Index</w:t>
      </w:r>
      <w:r w:rsidR="00910F78" w:rsidRPr="00002C7A">
        <w:rPr>
          <w:lang w:val="en-GB"/>
        </w:rPr>
        <w:t xml:space="preserve"> for European companies,</w:t>
      </w:r>
      <w:r w:rsidR="006D22FA" w:rsidRPr="00002C7A">
        <w:rPr>
          <w:rStyle w:val="FootnoteReference"/>
          <w:lang w:val="en-GB"/>
        </w:rPr>
        <w:footnoteReference w:id="39"/>
      </w:r>
      <w:r w:rsidR="00910F78" w:rsidRPr="00002C7A">
        <w:rPr>
          <w:lang w:val="en-GB"/>
        </w:rPr>
        <w:t xml:space="preserve"> the FTSE All-Share for UK companies.</w:t>
      </w:r>
      <w:r w:rsidR="004D68CB" w:rsidRPr="00002C7A">
        <w:rPr>
          <w:lang w:val="en-GB"/>
        </w:rPr>
        <w:t xml:space="preserve"> </w:t>
      </w:r>
      <w:r w:rsidR="00ED2C57" w:rsidRPr="00002C7A">
        <w:rPr>
          <w:rStyle w:val="FootnoteReference"/>
          <w:lang w:val="en-GB"/>
        </w:rPr>
        <w:footnoteReference w:id="40"/>
      </w:r>
    </w:p>
    <w:p w14:paraId="57B3F910" w14:textId="42366AC2" w:rsidR="007F2A85" w:rsidRPr="00002C7A" w:rsidRDefault="00104602" w:rsidP="00500B2F">
      <w:pPr>
        <w:pStyle w:val="ParagraphNumbered"/>
        <w:jc w:val="both"/>
        <w:rPr>
          <w:lang w:val="en-GB"/>
        </w:rPr>
      </w:pPr>
      <w:r w:rsidRPr="00002C7A">
        <w:rPr>
          <w:lang w:val="en-GB"/>
        </w:rPr>
        <w:t xml:space="preserve">In </w:t>
      </w:r>
      <w:r w:rsidRPr="00002C7A">
        <w:rPr>
          <w:lang w:val="en-GB"/>
        </w:rPr>
        <w:fldChar w:fldCharType="begin"/>
      </w:r>
      <w:r w:rsidRPr="00002C7A">
        <w:rPr>
          <w:lang w:val="en-GB"/>
        </w:rPr>
        <w:instrText xml:space="preserve"> REF _Ref213753548 \h  \* MERGEFORMAT </w:instrText>
      </w:r>
      <w:r w:rsidRPr="00002C7A">
        <w:rPr>
          <w:lang w:val="en-GB"/>
        </w:rPr>
      </w:r>
      <w:r w:rsidRPr="00002C7A">
        <w:rPr>
          <w:lang w:val="en-GB"/>
        </w:rPr>
        <w:fldChar w:fldCharType="separate"/>
      </w:r>
      <w:r w:rsidR="007F093A" w:rsidRPr="007F093A">
        <w:rPr>
          <w:lang w:val="en-GB"/>
        </w:rPr>
        <w:t>Figure 5</w:t>
      </w:r>
      <w:r w:rsidRPr="00002C7A">
        <w:rPr>
          <w:lang w:val="en-GB"/>
        </w:rPr>
        <w:fldChar w:fldCharType="end"/>
      </w:r>
      <w:r w:rsidRPr="00002C7A">
        <w:rPr>
          <w:lang w:val="en-GB"/>
        </w:rPr>
        <w:t xml:space="preserve">, below, we report the evolution of the median two-year and five-year equity beta of the peer group. </w:t>
      </w:r>
      <w:r w:rsidR="00D15DE0" w:rsidRPr="00002C7A">
        <w:rPr>
          <w:lang w:val="en-GB"/>
        </w:rPr>
        <w:t xml:space="preserve">The Figure shows a divergence between the two-year and the five-year </w:t>
      </w:r>
      <w:r w:rsidR="00203950" w:rsidRPr="00002C7A">
        <w:rPr>
          <w:lang w:val="en-GB"/>
        </w:rPr>
        <w:t xml:space="preserve">beta </w:t>
      </w:r>
      <w:r w:rsidR="00E44A65" w:rsidRPr="00002C7A">
        <w:rPr>
          <w:lang w:val="en-GB"/>
        </w:rPr>
        <w:t>early in 2022,</w:t>
      </w:r>
      <w:r w:rsidR="00203950" w:rsidRPr="00002C7A">
        <w:rPr>
          <w:lang w:val="en-GB"/>
        </w:rPr>
        <w:t xml:space="preserve"> </w:t>
      </w:r>
      <w:r w:rsidR="002175B7" w:rsidRPr="00002C7A">
        <w:rPr>
          <w:lang w:val="en-GB"/>
        </w:rPr>
        <w:t xml:space="preserve">when the beginning of the Covid pandemic dropped out of the two-year betas’ estimation window. </w:t>
      </w:r>
      <w:r w:rsidR="006753BF" w:rsidRPr="00002C7A">
        <w:rPr>
          <w:lang w:val="en-GB"/>
        </w:rPr>
        <w:t xml:space="preserve">After that, we observe </w:t>
      </w:r>
      <w:r w:rsidR="00636BD8" w:rsidRPr="00002C7A">
        <w:rPr>
          <w:lang w:val="en-GB"/>
        </w:rPr>
        <w:t>a slowly declining trend in the two-year beta</w:t>
      </w:r>
      <w:r w:rsidR="00110114" w:rsidRPr="00002C7A">
        <w:rPr>
          <w:lang w:val="en-GB"/>
        </w:rPr>
        <w:t xml:space="preserve">, while the five-year beta remained relatively stable. In early 2025, </w:t>
      </w:r>
      <w:r w:rsidR="003F7F4F" w:rsidRPr="00002C7A">
        <w:rPr>
          <w:lang w:val="en-GB"/>
        </w:rPr>
        <w:t>we observe a small drop in the five-year beta</w:t>
      </w:r>
      <w:r w:rsidR="00D14BF6" w:rsidRPr="00002C7A">
        <w:rPr>
          <w:lang w:val="en-GB"/>
        </w:rPr>
        <w:t xml:space="preserve"> when the beginning of the Covid pandemic dropped out of the five-year estimation window</w:t>
      </w:r>
      <w:r w:rsidR="00416B18" w:rsidRPr="00002C7A">
        <w:rPr>
          <w:lang w:val="en-GB"/>
        </w:rPr>
        <w:t xml:space="preserve">. The drop, however, </w:t>
      </w:r>
      <w:r w:rsidR="00076790" w:rsidRPr="00002C7A">
        <w:rPr>
          <w:lang w:val="en-GB"/>
        </w:rPr>
        <w:t xml:space="preserve">was relatively small relatively to the one observed for the two-year betas, and the median two-year and five-year betas continue to </w:t>
      </w:r>
      <w:r w:rsidR="00076790" w:rsidRPr="00002C7A">
        <w:rPr>
          <w:lang w:val="en-GB"/>
        </w:rPr>
        <w:lastRenderedPageBreak/>
        <w:t xml:space="preserve">exhibit a gap, with the median five-year beta remaining about </w:t>
      </w:r>
      <w:r w:rsidR="00ED79B1" w:rsidRPr="00002C7A">
        <w:rPr>
          <w:lang w:val="en-GB"/>
        </w:rPr>
        <w:t>0.10</w:t>
      </w:r>
      <w:r w:rsidR="00076790" w:rsidRPr="00002C7A">
        <w:rPr>
          <w:lang w:val="en-GB"/>
        </w:rPr>
        <w:t xml:space="preserve"> </w:t>
      </w:r>
      <w:r w:rsidR="00ED79B1" w:rsidRPr="00002C7A">
        <w:rPr>
          <w:lang w:val="en-GB"/>
        </w:rPr>
        <w:t>higher than the median two</w:t>
      </w:r>
      <w:r w:rsidR="00787217" w:rsidRPr="00002C7A">
        <w:rPr>
          <w:lang w:val="en-GB"/>
        </w:rPr>
        <w:t>-</w:t>
      </w:r>
      <w:r w:rsidR="00ED79B1" w:rsidRPr="00002C7A">
        <w:rPr>
          <w:lang w:val="en-GB"/>
        </w:rPr>
        <w:t>year beta.</w:t>
      </w:r>
    </w:p>
    <w:p w14:paraId="51971BED" w14:textId="184523D7" w:rsidR="004F7219" w:rsidRDefault="004F7219" w:rsidP="00500B2F">
      <w:pPr>
        <w:pStyle w:val="Caption"/>
        <w:jc w:val="both"/>
      </w:pPr>
      <w:bookmarkStart w:id="230" w:name="_Ref213753548"/>
      <w:bookmarkStart w:id="231" w:name="_Toc219739815"/>
      <w:bookmarkStart w:id="232" w:name="_Toc217060098"/>
      <w:r>
        <w:t xml:space="preserve">Figure </w:t>
      </w:r>
      <w:fldSimple w:instr=" SEQ Figure \* ARABIC ">
        <w:r w:rsidR="007F093A">
          <w:rPr>
            <w:noProof/>
          </w:rPr>
          <w:t>5</w:t>
        </w:r>
      </w:fldSimple>
      <w:bookmarkEnd w:id="230"/>
      <w:r>
        <w:t>: Rolling betas, 5Y weekly vs 2Y daily</w:t>
      </w:r>
      <w:bookmarkEnd w:id="231"/>
      <w:bookmarkEnd w:id="232"/>
    </w:p>
    <w:p w14:paraId="54EDD479" w14:textId="58ECD629" w:rsidR="004F7219" w:rsidRPr="004F7219" w:rsidRDefault="00502480" w:rsidP="00500B2F">
      <w:pPr>
        <w:pStyle w:val="Figure"/>
        <w:jc w:val="both"/>
        <w:rPr>
          <w:highlight w:val="yellow"/>
        </w:rPr>
      </w:pPr>
      <w:r>
        <w:drawing>
          <wp:inline distT="0" distB="0" distL="0" distR="0" wp14:anchorId="17F647F7" wp14:editId="70BD13C1">
            <wp:extent cx="5731510" cy="4164965"/>
            <wp:effectExtent l="0" t="0" r="2540" b="6985"/>
            <wp:docPr id="1235289568" name="Picture 1" descr="A graph of a graph showing the price of a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89568" name="Picture 1" descr="A graph of a graph showing the price of a stock market&#10;&#10;AI-generated content may be incorrect."/>
                    <pic:cNvPicPr/>
                  </pic:nvPicPr>
                  <pic:blipFill>
                    <a:blip r:embed="rId31"/>
                    <a:stretch>
                      <a:fillRect/>
                    </a:stretch>
                  </pic:blipFill>
                  <pic:spPr>
                    <a:xfrm>
                      <a:off x="0" y="0"/>
                      <a:ext cx="5731510" cy="4164965"/>
                    </a:xfrm>
                    <a:prstGeom prst="rect">
                      <a:avLst/>
                    </a:prstGeom>
                  </pic:spPr>
                </pic:pic>
              </a:graphicData>
            </a:graphic>
          </wp:inline>
        </w:drawing>
      </w:r>
    </w:p>
    <w:p w14:paraId="52A326A4" w14:textId="77777777" w:rsidR="009127CD" w:rsidRPr="00002C7A" w:rsidRDefault="00824D6A">
      <w:pPr>
        <w:pStyle w:val="ParagraphNumbered"/>
        <w:rPr>
          <w:lang w:val="en-GB"/>
        </w:rPr>
      </w:pPr>
      <w:r w:rsidRPr="00002C7A">
        <w:rPr>
          <w:lang w:val="en-GB"/>
        </w:rPr>
        <w:t>There are s</w:t>
      </w:r>
      <w:r w:rsidR="006013FA" w:rsidRPr="00002C7A">
        <w:rPr>
          <w:lang w:val="en-GB"/>
        </w:rPr>
        <w:t xml:space="preserve">everal reasons </w:t>
      </w:r>
      <w:r w:rsidRPr="00002C7A">
        <w:rPr>
          <w:lang w:val="en-GB"/>
        </w:rPr>
        <w:t xml:space="preserve">that </w:t>
      </w:r>
      <w:r w:rsidR="006013FA" w:rsidRPr="00002C7A">
        <w:rPr>
          <w:lang w:val="en-GB"/>
        </w:rPr>
        <w:t xml:space="preserve">may explain divergence between the </w:t>
      </w:r>
      <w:r w:rsidRPr="00002C7A">
        <w:rPr>
          <w:lang w:val="en-GB"/>
        </w:rPr>
        <w:t>five-year</w:t>
      </w:r>
      <w:r w:rsidR="006013FA" w:rsidRPr="00002C7A">
        <w:rPr>
          <w:lang w:val="en-GB"/>
        </w:rPr>
        <w:t xml:space="preserve"> weekly and </w:t>
      </w:r>
      <w:r w:rsidR="00010DD7" w:rsidRPr="00002C7A">
        <w:rPr>
          <w:lang w:val="en-GB"/>
        </w:rPr>
        <w:t>two-year</w:t>
      </w:r>
      <w:r w:rsidR="006013FA" w:rsidRPr="00002C7A">
        <w:rPr>
          <w:lang w:val="en-GB"/>
        </w:rPr>
        <w:t xml:space="preserve"> daily </w:t>
      </w:r>
      <w:r w:rsidR="00010DD7" w:rsidRPr="00002C7A">
        <w:rPr>
          <w:lang w:val="en-GB"/>
        </w:rPr>
        <w:t>betas</w:t>
      </w:r>
      <w:r w:rsidR="00831D1D" w:rsidRPr="00002C7A">
        <w:rPr>
          <w:lang w:val="en-GB"/>
        </w:rPr>
        <w:t xml:space="preserve">. </w:t>
      </w:r>
    </w:p>
    <w:p w14:paraId="45A2319E" w14:textId="24FB2ABC" w:rsidR="00CF6095" w:rsidRPr="00002C7A" w:rsidRDefault="00831D1D" w:rsidP="009127CD">
      <w:pPr>
        <w:pStyle w:val="ParagraphNumbered2"/>
        <w:rPr>
          <w:lang w:val="en-GB"/>
        </w:rPr>
      </w:pPr>
      <w:r w:rsidRPr="00002C7A">
        <w:rPr>
          <w:lang w:val="en-GB"/>
        </w:rPr>
        <w:t xml:space="preserve">First, as explained above, there </w:t>
      </w:r>
      <w:r w:rsidR="004A1460" w:rsidRPr="00002C7A">
        <w:rPr>
          <w:lang w:val="en-GB"/>
        </w:rPr>
        <w:t>may be a residual liquidity issue</w:t>
      </w:r>
      <w:r w:rsidR="00CB0C81" w:rsidRPr="00002C7A">
        <w:rPr>
          <w:lang w:val="en-GB"/>
        </w:rPr>
        <w:t xml:space="preserve"> that does not disappear even when we screen the sample of peers for liquidity. </w:t>
      </w:r>
      <w:r w:rsidR="00CF6095" w:rsidRPr="00002C7A">
        <w:rPr>
          <w:lang w:val="en-GB"/>
        </w:rPr>
        <w:t xml:space="preserve">That is, even after trying to control for or filter out illiquid stocks, by excluding very thinly traded peers, some remaining liquidity frictions still affect the data. Because daily betas are more affected by these microstructure and timing effects, they </w:t>
      </w:r>
      <w:r w:rsidR="00251DF6" w:rsidRPr="00002C7A">
        <w:rPr>
          <w:lang w:val="en-GB"/>
        </w:rPr>
        <w:t xml:space="preserve">will tend to be </w:t>
      </w:r>
      <w:r w:rsidR="00CF6095" w:rsidRPr="00002C7A">
        <w:rPr>
          <w:lang w:val="en-GB"/>
        </w:rPr>
        <w:t>lower than weekly betas.</w:t>
      </w:r>
    </w:p>
    <w:p w14:paraId="102E04C7" w14:textId="23F32EF6" w:rsidR="009127CD" w:rsidRPr="00002C7A" w:rsidRDefault="007C7AD3">
      <w:pPr>
        <w:pStyle w:val="ParagraphNumbered2"/>
        <w:rPr>
          <w:lang w:val="en-GB"/>
        </w:rPr>
      </w:pPr>
      <w:r w:rsidRPr="00002C7A">
        <w:rPr>
          <w:lang w:val="en-GB"/>
        </w:rPr>
        <w:t xml:space="preserve">Second, </w:t>
      </w:r>
      <w:r w:rsidR="004E2BE7" w:rsidRPr="00002C7A">
        <w:rPr>
          <w:lang w:val="en-GB"/>
        </w:rPr>
        <w:t>shocks to the economy</w:t>
      </w:r>
      <w:r w:rsidRPr="00002C7A">
        <w:rPr>
          <w:lang w:val="en-GB"/>
        </w:rPr>
        <w:t xml:space="preserve"> </w:t>
      </w:r>
      <w:r w:rsidR="00AC4A2F" w:rsidRPr="00002C7A">
        <w:rPr>
          <w:lang w:val="en-GB"/>
        </w:rPr>
        <w:t>– including the Covid pandemic</w:t>
      </w:r>
      <w:r w:rsidR="00F117E7" w:rsidRPr="00002C7A">
        <w:rPr>
          <w:lang w:val="en-GB"/>
        </w:rPr>
        <w:t>,</w:t>
      </w:r>
      <w:r w:rsidR="00AC4A2F" w:rsidRPr="00002C7A">
        <w:rPr>
          <w:lang w:val="en-GB"/>
        </w:rPr>
        <w:t xml:space="preserve"> the war in Ukrain</w:t>
      </w:r>
      <w:r w:rsidR="00F117E7" w:rsidRPr="00002C7A">
        <w:rPr>
          <w:lang w:val="en-GB"/>
        </w:rPr>
        <w:t>e, uncertainty about trade policy</w:t>
      </w:r>
      <w:r w:rsidR="004E2BE7" w:rsidRPr="00002C7A">
        <w:rPr>
          <w:lang w:val="en-GB"/>
        </w:rPr>
        <w:t xml:space="preserve"> </w:t>
      </w:r>
      <w:r w:rsidR="00D9048E" w:rsidRPr="00002C7A">
        <w:rPr>
          <w:lang w:val="en-GB"/>
        </w:rPr>
        <w:t xml:space="preserve">and </w:t>
      </w:r>
      <w:r w:rsidR="00F117E7" w:rsidRPr="00002C7A">
        <w:rPr>
          <w:lang w:val="en-GB"/>
        </w:rPr>
        <w:t xml:space="preserve">the recent conflict in the </w:t>
      </w:r>
      <w:r w:rsidR="00922654" w:rsidRPr="00002C7A">
        <w:rPr>
          <w:lang w:val="en-GB"/>
        </w:rPr>
        <w:t>M</w:t>
      </w:r>
      <w:r w:rsidR="00F117E7" w:rsidRPr="00002C7A">
        <w:rPr>
          <w:lang w:val="en-GB"/>
        </w:rPr>
        <w:t>iddl</w:t>
      </w:r>
      <w:r w:rsidR="00922654" w:rsidRPr="00002C7A">
        <w:rPr>
          <w:lang w:val="en-GB"/>
        </w:rPr>
        <w:t>e E</w:t>
      </w:r>
      <w:r w:rsidR="00F117E7" w:rsidRPr="00002C7A">
        <w:rPr>
          <w:lang w:val="en-GB"/>
        </w:rPr>
        <w:t>ast</w:t>
      </w:r>
      <w:r w:rsidR="006961B1" w:rsidRPr="00002C7A">
        <w:rPr>
          <w:lang w:val="en-GB"/>
        </w:rPr>
        <w:t xml:space="preserve"> – likely</w:t>
      </w:r>
      <w:r w:rsidR="00AC4A2F" w:rsidRPr="00002C7A">
        <w:rPr>
          <w:lang w:val="en-GB"/>
        </w:rPr>
        <w:t xml:space="preserve"> have had a stronger </w:t>
      </w:r>
      <w:r w:rsidR="006961B1" w:rsidRPr="00002C7A">
        <w:rPr>
          <w:lang w:val="en-GB"/>
        </w:rPr>
        <w:t xml:space="preserve">impact on </w:t>
      </w:r>
      <w:r w:rsidR="00AD5434" w:rsidRPr="00002C7A">
        <w:rPr>
          <w:lang w:val="en-GB"/>
        </w:rPr>
        <w:t>the two-year daily betas</w:t>
      </w:r>
      <w:r w:rsidR="006961B1" w:rsidRPr="00002C7A">
        <w:rPr>
          <w:lang w:val="en-GB"/>
        </w:rPr>
        <w:t xml:space="preserve">. </w:t>
      </w:r>
      <w:r w:rsidR="00E8104E" w:rsidRPr="00002C7A">
        <w:rPr>
          <w:lang w:val="en-GB"/>
        </w:rPr>
        <w:t xml:space="preserve">This is because </w:t>
      </w:r>
      <w:r w:rsidR="00CF19E2" w:rsidRPr="00002C7A">
        <w:rPr>
          <w:lang w:val="en-GB"/>
        </w:rPr>
        <w:t xml:space="preserve">the two-year betas are more affected </w:t>
      </w:r>
      <w:r w:rsidR="00377E06" w:rsidRPr="00002C7A">
        <w:rPr>
          <w:lang w:val="en-GB"/>
        </w:rPr>
        <w:t>by individual shocks to the economy</w:t>
      </w:r>
      <w:r w:rsidR="00D83C15" w:rsidRPr="00002C7A">
        <w:rPr>
          <w:lang w:val="en-GB"/>
        </w:rPr>
        <w:t xml:space="preserve"> than five-year betas</w:t>
      </w:r>
      <w:r w:rsidR="004914E1" w:rsidRPr="00002C7A">
        <w:rPr>
          <w:lang w:val="en-GB"/>
        </w:rPr>
        <w:t>. To the extent that r</w:t>
      </w:r>
      <w:r w:rsidR="000837F9" w:rsidRPr="00002C7A">
        <w:rPr>
          <w:lang w:val="en-GB"/>
        </w:rPr>
        <w:t xml:space="preserve">ecent shocks increased </w:t>
      </w:r>
      <w:r w:rsidR="00F44679" w:rsidRPr="00002C7A">
        <w:rPr>
          <w:lang w:val="en-GB"/>
        </w:rPr>
        <w:t xml:space="preserve">diversifiable </w:t>
      </w:r>
      <w:r w:rsidR="00493FEB" w:rsidRPr="00002C7A">
        <w:rPr>
          <w:lang w:val="en-GB"/>
        </w:rPr>
        <w:t>risk</w:t>
      </w:r>
      <w:r w:rsidR="000837F9" w:rsidRPr="00002C7A">
        <w:rPr>
          <w:lang w:val="en-GB"/>
        </w:rPr>
        <w:t xml:space="preserve">, </w:t>
      </w:r>
      <w:r w:rsidR="00472DED" w:rsidRPr="00002C7A">
        <w:rPr>
          <w:lang w:val="en-GB"/>
        </w:rPr>
        <w:t>this would result in lower estimated two-year betas relative to five-year betas</w:t>
      </w:r>
      <w:r w:rsidR="000837F9" w:rsidRPr="00002C7A">
        <w:rPr>
          <w:lang w:val="en-GB"/>
        </w:rPr>
        <w:t>.</w:t>
      </w:r>
    </w:p>
    <w:p w14:paraId="67D0BB0F" w14:textId="77777777" w:rsidR="00501BF4" w:rsidRPr="00002C7A" w:rsidRDefault="007E316B" w:rsidP="009127CD">
      <w:pPr>
        <w:pStyle w:val="ParagraphNumbered2"/>
        <w:rPr>
          <w:lang w:val="en-GB"/>
        </w:rPr>
      </w:pPr>
      <w:r w:rsidRPr="00002C7A">
        <w:rPr>
          <w:lang w:val="en-GB"/>
        </w:rPr>
        <w:t>Third</w:t>
      </w:r>
      <w:r w:rsidR="00BF1C89" w:rsidRPr="00002C7A">
        <w:rPr>
          <w:lang w:val="en-GB"/>
        </w:rPr>
        <w:t>, the tel</w:t>
      </w:r>
      <w:r w:rsidR="00EF25C1" w:rsidRPr="00002C7A">
        <w:rPr>
          <w:lang w:val="en-GB"/>
        </w:rPr>
        <w:t>e</w:t>
      </w:r>
      <w:r w:rsidR="00BF1C89" w:rsidRPr="00002C7A">
        <w:rPr>
          <w:lang w:val="en-GB"/>
        </w:rPr>
        <w:t>coms sector is characterized by frequent merger activity</w:t>
      </w:r>
      <w:r w:rsidR="007F7041" w:rsidRPr="00002C7A">
        <w:rPr>
          <w:lang w:val="en-GB"/>
        </w:rPr>
        <w:t>. Although our screenin</w:t>
      </w:r>
      <w:r w:rsidR="00321A34" w:rsidRPr="00002C7A">
        <w:rPr>
          <w:lang w:val="en-GB"/>
        </w:rPr>
        <w:t>g</w:t>
      </w:r>
      <w:r w:rsidR="007F7041" w:rsidRPr="00002C7A">
        <w:rPr>
          <w:lang w:val="en-GB"/>
        </w:rPr>
        <w:t xml:space="preserve"> </w:t>
      </w:r>
      <w:r w:rsidR="00B914DA" w:rsidRPr="00002C7A">
        <w:rPr>
          <w:lang w:val="en-GB"/>
        </w:rPr>
        <w:t xml:space="preserve">of sizeable M&amp;A </w:t>
      </w:r>
      <w:r w:rsidR="0050040B" w:rsidRPr="00002C7A">
        <w:rPr>
          <w:lang w:val="en-GB"/>
        </w:rPr>
        <w:t xml:space="preserve">activity did not detect any large transaction with a visible </w:t>
      </w:r>
      <w:r w:rsidR="0050040B" w:rsidRPr="00002C7A">
        <w:rPr>
          <w:lang w:val="en-GB"/>
        </w:rPr>
        <w:lastRenderedPageBreak/>
        <w:t xml:space="preserve">effect on the volatility of the stock price, </w:t>
      </w:r>
      <w:r w:rsidR="0076190D" w:rsidRPr="00002C7A">
        <w:rPr>
          <w:lang w:val="en-GB"/>
        </w:rPr>
        <w:t xml:space="preserve">frequent merger activity may nonetheless depress </w:t>
      </w:r>
      <w:r w:rsidR="00E47A05" w:rsidRPr="00002C7A">
        <w:rPr>
          <w:lang w:val="en-GB"/>
        </w:rPr>
        <w:t xml:space="preserve">daily </w:t>
      </w:r>
      <w:r w:rsidR="0076190D" w:rsidRPr="00002C7A">
        <w:rPr>
          <w:lang w:val="en-GB"/>
        </w:rPr>
        <w:t>beta</w:t>
      </w:r>
      <w:r w:rsidR="00E47A05" w:rsidRPr="00002C7A">
        <w:rPr>
          <w:lang w:val="en-GB"/>
        </w:rPr>
        <w:t>s</w:t>
      </w:r>
      <w:r w:rsidR="007B4A12" w:rsidRPr="00002C7A">
        <w:rPr>
          <w:lang w:val="en-GB"/>
        </w:rPr>
        <w:t xml:space="preserve">. </w:t>
      </w:r>
    </w:p>
    <w:p w14:paraId="64981EB4" w14:textId="0C0C6E2B" w:rsidR="006013FA" w:rsidRPr="00002C7A" w:rsidRDefault="007B4A12" w:rsidP="00501BF4">
      <w:pPr>
        <w:pStyle w:val="ParagraphNumbered"/>
        <w:rPr>
          <w:lang w:val="en-GB"/>
        </w:rPr>
      </w:pPr>
      <w:r w:rsidRPr="00002C7A">
        <w:rPr>
          <w:lang w:val="en-GB"/>
        </w:rPr>
        <w:t>Taken together, the</w:t>
      </w:r>
      <w:r w:rsidR="00501BF4" w:rsidRPr="00002C7A">
        <w:rPr>
          <w:lang w:val="en-GB"/>
        </w:rPr>
        <w:t xml:space="preserve"> above </w:t>
      </w:r>
      <w:r w:rsidR="00F156BF" w:rsidRPr="00002C7A">
        <w:rPr>
          <w:lang w:val="en-GB"/>
        </w:rPr>
        <w:t>issues provide support for using a five-year beta.</w:t>
      </w:r>
      <w:r w:rsidR="000837F9" w:rsidRPr="00002C7A">
        <w:rPr>
          <w:lang w:val="en-GB"/>
        </w:rPr>
        <w:t xml:space="preserve"> </w:t>
      </w:r>
    </w:p>
    <w:p w14:paraId="64148FFE" w14:textId="0C31A5F3" w:rsidR="00EA492D" w:rsidRPr="00002C7A" w:rsidRDefault="00737E8F" w:rsidP="00500B2F">
      <w:pPr>
        <w:pStyle w:val="ParagraphNumbered"/>
        <w:jc w:val="both"/>
        <w:rPr>
          <w:lang w:val="en-GB"/>
        </w:rPr>
      </w:pPr>
      <w:r w:rsidRPr="00002C7A">
        <w:rPr>
          <w:lang w:val="en-GB"/>
        </w:rPr>
        <w:t xml:space="preserve">In </w:t>
      </w:r>
      <w:r w:rsidR="000C527D" w:rsidRPr="00002C7A">
        <w:rPr>
          <w:lang w:val="en-GB"/>
        </w:rPr>
        <w:fldChar w:fldCharType="begin"/>
      </w:r>
      <w:r w:rsidR="000C527D" w:rsidRPr="00002C7A">
        <w:rPr>
          <w:lang w:val="en-GB"/>
        </w:rPr>
        <w:instrText xml:space="preserve"> REF _Ref217035710 \h </w:instrText>
      </w:r>
      <w:r w:rsidR="000C527D" w:rsidRPr="00002C7A">
        <w:rPr>
          <w:lang w:val="en-GB"/>
        </w:rPr>
      </w:r>
      <w:r w:rsidR="000C527D" w:rsidRPr="00002C7A">
        <w:rPr>
          <w:lang w:val="en-GB"/>
        </w:rPr>
        <w:fldChar w:fldCharType="separate"/>
      </w:r>
      <w:r w:rsidR="007F093A" w:rsidRPr="00EA492D">
        <w:t xml:space="preserve">Table </w:t>
      </w:r>
      <w:r w:rsidR="007F093A">
        <w:rPr>
          <w:noProof/>
        </w:rPr>
        <w:t>8</w:t>
      </w:r>
      <w:r w:rsidR="000C527D" w:rsidRPr="00002C7A">
        <w:rPr>
          <w:lang w:val="en-GB"/>
        </w:rPr>
        <w:fldChar w:fldCharType="end"/>
      </w:r>
      <w:r w:rsidR="00AA2EAD" w:rsidRPr="00002C7A">
        <w:rPr>
          <w:lang w:val="en-GB"/>
        </w:rPr>
        <w:t xml:space="preserve">, below, we report the two-year daily and the five-year weekly </w:t>
      </w:r>
      <w:r w:rsidR="007E0204" w:rsidRPr="00002C7A">
        <w:rPr>
          <w:lang w:val="en-GB"/>
        </w:rPr>
        <w:t xml:space="preserve">equity betas </w:t>
      </w:r>
      <w:r w:rsidR="00AA2EAD" w:rsidRPr="00002C7A">
        <w:rPr>
          <w:lang w:val="en-GB"/>
        </w:rPr>
        <w:t>for each individual peer</w:t>
      </w:r>
      <w:r w:rsidR="007E0204" w:rsidRPr="00002C7A">
        <w:rPr>
          <w:lang w:val="en-GB"/>
        </w:rPr>
        <w:t xml:space="preserve">. The Table also </w:t>
      </w:r>
      <w:r w:rsidR="00A506AF" w:rsidRPr="00002C7A">
        <w:rPr>
          <w:lang w:val="en-GB"/>
        </w:rPr>
        <w:t>identifies with an asterisk</w:t>
      </w:r>
      <w:r w:rsidR="00554230" w:rsidRPr="00002C7A">
        <w:rPr>
          <w:lang w:val="en-GB"/>
        </w:rPr>
        <w:t xml:space="preserve"> </w:t>
      </w:r>
      <w:r w:rsidR="005158F9" w:rsidRPr="00002C7A">
        <w:rPr>
          <w:lang w:val="en-GB"/>
        </w:rPr>
        <w:t>two-year daily betas</w:t>
      </w:r>
      <w:r w:rsidR="00554230" w:rsidRPr="00002C7A">
        <w:rPr>
          <w:lang w:val="en-GB"/>
        </w:rPr>
        <w:t xml:space="preserve"> for which we have found </w:t>
      </w:r>
      <w:r w:rsidR="005158F9" w:rsidRPr="00002C7A">
        <w:rPr>
          <w:lang w:val="en-GB"/>
        </w:rPr>
        <w:t>evidence of market imperfections</w:t>
      </w:r>
      <w:r w:rsidR="00B27B72" w:rsidRPr="00002C7A">
        <w:rPr>
          <w:lang w:val="en-GB"/>
        </w:rPr>
        <w:t>. In column [</w:t>
      </w:r>
      <w:r w:rsidR="00086682" w:rsidRPr="00002C7A">
        <w:rPr>
          <w:lang w:val="en-GB"/>
        </w:rPr>
        <w:t>B</w:t>
      </w:r>
      <w:r w:rsidR="00B27B72" w:rsidRPr="00002C7A">
        <w:rPr>
          <w:lang w:val="en-GB"/>
        </w:rPr>
        <w:t xml:space="preserve">], </w:t>
      </w:r>
      <w:r w:rsidR="00560347" w:rsidRPr="00002C7A">
        <w:rPr>
          <w:lang w:val="en-GB"/>
        </w:rPr>
        <w:fldChar w:fldCharType="begin"/>
      </w:r>
      <w:r w:rsidR="00560347" w:rsidRPr="00002C7A">
        <w:rPr>
          <w:lang w:val="en-GB"/>
        </w:rPr>
        <w:instrText xml:space="preserve"> REF _Ref217035710 \h </w:instrText>
      </w:r>
      <w:r w:rsidR="00560347" w:rsidRPr="00002C7A">
        <w:rPr>
          <w:lang w:val="en-GB"/>
        </w:rPr>
      </w:r>
      <w:r w:rsidR="00560347" w:rsidRPr="00002C7A">
        <w:rPr>
          <w:lang w:val="en-GB"/>
        </w:rPr>
        <w:fldChar w:fldCharType="separate"/>
      </w:r>
      <w:r w:rsidR="007F093A" w:rsidRPr="00EA492D">
        <w:t xml:space="preserve">Table </w:t>
      </w:r>
      <w:r w:rsidR="007F093A">
        <w:rPr>
          <w:noProof/>
        </w:rPr>
        <w:t>8</w:t>
      </w:r>
      <w:r w:rsidR="00560347" w:rsidRPr="00002C7A">
        <w:rPr>
          <w:lang w:val="en-GB"/>
        </w:rPr>
        <w:fldChar w:fldCharType="end"/>
      </w:r>
      <w:r w:rsidR="00B27B72" w:rsidRPr="00002C7A">
        <w:rPr>
          <w:lang w:val="en-GB"/>
        </w:rPr>
        <w:t xml:space="preserve"> further provides the adjusted daily betas, </w:t>
      </w:r>
      <w:r w:rsidR="008F2C2A" w:rsidRPr="00002C7A">
        <w:rPr>
          <w:lang w:val="en-GB"/>
        </w:rPr>
        <w:t>where we substitute the two-year daily</w:t>
      </w:r>
      <w:r w:rsidR="006013FA" w:rsidRPr="00002C7A">
        <w:rPr>
          <w:lang w:val="en-GB"/>
        </w:rPr>
        <w:t xml:space="preserve"> betas </w:t>
      </w:r>
      <w:r w:rsidR="008F2C2A" w:rsidRPr="00002C7A">
        <w:rPr>
          <w:lang w:val="en-GB"/>
        </w:rPr>
        <w:t>with</w:t>
      </w:r>
      <w:r w:rsidR="00974A36" w:rsidRPr="00002C7A">
        <w:rPr>
          <w:lang w:val="en-GB"/>
        </w:rPr>
        <w:t xml:space="preserve"> the</w:t>
      </w:r>
      <w:r w:rsidR="007E25D1" w:rsidRPr="00002C7A">
        <w:rPr>
          <w:lang w:val="en-GB"/>
        </w:rPr>
        <w:t xml:space="preserve"> </w:t>
      </w:r>
      <w:r w:rsidR="008F2C2A" w:rsidRPr="00002C7A">
        <w:rPr>
          <w:lang w:val="en-GB"/>
        </w:rPr>
        <w:t>five</w:t>
      </w:r>
      <w:r w:rsidR="007E25D1" w:rsidRPr="00002C7A">
        <w:rPr>
          <w:lang w:val="en-GB"/>
        </w:rPr>
        <w:t xml:space="preserve">-year weekly </w:t>
      </w:r>
      <w:r w:rsidR="008F2C2A" w:rsidRPr="00002C7A">
        <w:rPr>
          <w:lang w:val="en-GB"/>
        </w:rPr>
        <w:t>betas in</w:t>
      </w:r>
      <w:r w:rsidR="007E25D1" w:rsidRPr="00002C7A">
        <w:rPr>
          <w:lang w:val="en-GB"/>
        </w:rPr>
        <w:t xml:space="preserve"> the </w:t>
      </w:r>
      <w:r w:rsidR="008F2C2A" w:rsidRPr="00002C7A">
        <w:rPr>
          <w:lang w:val="en-GB"/>
        </w:rPr>
        <w:t>presence of market imperfections.</w:t>
      </w:r>
    </w:p>
    <w:p w14:paraId="339F701A" w14:textId="3F60C875" w:rsidR="000C527D" w:rsidRDefault="00E17D1C" w:rsidP="000C527D">
      <w:pPr>
        <w:pStyle w:val="Caption"/>
        <w:jc w:val="both"/>
      </w:pPr>
      <w:bookmarkStart w:id="233" w:name="_Ref217035710"/>
      <w:bookmarkStart w:id="234" w:name="_Toc219739800"/>
      <w:bookmarkStart w:id="235" w:name="_Toc217060084"/>
      <w:r w:rsidRPr="00EA492D">
        <w:t xml:space="preserve">Table </w:t>
      </w:r>
      <w:r w:rsidRPr="00EA492D">
        <w:fldChar w:fldCharType="begin"/>
      </w:r>
      <w:r w:rsidRPr="00EA492D">
        <w:rPr>
          <w:noProof/>
        </w:rPr>
        <w:instrText xml:space="preserve"> SEQ Table \* ARABIC </w:instrText>
      </w:r>
      <w:r w:rsidRPr="00EA492D">
        <w:rPr>
          <w:noProof/>
        </w:rPr>
        <w:fldChar w:fldCharType="separate"/>
      </w:r>
      <w:r w:rsidR="007F093A">
        <w:rPr>
          <w:noProof/>
        </w:rPr>
        <w:t>8</w:t>
      </w:r>
      <w:r w:rsidRPr="00EA492D">
        <w:fldChar w:fldCharType="end"/>
      </w:r>
      <w:bookmarkEnd w:id="233"/>
      <w:r w:rsidR="000C527D">
        <w:t>: Equity betas</w:t>
      </w:r>
      <w:bookmarkEnd w:id="234"/>
      <w:bookmarkEnd w:id="235"/>
    </w:p>
    <w:p w14:paraId="6E84EC24" w14:textId="10E0D58A" w:rsidR="00923ABE" w:rsidRDefault="003B4192" w:rsidP="00500B2F">
      <w:pPr>
        <w:pStyle w:val="Figure"/>
        <w:jc w:val="both"/>
      </w:pPr>
      <w:r w:rsidRPr="003B4192">
        <w:drawing>
          <wp:inline distT="0" distB="0" distL="0" distR="0" wp14:anchorId="4CF4423C" wp14:editId="00842273">
            <wp:extent cx="5591810" cy="5181600"/>
            <wp:effectExtent l="0" t="0" r="8890" b="0"/>
            <wp:docPr id="4075560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91810" cy="5181600"/>
                    </a:xfrm>
                    <a:prstGeom prst="rect">
                      <a:avLst/>
                    </a:prstGeom>
                    <a:noFill/>
                    <a:ln>
                      <a:noFill/>
                    </a:ln>
                  </pic:spPr>
                </pic:pic>
              </a:graphicData>
            </a:graphic>
          </wp:inline>
        </w:drawing>
      </w:r>
    </w:p>
    <w:p w14:paraId="7B46A788" w14:textId="3F11517E" w:rsidR="00842B85" w:rsidRPr="00002C7A" w:rsidRDefault="001145C5" w:rsidP="00500B2F">
      <w:pPr>
        <w:pStyle w:val="ParagraphNumbered"/>
        <w:jc w:val="both"/>
        <w:rPr>
          <w:lang w:val="en-GB"/>
        </w:rPr>
      </w:pPr>
      <w:r w:rsidRPr="00002C7A">
        <w:rPr>
          <w:lang w:val="en-GB"/>
        </w:rPr>
        <w:t>Overall, the results confirm our expectations. T</w:t>
      </w:r>
      <w:r w:rsidR="008B238A" w:rsidRPr="00002C7A">
        <w:rPr>
          <w:lang w:val="en-GB"/>
        </w:rPr>
        <w:t xml:space="preserve">he five-year weekly betas </w:t>
      </w:r>
      <w:r w:rsidR="00DA6A4B" w:rsidRPr="00002C7A">
        <w:rPr>
          <w:lang w:val="en-GB"/>
        </w:rPr>
        <w:t>are generally higher than the two</w:t>
      </w:r>
      <w:r w:rsidR="0035370B" w:rsidRPr="00002C7A">
        <w:rPr>
          <w:lang w:val="en-GB"/>
        </w:rPr>
        <w:t>-</w:t>
      </w:r>
      <w:r w:rsidR="00DA6A4B" w:rsidRPr="00002C7A">
        <w:rPr>
          <w:lang w:val="en-GB"/>
        </w:rPr>
        <w:t>year betas</w:t>
      </w:r>
      <w:r w:rsidR="0052513C" w:rsidRPr="00002C7A">
        <w:rPr>
          <w:lang w:val="en-GB"/>
        </w:rPr>
        <w:t>, and the adjusted two-year daily</w:t>
      </w:r>
      <w:r w:rsidR="00842B85" w:rsidRPr="00002C7A">
        <w:rPr>
          <w:lang w:val="en-GB"/>
        </w:rPr>
        <w:t xml:space="preserve"> betas provide evidence of residual liquidity issues</w:t>
      </w:r>
      <w:r w:rsidR="00C45540" w:rsidRPr="00002C7A">
        <w:rPr>
          <w:lang w:val="en-GB"/>
        </w:rPr>
        <w:t xml:space="preserve">. </w:t>
      </w:r>
      <w:r w:rsidR="00BD0DD4" w:rsidRPr="00002C7A">
        <w:rPr>
          <w:lang w:val="en-GB"/>
        </w:rPr>
        <w:t xml:space="preserve">Accordingly, we recommend ComCom to base </w:t>
      </w:r>
      <w:r w:rsidR="00F766B9" w:rsidRPr="00002C7A">
        <w:rPr>
          <w:lang w:val="en-GB"/>
        </w:rPr>
        <w:t xml:space="preserve">the beta calculation on the estimated </w:t>
      </w:r>
      <w:r w:rsidR="00190D77" w:rsidRPr="00002C7A">
        <w:rPr>
          <w:lang w:val="en-GB"/>
        </w:rPr>
        <w:t>equity betas using five-year weekly data.</w:t>
      </w:r>
    </w:p>
    <w:p w14:paraId="31111400" w14:textId="77777777" w:rsidR="00E17D1C" w:rsidRPr="003516CC" w:rsidRDefault="00E17D1C" w:rsidP="00500B2F">
      <w:pPr>
        <w:pStyle w:val="Heading2"/>
        <w:jc w:val="both"/>
      </w:pPr>
      <w:bookmarkStart w:id="236" w:name="_Toc8902973"/>
      <w:bookmarkStart w:id="237" w:name="_Toc9850274"/>
      <w:bookmarkStart w:id="238" w:name="_Toc73455321"/>
      <w:bookmarkStart w:id="239" w:name="_Toc78563297"/>
      <w:bookmarkStart w:id="240" w:name="_Toc99716134"/>
      <w:bookmarkStart w:id="241" w:name="_Toc99716227"/>
      <w:bookmarkStart w:id="242" w:name="_Toc99728411"/>
      <w:bookmarkStart w:id="243" w:name="_Toc100325571"/>
      <w:bookmarkStart w:id="244" w:name="_Toc219739782"/>
      <w:bookmarkStart w:id="245" w:name="_Toc217060068"/>
      <w:r w:rsidRPr="003516CC">
        <w:lastRenderedPageBreak/>
        <w:t>Peer Group</w:t>
      </w:r>
      <w:r w:rsidR="00AB6F7A" w:rsidRPr="003516CC">
        <w:t>s</w:t>
      </w:r>
      <w:r w:rsidRPr="003516CC">
        <w:t xml:space="preserve"> </w:t>
      </w:r>
      <w:r w:rsidR="00AB6F7A" w:rsidRPr="003516CC">
        <w:t xml:space="preserve">Gearing and </w:t>
      </w:r>
      <w:r w:rsidRPr="003516CC">
        <w:t>Asset Betas</w:t>
      </w:r>
      <w:bookmarkEnd w:id="236"/>
      <w:bookmarkEnd w:id="237"/>
      <w:bookmarkEnd w:id="238"/>
      <w:bookmarkEnd w:id="239"/>
      <w:bookmarkEnd w:id="240"/>
      <w:bookmarkEnd w:id="241"/>
      <w:bookmarkEnd w:id="242"/>
      <w:bookmarkEnd w:id="243"/>
      <w:bookmarkEnd w:id="244"/>
      <w:bookmarkEnd w:id="245"/>
    </w:p>
    <w:p w14:paraId="77390868" w14:textId="77777777" w:rsidR="00E17D1C" w:rsidRPr="00002C7A" w:rsidRDefault="341BC336" w:rsidP="00500B2F">
      <w:pPr>
        <w:pStyle w:val="ParagraphNumbered"/>
        <w:jc w:val="both"/>
        <w:rPr>
          <w:lang w:val="en-GB"/>
        </w:rPr>
      </w:pPr>
      <w:r w:rsidRPr="00002C7A">
        <w:rPr>
          <w:lang w:val="en-GB"/>
        </w:rPr>
        <w:t xml:space="preserve">As well as reflecting the systematic risk of the underlying business, equity betas also reflect the risk of debt or financial leverage. As debt is added to the company, the equity will become riskier as more cash from profits goes towards paying debt in each year before dividends can be distributed to equity. With more debt, increases or decreases in a firm’s profit will have a larger effect on the value of equity. Hence if two firms engage in exactly the same activity, but one firm has more debt, that firm will have a higher equity beta than the firm with less debt.  </w:t>
      </w:r>
    </w:p>
    <w:p w14:paraId="27397912" w14:textId="1FDFB2E7" w:rsidR="00E91D3B" w:rsidRPr="00002C7A" w:rsidRDefault="00E17D1C" w:rsidP="00500B2F">
      <w:pPr>
        <w:pStyle w:val="ParagraphNumbered"/>
        <w:jc w:val="both"/>
        <w:rPr>
          <w:lang w:val="en-GB"/>
        </w:rPr>
      </w:pPr>
      <w:r w:rsidRPr="00002C7A">
        <w:rPr>
          <w:lang w:val="en-GB"/>
        </w:rPr>
        <w:t xml:space="preserve">To measure the relative risk of the underlying asset on a like-for-like basis it is necessary to ‘unlever’ the betas, imagining that the firm is funded entirely by equity. The resulting beta is referred to as an asset beta or an unlevered beta. </w:t>
      </w:r>
      <w:r w:rsidR="00FA5779" w:rsidRPr="00002C7A">
        <w:rPr>
          <w:lang w:val="en-GB"/>
        </w:rPr>
        <w:t xml:space="preserve">Consistent with the recommendations </w:t>
      </w:r>
      <w:r w:rsidR="00A92084" w:rsidRPr="00002C7A">
        <w:rPr>
          <w:lang w:val="en-GB"/>
        </w:rPr>
        <w:t xml:space="preserve">of the EC Guidelines, </w:t>
      </w:r>
      <w:r w:rsidR="00DB26B0" w:rsidRPr="00002C7A">
        <w:rPr>
          <w:lang w:val="en-GB"/>
        </w:rPr>
        <w:t>we unlever</w:t>
      </w:r>
      <w:r w:rsidRPr="00002C7A">
        <w:rPr>
          <w:lang w:val="en-GB"/>
        </w:rPr>
        <w:t xml:space="preserve"> the </w:t>
      </w:r>
      <w:r w:rsidR="00DB26B0" w:rsidRPr="00002C7A">
        <w:rPr>
          <w:lang w:val="en-GB"/>
        </w:rPr>
        <w:t xml:space="preserve">equity betas </w:t>
      </w:r>
      <w:r w:rsidRPr="00002C7A">
        <w:rPr>
          <w:lang w:val="en-GB"/>
        </w:rPr>
        <w:t>us</w:t>
      </w:r>
      <w:r w:rsidR="00A2618B" w:rsidRPr="00002C7A">
        <w:rPr>
          <w:lang w:val="en-GB"/>
        </w:rPr>
        <w:t>ing</w:t>
      </w:r>
      <w:r w:rsidRPr="00002C7A">
        <w:rPr>
          <w:lang w:val="en-GB"/>
        </w:rPr>
        <w:t xml:space="preserve"> of the Modigliani and Miller formula</w:t>
      </w:r>
      <w:r w:rsidR="00A2618B" w:rsidRPr="00002C7A">
        <w:rPr>
          <w:lang w:val="en-GB"/>
        </w:rPr>
        <w:t xml:space="preserve"> and a debt beta</w:t>
      </w:r>
      <w:r w:rsidRPr="00002C7A">
        <w:rPr>
          <w:lang w:val="en-GB"/>
        </w:rPr>
        <w:t>.</w:t>
      </w:r>
      <w:r w:rsidR="00976374" w:rsidRPr="00002C7A">
        <w:rPr>
          <w:rStyle w:val="FootnoteReference"/>
          <w:lang w:val="en-GB"/>
        </w:rPr>
        <w:footnoteReference w:id="41"/>
      </w:r>
    </w:p>
    <w:p w14:paraId="607368F3" w14:textId="316C8B39" w:rsidR="009F20CD" w:rsidRPr="00002C7A" w:rsidRDefault="002921AA" w:rsidP="00500B2F">
      <w:pPr>
        <w:pStyle w:val="ParagraphNumbered"/>
        <w:jc w:val="both"/>
        <w:rPr>
          <w:lang w:val="en-GB"/>
        </w:rPr>
      </w:pPr>
      <w:r w:rsidRPr="00002C7A">
        <w:rPr>
          <w:lang w:val="en-GB"/>
        </w:rPr>
        <w:t>We</w:t>
      </w:r>
      <w:r w:rsidR="341BC336" w:rsidRPr="00002C7A">
        <w:rPr>
          <w:lang w:val="en-GB"/>
        </w:rPr>
        <w:t xml:space="preserve"> calculate the gearing of each </w:t>
      </w:r>
      <w:r w:rsidRPr="00002C7A">
        <w:rPr>
          <w:lang w:val="en-GB"/>
        </w:rPr>
        <w:t xml:space="preserve">peer taking </w:t>
      </w:r>
      <w:r w:rsidR="341BC336" w:rsidRPr="00002C7A">
        <w:rPr>
          <w:lang w:val="en-GB"/>
        </w:rPr>
        <w:t xml:space="preserve">the average of quarterly gearing ratios </w:t>
      </w:r>
      <w:r w:rsidR="00EC6418" w:rsidRPr="00002C7A">
        <w:rPr>
          <w:lang w:val="en-GB"/>
        </w:rPr>
        <w:t xml:space="preserve">over </w:t>
      </w:r>
      <w:r w:rsidR="00E75B47" w:rsidRPr="00002C7A">
        <w:rPr>
          <w:lang w:val="en-GB"/>
        </w:rPr>
        <w:t>the same time horizon</w:t>
      </w:r>
      <w:r w:rsidR="00AB0D1C" w:rsidRPr="00002C7A">
        <w:rPr>
          <w:lang w:val="en-GB"/>
        </w:rPr>
        <w:t xml:space="preserve"> used to estimate the beta</w:t>
      </w:r>
      <w:r w:rsidR="00E75B47" w:rsidRPr="00002C7A">
        <w:rPr>
          <w:lang w:val="en-GB"/>
        </w:rPr>
        <w:t>.</w:t>
      </w:r>
      <w:r w:rsidR="00EA46BB" w:rsidRPr="00002C7A">
        <w:rPr>
          <w:lang w:val="en-GB"/>
        </w:rPr>
        <w:t xml:space="preserve"> We calculate the quarterly gearing ratios by</w:t>
      </w:r>
      <w:r w:rsidR="341BC336" w:rsidRPr="00002C7A">
        <w:rPr>
          <w:lang w:val="en-GB"/>
        </w:rPr>
        <w:t xml:space="preserve"> dividing quarterly net debt over quarterly market capitalization</w:t>
      </w:r>
      <w:r w:rsidR="00EA46BB" w:rsidRPr="00002C7A">
        <w:rPr>
          <w:lang w:val="en-GB"/>
        </w:rPr>
        <w:t>.</w:t>
      </w:r>
    </w:p>
    <w:p w14:paraId="120CE7F5" w14:textId="60485C64" w:rsidR="005F35D4" w:rsidRPr="00002C7A" w:rsidRDefault="00E75B47" w:rsidP="00500B2F">
      <w:pPr>
        <w:pStyle w:val="ParagraphNumbered"/>
        <w:jc w:val="both"/>
        <w:rPr>
          <w:lang w:val="en-GB"/>
        </w:rPr>
      </w:pPr>
      <w:r w:rsidRPr="00002C7A">
        <w:rPr>
          <w:lang w:val="en-GB"/>
        </w:rPr>
        <w:t xml:space="preserve">As a measure of debt beta, </w:t>
      </w:r>
      <w:r w:rsidR="00095FA3" w:rsidRPr="00002C7A">
        <w:rPr>
          <w:lang w:val="en-GB"/>
        </w:rPr>
        <w:t>we select</w:t>
      </w:r>
      <w:r w:rsidR="006A598A" w:rsidRPr="00002C7A">
        <w:rPr>
          <w:lang w:val="en-GB"/>
        </w:rPr>
        <w:t xml:space="preserve"> a value of 0.1 for </w:t>
      </w:r>
      <w:r w:rsidR="005F35D4" w:rsidRPr="00002C7A">
        <w:rPr>
          <w:lang w:val="en-GB"/>
        </w:rPr>
        <w:t xml:space="preserve">all peers. We note that, in principle, the debt beta of the peers </w:t>
      </w:r>
      <w:r w:rsidR="00AB7625" w:rsidRPr="00002C7A">
        <w:rPr>
          <w:lang w:val="en-GB"/>
        </w:rPr>
        <w:t xml:space="preserve">varies </w:t>
      </w:r>
      <w:r w:rsidR="005F35D4" w:rsidRPr="00002C7A">
        <w:rPr>
          <w:lang w:val="en-GB"/>
        </w:rPr>
        <w:t>with their risk of default. In practice, howe</w:t>
      </w:r>
      <w:r w:rsidR="0055592B" w:rsidRPr="00002C7A">
        <w:rPr>
          <w:lang w:val="en-GB"/>
        </w:rPr>
        <w:t>ver, the rating of the peers fall within a narrow range</w:t>
      </w:r>
      <w:r w:rsidR="007D22D1" w:rsidRPr="00002C7A">
        <w:rPr>
          <w:lang w:val="en-GB"/>
        </w:rPr>
        <w:t xml:space="preserve"> – between BBB- and A- </w:t>
      </w:r>
      <w:r w:rsidR="00747634" w:rsidRPr="00002C7A">
        <w:rPr>
          <w:lang w:val="en-GB"/>
        </w:rPr>
        <w:t>–</w:t>
      </w:r>
      <w:r w:rsidR="007D22D1" w:rsidRPr="00002C7A">
        <w:rPr>
          <w:lang w:val="en-GB"/>
        </w:rPr>
        <w:t xml:space="preserve"> and the EC Guidelines recommend </w:t>
      </w:r>
      <w:r w:rsidR="00A1377C" w:rsidRPr="00002C7A">
        <w:rPr>
          <w:lang w:val="en-GB"/>
        </w:rPr>
        <w:t xml:space="preserve">using a single value of debt beta to reduce </w:t>
      </w:r>
      <w:r w:rsidR="008776F6" w:rsidRPr="00002C7A">
        <w:rPr>
          <w:lang w:val="en-GB"/>
        </w:rPr>
        <w:t>complexity and improve transparency.</w:t>
      </w:r>
      <w:r w:rsidR="00CC7F5A" w:rsidRPr="00002C7A">
        <w:rPr>
          <w:rStyle w:val="FootnoteReference"/>
          <w:lang w:val="en-GB"/>
        </w:rPr>
        <w:footnoteReference w:id="42"/>
      </w:r>
      <w:r w:rsidR="00A1377C" w:rsidRPr="00002C7A">
        <w:rPr>
          <w:lang w:val="en-GB"/>
        </w:rPr>
        <w:t xml:space="preserve"> </w:t>
      </w:r>
    </w:p>
    <w:p w14:paraId="348A970E" w14:textId="75A1BEBB" w:rsidR="00DF0205" w:rsidRPr="00002C7A" w:rsidRDefault="000C527D" w:rsidP="0066223A">
      <w:pPr>
        <w:pStyle w:val="ParagraphNumbered"/>
        <w:jc w:val="both"/>
        <w:rPr>
          <w:lang w:val="en-GB"/>
        </w:rPr>
      </w:pPr>
      <w:r w:rsidRPr="00002C7A">
        <w:rPr>
          <w:lang w:val="en-GB"/>
        </w:rPr>
        <w:fldChar w:fldCharType="begin"/>
      </w:r>
      <w:r w:rsidRPr="00002C7A">
        <w:rPr>
          <w:lang w:val="en-GB"/>
        </w:rPr>
        <w:instrText xml:space="preserve"> REF _Ref217035753 \h </w:instrText>
      </w:r>
      <w:r w:rsidRPr="00002C7A">
        <w:rPr>
          <w:lang w:val="en-GB"/>
        </w:rPr>
      </w:r>
      <w:r w:rsidRPr="00002C7A">
        <w:rPr>
          <w:lang w:val="en-GB"/>
        </w:rPr>
        <w:fldChar w:fldCharType="separate"/>
      </w:r>
      <w:r w:rsidR="007F093A" w:rsidRPr="00EA492D">
        <w:t xml:space="preserve">Table </w:t>
      </w:r>
      <w:r w:rsidR="007F093A">
        <w:rPr>
          <w:noProof/>
        </w:rPr>
        <w:t>9</w:t>
      </w:r>
      <w:r w:rsidRPr="00002C7A">
        <w:rPr>
          <w:lang w:val="en-GB"/>
        </w:rPr>
        <w:fldChar w:fldCharType="end"/>
      </w:r>
      <w:r w:rsidR="00923D2C" w:rsidRPr="00002C7A">
        <w:rPr>
          <w:lang w:val="en-GB"/>
        </w:rPr>
        <w:t>, below, reports the equity beta, the gearing and the resulting asset betas for each peer. The Table further reports the average and median gearing and asset betas for the sample</w:t>
      </w:r>
      <w:r w:rsidR="008127DB" w:rsidRPr="00002C7A">
        <w:rPr>
          <w:lang w:val="en-GB"/>
        </w:rPr>
        <w:t>. Overall, we find that the asset beta ranges between 0.17 and 0.70, with a median asset beta of 0.40. The gearing ranges between 10% and 179%, with a median gearing of 71%.</w:t>
      </w:r>
    </w:p>
    <w:p w14:paraId="7B51EA19" w14:textId="327F3ABC" w:rsidR="000C527D" w:rsidRDefault="00FD7D45" w:rsidP="000C527D">
      <w:pPr>
        <w:pStyle w:val="Caption"/>
        <w:jc w:val="both"/>
      </w:pPr>
      <w:bookmarkStart w:id="246" w:name="_Ref217035753"/>
      <w:bookmarkStart w:id="247" w:name="_Toc219739801"/>
      <w:bookmarkStart w:id="248" w:name="_Toc217060085"/>
      <w:r w:rsidRPr="00EA492D">
        <w:lastRenderedPageBreak/>
        <w:t xml:space="preserve">Table </w:t>
      </w:r>
      <w:fldSimple w:instr=" SEQ Table \* ARABIC ">
        <w:r w:rsidR="007F093A">
          <w:rPr>
            <w:noProof/>
          </w:rPr>
          <w:t>9</w:t>
        </w:r>
      </w:fldSimple>
      <w:bookmarkEnd w:id="246"/>
      <w:r w:rsidR="000C527D">
        <w:t>: Equity betas and asset betas</w:t>
      </w:r>
      <w:bookmarkEnd w:id="247"/>
      <w:bookmarkEnd w:id="248"/>
    </w:p>
    <w:p w14:paraId="6B4DD44D" w14:textId="51784D6A" w:rsidR="008D53CC" w:rsidRPr="001B5C93" w:rsidRDefault="009051EE" w:rsidP="00500B2F">
      <w:pPr>
        <w:pStyle w:val="Figure"/>
        <w:jc w:val="both"/>
        <w:rPr>
          <w:highlight w:val="yellow"/>
        </w:rPr>
      </w:pPr>
      <w:r w:rsidRPr="009051EE">
        <w:drawing>
          <wp:inline distT="0" distB="0" distL="0" distR="0" wp14:anchorId="44B19381" wp14:editId="1459094E">
            <wp:extent cx="5731510" cy="4743450"/>
            <wp:effectExtent l="0" t="0" r="2540" b="0"/>
            <wp:docPr id="13848686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743450"/>
                    </a:xfrm>
                    <a:prstGeom prst="rect">
                      <a:avLst/>
                    </a:prstGeom>
                    <a:noFill/>
                    <a:ln>
                      <a:noFill/>
                    </a:ln>
                  </pic:spPr>
                </pic:pic>
              </a:graphicData>
            </a:graphic>
          </wp:inline>
        </w:drawing>
      </w:r>
    </w:p>
    <w:p w14:paraId="180F9766" w14:textId="3707B8EF" w:rsidR="00CE48B7" w:rsidRPr="002D729C" w:rsidRDefault="00AB6F7A" w:rsidP="00500B2F">
      <w:pPr>
        <w:pStyle w:val="Heading2"/>
        <w:jc w:val="both"/>
      </w:pPr>
      <w:bookmarkStart w:id="249" w:name="_Toc417315062"/>
      <w:bookmarkStart w:id="250" w:name="_Toc418667722"/>
      <w:bookmarkStart w:id="251" w:name="_Toc8902974"/>
      <w:bookmarkStart w:id="252" w:name="_Toc9850275"/>
      <w:bookmarkStart w:id="253" w:name="_Toc73455323"/>
      <w:bookmarkStart w:id="254" w:name="_Toc78563299"/>
      <w:bookmarkStart w:id="255" w:name="_Toc99716135"/>
      <w:bookmarkStart w:id="256" w:name="_Toc99716228"/>
      <w:bookmarkStart w:id="257" w:name="_Toc99728412"/>
      <w:bookmarkStart w:id="258" w:name="_Toc100325572"/>
      <w:bookmarkStart w:id="259" w:name="_Toc219739783"/>
      <w:bookmarkStart w:id="260" w:name="_Toc217060069"/>
      <w:r w:rsidRPr="002D729C">
        <w:t xml:space="preserve">Gearing and </w:t>
      </w:r>
      <w:r w:rsidR="00E17D1C" w:rsidRPr="002D729C">
        <w:t xml:space="preserve">Asset Beta for </w:t>
      </w:r>
      <w:r w:rsidR="00E65265" w:rsidRPr="002D729C">
        <w:t xml:space="preserve">the </w:t>
      </w:r>
      <w:bookmarkEnd w:id="249"/>
      <w:bookmarkEnd w:id="250"/>
      <w:bookmarkEnd w:id="251"/>
      <w:bookmarkEnd w:id="252"/>
      <w:bookmarkEnd w:id="253"/>
      <w:bookmarkEnd w:id="254"/>
      <w:bookmarkEnd w:id="255"/>
      <w:bookmarkEnd w:id="256"/>
      <w:bookmarkEnd w:id="257"/>
      <w:bookmarkEnd w:id="258"/>
      <w:r w:rsidR="002D729C" w:rsidRPr="002D729C">
        <w:t xml:space="preserve">Telecommunications </w:t>
      </w:r>
      <w:r w:rsidR="008509A8">
        <w:t>S</w:t>
      </w:r>
      <w:r w:rsidR="002D729C" w:rsidRPr="002D729C">
        <w:t>ector in Georgia</w:t>
      </w:r>
      <w:bookmarkEnd w:id="259"/>
      <w:bookmarkEnd w:id="260"/>
      <w:r w:rsidR="00E17D1C" w:rsidRPr="002D729C">
        <w:t xml:space="preserve"> </w:t>
      </w:r>
    </w:p>
    <w:p w14:paraId="292FE997" w14:textId="6BF9BE4E" w:rsidR="00CE48B7" w:rsidRPr="00002C7A" w:rsidRDefault="00CE48B7" w:rsidP="00500B2F">
      <w:pPr>
        <w:pStyle w:val="ParagraphNumbered"/>
        <w:jc w:val="both"/>
        <w:rPr>
          <w:lang w:val="en-GB"/>
        </w:rPr>
      </w:pPr>
      <w:r w:rsidRPr="00002C7A">
        <w:rPr>
          <w:lang w:val="en-GB"/>
        </w:rPr>
        <w:t xml:space="preserve">We calculate the WACC for the </w:t>
      </w:r>
      <w:r w:rsidR="002D729C" w:rsidRPr="00002C7A">
        <w:rPr>
          <w:lang w:val="en-GB"/>
        </w:rPr>
        <w:t xml:space="preserve">Telecommunications sector in Georgia </w:t>
      </w:r>
      <w:r w:rsidRPr="00002C7A">
        <w:rPr>
          <w:lang w:val="en-GB"/>
        </w:rPr>
        <w:t>using the</w:t>
      </w:r>
      <w:r w:rsidR="001D2F24" w:rsidRPr="00002C7A">
        <w:rPr>
          <w:lang w:val="en-GB"/>
        </w:rPr>
        <w:t xml:space="preserve"> 5</w:t>
      </w:r>
      <w:r w:rsidR="00086704" w:rsidRPr="00002C7A">
        <w:rPr>
          <w:lang w:val="en-GB"/>
        </w:rPr>
        <w:t>-</w:t>
      </w:r>
      <w:r w:rsidR="001D2F24" w:rsidRPr="00002C7A">
        <w:rPr>
          <w:lang w:val="en-GB"/>
        </w:rPr>
        <w:t>year weekly estimation</w:t>
      </w:r>
      <w:r w:rsidR="006727D4" w:rsidRPr="00002C7A">
        <w:rPr>
          <w:lang w:val="en-GB"/>
        </w:rPr>
        <w:t>s</w:t>
      </w:r>
      <w:r w:rsidR="001D2F24" w:rsidRPr="00002C7A">
        <w:rPr>
          <w:lang w:val="en-GB"/>
        </w:rPr>
        <w:t xml:space="preserve"> of the</w:t>
      </w:r>
      <w:r w:rsidRPr="00002C7A">
        <w:rPr>
          <w:lang w:val="en-GB"/>
        </w:rPr>
        <w:t xml:space="preserve"> median asset beta and media</w:t>
      </w:r>
      <w:r w:rsidR="004D4E85" w:rsidRPr="00002C7A">
        <w:rPr>
          <w:lang w:val="en-GB"/>
        </w:rPr>
        <w:t>n</w:t>
      </w:r>
      <w:r w:rsidRPr="00002C7A">
        <w:rPr>
          <w:lang w:val="en-GB"/>
        </w:rPr>
        <w:t xml:space="preserve"> gearing of </w:t>
      </w:r>
      <w:r w:rsidR="001346DB" w:rsidRPr="00002C7A">
        <w:rPr>
          <w:lang w:val="en-GB"/>
        </w:rPr>
        <w:t xml:space="preserve">the European </w:t>
      </w:r>
      <w:r w:rsidRPr="00002C7A">
        <w:rPr>
          <w:lang w:val="en-GB"/>
        </w:rPr>
        <w:t>peer</w:t>
      </w:r>
      <w:r w:rsidR="004D4E85" w:rsidRPr="00002C7A">
        <w:rPr>
          <w:lang w:val="en-GB"/>
        </w:rPr>
        <w:t>s</w:t>
      </w:r>
      <w:r w:rsidRPr="00002C7A">
        <w:rPr>
          <w:lang w:val="en-GB"/>
        </w:rPr>
        <w:t xml:space="preserve">. </w:t>
      </w:r>
      <w:r w:rsidR="000C527D" w:rsidRPr="00002C7A">
        <w:rPr>
          <w:lang w:val="en-GB"/>
        </w:rPr>
        <w:fldChar w:fldCharType="begin"/>
      </w:r>
      <w:r w:rsidR="000C527D" w:rsidRPr="00002C7A">
        <w:rPr>
          <w:lang w:val="en-GB"/>
        </w:rPr>
        <w:instrText xml:space="preserve"> REF _Ref217035793 \h </w:instrText>
      </w:r>
      <w:r w:rsidR="000C527D" w:rsidRPr="00002C7A">
        <w:rPr>
          <w:lang w:val="en-GB"/>
        </w:rPr>
      </w:r>
      <w:r w:rsidR="000C527D" w:rsidRPr="00002C7A">
        <w:rPr>
          <w:lang w:val="en-GB"/>
        </w:rPr>
        <w:fldChar w:fldCharType="separate"/>
      </w:r>
      <w:r w:rsidR="007F093A" w:rsidRPr="002D729C">
        <w:t xml:space="preserve">Table </w:t>
      </w:r>
      <w:r w:rsidR="007F093A">
        <w:rPr>
          <w:noProof/>
        </w:rPr>
        <w:t>10</w:t>
      </w:r>
      <w:r w:rsidR="000C527D" w:rsidRPr="00002C7A">
        <w:rPr>
          <w:lang w:val="en-GB"/>
        </w:rPr>
        <w:fldChar w:fldCharType="end"/>
      </w:r>
      <w:r w:rsidR="000C527D" w:rsidRPr="00002C7A">
        <w:rPr>
          <w:lang w:val="en-GB"/>
        </w:rPr>
        <w:t xml:space="preserve"> </w:t>
      </w:r>
      <w:r w:rsidRPr="00002C7A">
        <w:rPr>
          <w:lang w:val="en-GB"/>
        </w:rPr>
        <w:t xml:space="preserve">summarizes the results. </w:t>
      </w:r>
    </w:p>
    <w:p w14:paraId="0C9052DD" w14:textId="685ECF74" w:rsidR="000C527D" w:rsidRDefault="00E17D1C" w:rsidP="000C527D">
      <w:pPr>
        <w:pStyle w:val="Caption"/>
        <w:jc w:val="both"/>
      </w:pPr>
      <w:bookmarkStart w:id="261" w:name="_Ref217035793"/>
      <w:bookmarkStart w:id="262" w:name="_Toc219739802"/>
      <w:bookmarkStart w:id="263" w:name="_Toc217060086"/>
      <w:r w:rsidRPr="002D729C">
        <w:lastRenderedPageBreak/>
        <w:t xml:space="preserve">Table </w:t>
      </w:r>
      <w:r w:rsidRPr="002D729C">
        <w:fldChar w:fldCharType="begin"/>
      </w:r>
      <w:r w:rsidRPr="002D729C">
        <w:rPr>
          <w:noProof/>
        </w:rPr>
        <w:instrText xml:space="preserve"> SEQ Table \* ARABIC </w:instrText>
      </w:r>
      <w:r w:rsidRPr="002D729C">
        <w:rPr>
          <w:noProof/>
        </w:rPr>
        <w:fldChar w:fldCharType="separate"/>
      </w:r>
      <w:r w:rsidR="007F093A">
        <w:rPr>
          <w:noProof/>
        </w:rPr>
        <w:t>10</w:t>
      </w:r>
      <w:r w:rsidRPr="002D729C">
        <w:fldChar w:fldCharType="end"/>
      </w:r>
      <w:bookmarkEnd w:id="261"/>
      <w:r w:rsidR="000C527D">
        <w:t>: Asset beta and gearing for telecommunications in Georgia</w:t>
      </w:r>
      <w:bookmarkEnd w:id="262"/>
      <w:bookmarkEnd w:id="263"/>
    </w:p>
    <w:p w14:paraId="6A1AE893" w14:textId="12EE724C" w:rsidR="00DA73DA" w:rsidRDefault="00A05582" w:rsidP="00500B2F">
      <w:pPr>
        <w:pStyle w:val="Figure"/>
        <w:jc w:val="both"/>
      </w:pPr>
      <w:r w:rsidRPr="00A05582">
        <w:drawing>
          <wp:inline distT="0" distB="0" distL="0" distR="0" wp14:anchorId="79795647" wp14:editId="1A787995">
            <wp:extent cx="4824095" cy="5255260"/>
            <wp:effectExtent l="0" t="0" r="0" b="2540"/>
            <wp:docPr id="20898488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4095" cy="5255260"/>
                    </a:xfrm>
                    <a:prstGeom prst="rect">
                      <a:avLst/>
                    </a:prstGeom>
                    <a:noFill/>
                    <a:ln>
                      <a:noFill/>
                    </a:ln>
                  </pic:spPr>
                </pic:pic>
              </a:graphicData>
            </a:graphic>
          </wp:inline>
        </w:drawing>
      </w:r>
    </w:p>
    <w:p w14:paraId="42AE68F7" w14:textId="77777777" w:rsidR="00C96607" w:rsidRPr="006250C6" w:rsidRDefault="00C96607" w:rsidP="00500B2F">
      <w:pPr>
        <w:pStyle w:val="Heading2"/>
        <w:jc w:val="both"/>
      </w:pPr>
      <w:bookmarkStart w:id="264" w:name="_Toc219739784"/>
      <w:bookmarkStart w:id="265" w:name="_Toc217060070"/>
      <w:bookmarkStart w:id="266" w:name="_Toc8902976"/>
      <w:bookmarkStart w:id="267" w:name="_Toc9850277"/>
      <w:bookmarkStart w:id="268" w:name="_Toc73455325"/>
      <w:bookmarkStart w:id="269" w:name="_Toc78563305"/>
      <w:bookmarkStart w:id="270" w:name="_Toc99716136"/>
      <w:bookmarkStart w:id="271" w:name="_Toc99716229"/>
      <w:bookmarkStart w:id="272" w:name="_Toc99728413"/>
      <w:bookmarkStart w:id="273" w:name="_Toc100325573"/>
      <w:r>
        <w:t>The impact of country size on Telecommunications operators’ systematic risk</w:t>
      </w:r>
      <w:bookmarkEnd w:id="264"/>
      <w:bookmarkEnd w:id="265"/>
    </w:p>
    <w:p w14:paraId="715A846A" w14:textId="77777777" w:rsidR="00D44A32" w:rsidRPr="00002C7A" w:rsidRDefault="00BD6AA6" w:rsidP="00500B2F">
      <w:pPr>
        <w:pStyle w:val="ParagraphNumbered"/>
        <w:jc w:val="both"/>
        <w:rPr>
          <w:lang w:val="en-GB" w:eastAsia="en-US"/>
        </w:rPr>
      </w:pPr>
      <w:r w:rsidRPr="00002C7A">
        <w:rPr>
          <w:lang w:val="en-GB"/>
        </w:rPr>
        <w:t xml:space="preserve">ComCom has further asked us to consider </w:t>
      </w:r>
      <w:r w:rsidR="00A458D3" w:rsidRPr="00002C7A">
        <w:rPr>
          <w:lang w:val="en-GB"/>
        </w:rPr>
        <w:t xml:space="preserve">whether </w:t>
      </w:r>
      <w:r w:rsidR="00A07C98" w:rsidRPr="00002C7A">
        <w:rPr>
          <w:lang w:val="en-GB"/>
        </w:rPr>
        <w:t>the WACC of telecoms operators in Georgia</w:t>
      </w:r>
      <w:r w:rsidR="00524C50" w:rsidRPr="00002C7A">
        <w:rPr>
          <w:lang w:val="en-GB"/>
        </w:rPr>
        <w:t xml:space="preserve"> may be affected by the relatively small </w:t>
      </w:r>
      <w:r w:rsidR="00A07C98" w:rsidRPr="00002C7A">
        <w:rPr>
          <w:lang w:val="en-GB"/>
        </w:rPr>
        <w:t>size of the Georgian market</w:t>
      </w:r>
      <w:r w:rsidR="00524C50" w:rsidRPr="00002C7A">
        <w:rPr>
          <w:lang w:val="en-GB"/>
        </w:rPr>
        <w:t xml:space="preserve">. </w:t>
      </w:r>
    </w:p>
    <w:p w14:paraId="33B5E71B" w14:textId="2DEA8AAB" w:rsidR="009B55E9" w:rsidRPr="00002C7A" w:rsidRDefault="00292CA5" w:rsidP="00500B2F">
      <w:pPr>
        <w:pStyle w:val="ParagraphNumbered"/>
        <w:jc w:val="both"/>
        <w:rPr>
          <w:lang w:val="en-GB"/>
        </w:rPr>
      </w:pPr>
      <w:r w:rsidRPr="00002C7A">
        <w:rPr>
          <w:lang w:val="en-GB"/>
        </w:rPr>
        <w:t xml:space="preserve">The relatively small size of the Georgian market could potentially affect the </w:t>
      </w:r>
      <w:r w:rsidR="00A67254" w:rsidRPr="00002C7A">
        <w:rPr>
          <w:lang w:val="en-GB"/>
        </w:rPr>
        <w:t>systematic risk of telecoms operators</w:t>
      </w:r>
      <w:r w:rsidR="00DF552C" w:rsidRPr="00002C7A">
        <w:rPr>
          <w:lang w:val="en-GB"/>
        </w:rPr>
        <w:t>.</w:t>
      </w:r>
      <w:r w:rsidR="00D44A32" w:rsidRPr="00002C7A">
        <w:rPr>
          <w:lang w:val="en-GB"/>
        </w:rPr>
        <w:t xml:space="preserve"> In other words, it could affect beta. </w:t>
      </w:r>
      <w:r w:rsidR="005C11DA" w:rsidRPr="00002C7A">
        <w:rPr>
          <w:lang w:val="en-GB"/>
        </w:rPr>
        <w:t xml:space="preserve">To evaluate this potential impact, </w:t>
      </w:r>
      <w:r w:rsidR="008B42B8" w:rsidRPr="00002C7A">
        <w:rPr>
          <w:lang w:val="en-GB" w:eastAsia="en-US"/>
        </w:rPr>
        <w:t xml:space="preserve">we have </w:t>
      </w:r>
      <w:r w:rsidR="005D00ED" w:rsidRPr="00002C7A">
        <w:rPr>
          <w:lang w:val="en-GB" w:eastAsia="en-US"/>
        </w:rPr>
        <w:t>analy</w:t>
      </w:r>
      <w:r w:rsidR="000E64E8">
        <w:rPr>
          <w:lang w:val="en-GB" w:eastAsia="en-US"/>
        </w:rPr>
        <w:t>s</w:t>
      </w:r>
      <w:r w:rsidR="005D00ED" w:rsidRPr="00002C7A">
        <w:rPr>
          <w:lang w:val="en-GB" w:eastAsia="en-US"/>
        </w:rPr>
        <w:t>ed</w:t>
      </w:r>
      <w:r w:rsidR="008F6BCB" w:rsidRPr="00002C7A">
        <w:rPr>
          <w:lang w:val="en-GB" w:eastAsia="en-US"/>
        </w:rPr>
        <w:t xml:space="preserve"> the relation between the estimated betas </w:t>
      </w:r>
      <w:r w:rsidR="003F52D7" w:rsidRPr="00002C7A">
        <w:rPr>
          <w:lang w:val="en-GB" w:eastAsia="en-US"/>
        </w:rPr>
        <w:t xml:space="preserve">and demographic variables including land area, population and GDP per capita. </w:t>
      </w:r>
      <w:r w:rsidR="00905336" w:rsidRPr="00002C7A">
        <w:rPr>
          <w:lang w:val="en-GB" w:eastAsia="en-US"/>
        </w:rPr>
        <w:t xml:space="preserve">Intuitively, a larger area could involve higher investments </w:t>
      </w:r>
      <w:r w:rsidR="00C041C8" w:rsidRPr="00002C7A">
        <w:rPr>
          <w:lang w:val="en-GB" w:eastAsia="en-US"/>
        </w:rPr>
        <w:t xml:space="preserve">and risk, everything else equal. Conversely, a higher population might increase economies of density and reduce risk. Similarly, higher GDP per capita might imply a lower price </w:t>
      </w:r>
      <w:r w:rsidR="00D31D5F" w:rsidRPr="00002C7A">
        <w:rPr>
          <w:lang w:val="en-GB" w:eastAsia="en-US"/>
        </w:rPr>
        <w:t>sensitivity</w:t>
      </w:r>
      <w:r w:rsidR="00C041C8" w:rsidRPr="00002C7A">
        <w:rPr>
          <w:lang w:val="en-GB" w:eastAsia="en-US"/>
        </w:rPr>
        <w:t xml:space="preserve"> of consumers.</w:t>
      </w:r>
      <w:r w:rsidR="00674445" w:rsidRPr="00002C7A">
        <w:rPr>
          <w:lang w:val="en-GB" w:eastAsia="en-US"/>
        </w:rPr>
        <w:t xml:space="preserve"> </w:t>
      </w:r>
    </w:p>
    <w:p w14:paraId="4BCC5087" w14:textId="2BCC349B" w:rsidR="009379CC" w:rsidRPr="00002C7A" w:rsidRDefault="009379CC" w:rsidP="00500B2F">
      <w:pPr>
        <w:pStyle w:val="ParagraphNumbered"/>
        <w:jc w:val="both"/>
        <w:rPr>
          <w:lang w:val="en-GB" w:eastAsia="en-US"/>
        </w:rPr>
      </w:pPr>
      <w:bookmarkStart w:id="274" w:name="_Ref213765156"/>
      <w:r w:rsidRPr="00002C7A">
        <w:rPr>
          <w:lang w:val="en-GB"/>
        </w:rPr>
        <w:lastRenderedPageBreak/>
        <w:t>More specific</w:t>
      </w:r>
      <w:r w:rsidRPr="00002C7A">
        <w:rPr>
          <w:lang w:val="en-GB" w:eastAsia="en-US"/>
        </w:rPr>
        <w:t>ally</w:t>
      </w:r>
      <w:r w:rsidR="0079397F" w:rsidRPr="00002C7A">
        <w:rPr>
          <w:lang w:val="en-GB" w:eastAsia="en-US"/>
        </w:rPr>
        <w:t>,</w:t>
      </w:r>
      <w:r w:rsidRPr="00002C7A">
        <w:rPr>
          <w:lang w:val="en-GB" w:eastAsia="en-US"/>
        </w:rPr>
        <w:t xml:space="preserve"> we consider the following regression model:</w:t>
      </w:r>
    </w:p>
    <w:p w14:paraId="783A21CF" w14:textId="73D7B9C5" w:rsidR="009379CC" w:rsidRPr="00002C7A" w:rsidRDefault="00000000" w:rsidP="00500B2F">
      <w:pPr>
        <w:pStyle w:val="ParagraphNumbered"/>
        <w:numPr>
          <w:ilvl w:val="0"/>
          <w:numId w:val="0"/>
        </w:numPr>
        <w:jc w:val="both"/>
        <w:rPr>
          <w:rFonts w:eastAsiaTheme="minorEastAsia"/>
          <w:lang w:val="en-GB" w:eastAsia="en-US"/>
        </w:rPr>
      </w:pPr>
      <m:oMathPara>
        <m:oMath>
          <m:sSub>
            <m:sSubPr>
              <m:ctrlPr>
                <w:rPr>
                  <w:rFonts w:ascii="Cambria Math" w:hAnsi="Cambria Math"/>
                  <w:i/>
                  <w:lang w:val="en-GB" w:eastAsia="en-US"/>
                </w:rPr>
              </m:ctrlPr>
            </m:sSubPr>
            <m:e>
              <m:r>
                <w:rPr>
                  <w:rFonts w:ascii="Cambria Math" w:hAnsi="Cambria Math"/>
                  <w:lang w:val="en-GB" w:eastAsia="en-US"/>
                </w:rPr>
                <m:t>Beta5Y</m:t>
              </m:r>
            </m:e>
            <m:sub>
              <m:r>
                <w:rPr>
                  <w:rFonts w:ascii="Cambria Math" w:hAnsi="Cambria Math"/>
                  <w:lang w:val="en-GB" w:eastAsia="en-US"/>
                </w:rPr>
                <m:t>i</m:t>
              </m:r>
            </m:sub>
          </m:sSub>
          <m:r>
            <w:rPr>
              <w:rFonts w:ascii="Cambria Math" w:hAnsi="Cambria Math"/>
              <w:lang w:val="en-GB" w:eastAsia="en-US"/>
            </w:rPr>
            <m:t xml:space="preserve">= </m:t>
          </m:r>
          <m:sSub>
            <m:sSubPr>
              <m:ctrlPr>
                <w:rPr>
                  <w:rFonts w:ascii="Cambria Math" w:hAnsi="Cambria Math"/>
                  <w:i/>
                  <w:lang w:val="en-GB" w:eastAsia="en-US"/>
                </w:rPr>
              </m:ctrlPr>
            </m:sSubPr>
            <m:e>
              <m:r>
                <w:rPr>
                  <w:rFonts w:ascii="Cambria Math" w:hAnsi="Cambria Math"/>
                  <w:lang w:val="en-GB" w:eastAsia="en-US"/>
                </w:rPr>
                <m:t>β</m:t>
              </m:r>
            </m:e>
            <m:sub>
              <m:r>
                <w:rPr>
                  <w:rFonts w:ascii="Cambria Math" w:hAnsi="Cambria Math"/>
                  <w:lang w:val="en-GB" w:eastAsia="en-US"/>
                </w:rPr>
                <m:t>0</m:t>
              </m:r>
            </m:sub>
          </m:sSub>
          <m:r>
            <w:rPr>
              <w:rFonts w:ascii="Cambria Math" w:hAnsi="Cambria Math"/>
              <w:lang w:val="en-GB" w:eastAsia="en-US"/>
            </w:rPr>
            <m:t>+</m:t>
          </m:r>
          <m:sSub>
            <m:sSubPr>
              <m:ctrlPr>
                <w:rPr>
                  <w:rFonts w:ascii="Cambria Math" w:hAnsi="Cambria Math"/>
                  <w:i/>
                  <w:lang w:val="en-GB" w:eastAsia="en-US"/>
                </w:rPr>
              </m:ctrlPr>
            </m:sSubPr>
            <m:e>
              <m:r>
                <w:rPr>
                  <w:rFonts w:ascii="Cambria Math" w:hAnsi="Cambria Math"/>
                  <w:lang w:val="en-GB" w:eastAsia="en-US"/>
                </w:rPr>
                <m:t>β</m:t>
              </m:r>
            </m:e>
            <m:sub>
              <m:r>
                <w:rPr>
                  <w:rFonts w:ascii="Cambria Math" w:hAnsi="Cambria Math"/>
                  <w:lang w:val="en-GB" w:eastAsia="en-US"/>
                </w:rPr>
                <m:t>1</m:t>
              </m:r>
            </m:sub>
          </m:sSub>
          <m:r>
            <w:rPr>
              <w:rFonts w:ascii="Cambria Math" w:hAnsi="Cambria Math"/>
              <w:lang w:val="en-GB" w:eastAsia="en-US"/>
            </w:rPr>
            <m:t xml:space="preserve"> </m:t>
          </m:r>
          <m:sSub>
            <m:sSubPr>
              <m:ctrlPr>
                <w:rPr>
                  <w:rFonts w:ascii="Cambria Math" w:hAnsi="Cambria Math"/>
                  <w:i/>
                  <w:lang w:val="en-GB" w:eastAsia="en-US"/>
                </w:rPr>
              </m:ctrlPr>
            </m:sSubPr>
            <m:e>
              <m:r>
                <w:rPr>
                  <w:rFonts w:ascii="Cambria Math" w:hAnsi="Cambria Math"/>
                  <w:lang w:val="en-GB" w:eastAsia="en-US"/>
                </w:rPr>
                <m:t>Population</m:t>
              </m:r>
            </m:e>
            <m:sub>
              <m:r>
                <w:rPr>
                  <w:rFonts w:ascii="Cambria Math" w:hAnsi="Cambria Math"/>
                  <w:lang w:val="en-GB" w:eastAsia="en-US"/>
                </w:rPr>
                <m:t>i</m:t>
              </m:r>
            </m:sub>
          </m:sSub>
          <m:r>
            <w:rPr>
              <w:rFonts w:ascii="Cambria Math" w:hAnsi="Cambria Math"/>
              <w:lang w:val="en-GB" w:eastAsia="en-US"/>
            </w:rPr>
            <m:t>+</m:t>
          </m:r>
          <m:sSub>
            <m:sSubPr>
              <m:ctrlPr>
                <w:rPr>
                  <w:rFonts w:ascii="Cambria Math" w:hAnsi="Cambria Math"/>
                  <w:i/>
                  <w:lang w:val="en-GB" w:eastAsia="en-US"/>
                </w:rPr>
              </m:ctrlPr>
            </m:sSubPr>
            <m:e>
              <m:r>
                <w:rPr>
                  <w:rFonts w:ascii="Cambria Math" w:hAnsi="Cambria Math"/>
                  <w:lang w:val="en-GB" w:eastAsia="en-US"/>
                </w:rPr>
                <m:t>β</m:t>
              </m:r>
            </m:e>
            <m:sub>
              <m:r>
                <w:rPr>
                  <w:rFonts w:ascii="Cambria Math" w:hAnsi="Cambria Math"/>
                  <w:lang w:val="en-GB" w:eastAsia="en-US"/>
                </w:rPr>
                <m:t>2</m:t>
              </m:r>
            </m:sub>
          </m:sSub>
          <m:r>
            <w:rPr>
              <w:rFonts w:ascii="Cambria Math" w:hAnsi="Cambria Math"/>
              <w:lang w:val="en-GB" w:eastAsia="en-US"/>
            </w:rPr>
            <m:t xml:space="preserve"> </m:t>
          </m:r>
          <m:sSub>
            <m:sSubPr>
              <m:ctrlPr>
                <w:rPr>
                  <w:rFonts w:ascii="Cambria Math" w:hAnsi="Cambria Math"/>
                  <w:i/>
                  <w:lang w:val="en-GB" w:eastAsia="en-US"/>
                </w:rPr>
              </m:ctrlPr>
            </m:sSubPr>
            <m:e>
              <m:r>
                <w:rPr>
                  <w:rFonts w:ascii="Cambria Math" w:hAnsi="Cambria Math"/>
                  <w:lang w:val="en-GB" w:eastAsia="en-US"/>
                </w:rPr>
                <m:t>Land area</m:t>
              </m:r>
            </m:e>
            <m:sub>
              <m:r>
                <w:rPr>
                  <w:rFonts w:ascii="Cambria Math" w:hAnsi="Cambria Math"/>
                  <w:lang w:val="en-GB" w:eastAsia="en-US"/>
                </w:rPr>
                <m:t>i</m:t>
              </m:r>
            </m:sub>
          </m:sSub>
          <m:r>
            <w:rPr>
              <w:rFonts w:ascii="Cambria Math" w:hAnsi="Cambria Math"/>
              <w:lang w:val="en-GB" w:eastAsia="en-US"/>
            </w:rPr>
            <m:t>+</m:t>
          </m:r>
          <m:sSub>
            <m:sSubPr>
              <m:ctrlPr>
                <w:rPr>
                  <w:rFonts w:ascii="Cambria Math" w:hAnsi="Cambria Math"/>
                  <w:i/>
                  <w:lang w:val="en-GB" w:eastAsia="en-US"/>
                </w:rPr>
              </m:ctrlPr>
            </m:sSubPr>
            <m:e>
              <m:r>
                <w:rPr>
                  <w:rFonts w:ascii="Cambria Math" w:hAnsi="Cambria Math"/>
                  <w:lang w:val="en-GB" w:eastAsia="en-US"/>
                </w:rPr>
                <m:t>β</m:t>
              </m:r>
            </m:e>
            <m:sub>
              <m:r>
                <w:rPr>
                  <w:rFonts w:ascii="Cambria Math" w:hAnsi="Cambria Math"/>
                  <w:lang w:val="en-GB" w:eastAsia="en-US"/>
                </w:rPr>
                <m:t>3</m:t>
              </m:r>
            </m:sub>
          </m:sSub>
          <m:r>
            <w:rPr>
              <w:rFonts w:ascii="Cambria Math" w:hAnsi="Cambria Math"/>
              <w:lang w:val="en-GB" w:eastAsia="en-US"/>
            </w:rPr>
            <m:t xml:space="preserve"> </m:t>
          </m:r>
          <m:sSub>
            <m:sSubPr>
              <m:ctrlPr>
                <w:rPr>
                  <w:rFonts w:ascii="Cambria Math" w:hAnsi="Cambria Math"/>
                  <w:i/>
                  <w:lang w:val="en-GB" w:eastAsia="en-US"/>
                </w:rPr>
              </m:ctrlPr>
            </m:sSubPr>
            <m:e>
              <m:r>
                <w:rPr>
                  <w:rFonts w:ascii="Cambria Math" w:hAnsi="Cambria Math"/>
                  <w:lang w:val="en-GB" w:eastAsia="en-US"/>
                </w:rPr>
                <m:t>GDP per capita</m:t>
              </m:r>
            </m:e>
            <m:sub>
              <m:r>
                <w:rPr>
                  <w:rFonts w:ascii="Cambria Math" w:hAnsi="Cambria Math"/>
                  <w:lang w:val="en-GB" w:eastAsia="en-US"/>
                </w:rPr>
                <m:t>i</m:t>
              </m:r>
            </m:sub>
          </m:sSub>
          <m:r>
            <w:rPr>
              <w:rFonts w:ascii="Cambria Math" w:hAnsi="Cambria Math"/>
              <w:lang w:val="en-GB" w:eastAsia="en-US"/>
            </w:rPr>
            <m:t xml:space="preserve">+ </m:t>
          </m:r>
          <m:sSub>
            <m:sSubPr>
              <m:ctrlPr>
                <w:rPr>
                  <w:rFonts w:ascii="Cambria Math" w:hAnsi="Cambria Math"/>
                  <w:i/>
                  <w:lang w:val="en-GB" w:eastAsia="en-US"/>
                </w:rPr>
              </m:ctrlPr>
            </m:sSubPr>
            <m:e>
              <w:bookmarkStart w:id="275" w:name="_Hlk213765591"/>
              <m:r>
                <w:rPr>
                  <w:rFonts w:ascii="Cambria Math" w:hAnsi="Cambria Math"/>
                  <w:lang w:val="en-GB" w:eastAsia="en-US"/>
                </w:rPr>
                <m:t>ε</m:t>
              </m:r>
              <w:bookmarkEnd w:id="275"/>
            </m:e>
            <m:sub>
              <m:r>
                <w:rPr>
                  <w:rFonts w:ascii="Cambria Math" w:hAnsi="Cambria Math"/>
                  <w:lang w:val="en-GB" w:eastAsia="en-US"/>
                </w:rPr>
                <m:t>i</m:t>
              </m:r>
            </m:sub>
          </m:sSub>
        </m:oMath>
      </m:oMathPara>
    </w:p>
    <w:p w14:paraId="1BBF001A" w14:textId="77777777" w:rsidR="00B17B73" w:rsidRPr="00002C7A" w:rsidRDefault="00B17B73" w:rsidP="00500B2F">
      <w:pPr>
        <w:pStyle w:val="ParagraphNumbered"/>
        <w:jc w:val="both"/>
        <w:rPr>
          <w:lang w:val="en-GB" w:eastAsia="en-US"/>
        </w:rPr>
      </w:pPr>
      <w:bookmarkStart w:id="276" w:name="_Hlk213766012"/>
      <w:bookmarkEnd w:id="274"/>
      <w:r w:rsidRPr="00002C7A">
        <w:rPr>
          <w:lang w:val="en-GB"/>
        </w:rPr>
        <w:t>Where</w:t>
      </w:r>
      <w:r w:rsidRPr="00002C7A">
        <w:rPr>
          <w:lang w:val="en-GB" w:eastAsia="en-US"/>
        </w:rPr>
        <w:t>:</w:t>
      </w:r>
    </w:p>
    <w:p w14:paraId="0973A55D" w14:textId="43D9387B" w:rsidR="00B17B73" w:rsidRPr="00002C7A" w:rsidRDefault="00B17B73" w:rsidP="00500B2F">
      <w:pPr>
        <w:pStyle w:val="ParagraphNumbered2"/>
        <w:jc w:val="both"/>
        <w:rPr>
          <w:lang w:val="en-GB" w:eastAsia="en-US"/>
        </w:rPr>
      </w:pPr>
      <w:r w:rsidRPr="00002C7A">
        <w:rPr>
          <w:lang w:val="en-GB" w:eastAsia="en-US"/>
        </w:rPr>
        <w:t xml:space="preserve">The dependent </w:t>
      </w:r>
      <w:r w:rsidRPr="00002C7A">
        <w:rPr>
          <w:lang w:val="en-GB"/>
        </w:rPr>
        <w:t>variable</w:t>
      </w:r>
      <w:r w:rsidRPr="00002C7A">
        <w:rPr>
          <w:lang w:val="en-GB" w:eastAsia="en-US"/>
        </w:rPr>
        <w:t xml:space="preserve"> </w:t>
      </w:r>
      <m:oMath>
        <m:sSub>
          <m:sSubPr>
            <m:ctrlPr>
              <w:rPr>
                <w:rFonts w:ascii="Cambria Math" w:hAnsi="Cambria Math"/>
                <w:i/>
                <w:lang w:val="en-GB" w:eastAsia="en-US"/>
              </w:rPr>
            </m:ctrlPr>
          </m:sSubPr>
          <m:e>
            <m:r>
              <w:rPr>
                <w:rFonts w:ascii="Cambria Math" w:hAnsi="Cambria Math"/>
                <w:lang w:val="en-GB" w:eastAsia="en-US"/>
              </w:rPr>
              <m:t>Beta5Y</m:t>
            </m:r>
          </m:e>
          <m:sub>
            <m:r>
              <w:rPr>
                <w:rFonts w:ascii="Cambria Math" w:hAnsi="Cambria Math"/>
                <w:lang w:val="en-GB" w:eastAsia="en-US"/>
              </w:rPr>
              <m:t>i</m:t>
            </m:r>
          </m:sub>
        </m:sSub>
      </m:oMath>
      <w:r w:rsidRPr="00002C7A">
        <w:rPr>
          <w:lang w:val="en-GB" w:eastAsia="en-US"/>
        </w:rPr>
        <w:t xml:space="preserve"> represents the 5Y weekly asset beta of each telecoms operator</w:t>
      </w:r>
      <w:r w:rsidR="00D232AE" w:rsidRPr="00002C7A">
        <w:rPr>
          <w:lang w:val="en-GB" w:eastAsia="en-US"/>
        </w:rPr>
        <w:t xml:space="preserve"> </w:t>
      </w:r>
      <m:oMath>
        <m:r>
          <w:rPr>
            <w:rFonts w:ascii="Cambria Math" w:hAnsi="Cambria Math"/>
            <w:lang w:val="en-GB" w:eastAsia="en-US"/>
          </w:rPr>
          <m:t>i</m:t>
        </m:r>
      </m:oMath>
      <w:r w:rsidRPr="00002C7A">
        <w:rPr>
          <w:rFonts w:cstheme="minorHAnsi"/>
          <w:lang w:val="en-GB" w:eastAsia="en-US"/>
        </w:rPr>
        <w:t>.</w:t>
      </w:r>
    </w:p>
    <w:p w14:paraId="349B91F0" w14:textId="03852A97" w:rsidR="00B17B73" w:rsidRPr="00002C7A" w:rsidRDefault="00000000" w:rsidP="00500B2F">
      <w:pPr>
        <w:pStyle w:val="ParagraphNumbered2"/>
        <w:jc w:val="both"/>
        <w:rPr>
          <w:lang w:val="en-GB" w:eastAsia="en-US"/>
        </w:rPr>
      </w:pPr>
      <m:oMath>
        <m:sSub>
          <m:sSubPr>
            <m:ctrlPr>
              <w:rPr>
                <w:rFonts w:ascii="Cambria Math" w:hAnsi="Cambria Math"/>
                <w:i/>
                <w:lang w:val="en-GB" w:eastAsia="en-US"/>
              </w:rPr>
            </m:ctrlPr>
          </m:sSubPr>
          <m:e>
            <m:r>
              <w:rPr>
                <w:rFonts w:ascii="Cambria Math" w:hAnsi="Cambria Math"/>
                <w:lang w:val="en-GB" w:eastAsia="en-US"/>
              </w:rPr>
              <m:t>Population</m:t>
            </m:r>
          </m:e>
          <m:sub>
            <m:r>
              <w:rPr>
                <w:rFonts w:ascii="Cambria Math" w:hAnsi="Cambria Math"/>
                <w:lang w:val="en-GB" w:eastAsia="en-US"/>
              </w:rPr>
              <m:t>i</m:t>
            </m:r>
          </m:sub>
        </m:sSub>
      </m:oMath>
      <w:r w:rsidR="00B6157D" w:rsidRPr="00002C7A">
        <w:rPr>
          <w:lang w:val="en-GB" w:eastAsia="en-US"/>
        </w:rPr>
        <w:t xml:space="preserve"> </w:t>
      </w:r>
      <w:r w:rsidR="00B17B73" w:rsidRPr="00002C7A">
        <w:rPr>
          <w:lang w:val="en-GB" w:eastAsia="en-US"/>
        </w:rPr>
        <w:t xml:space="preserve">– our </w:t>
      </w:r>
      <w:r w:rsidR="00AA2D39" w:rsidRPr="00002C7A">
        <w:rPr>
          <w:lang w:val="en-GB" w:eastAsia="en-US"/>
        </w:rPr>
        <w:t xml:space="preserve">first </w:t>
      </w:r>
      <w:r w:rsidR="00B17B73" w:rsidRPr="00002C7A">
        <w:rPr>
          <w:lang w:val="en-GB"/>
        </w:rPr>
        <w:t>variable</w:t>
      </w:r>
      <w:r w:rsidR="00B17B73" w:rsidRPr="00002C7A">
        <w:rPr>
          <w:lang w:val="en-GB" w:eastAsia="en-US"/>
        </w:rPr>
        <w:t xml:space="preserve"> of interest – represents the </w:t>
      </w:r>
      <w:r w:rsidR="00B24193" w:rsidRPr="00002C7A">
        <w:rPr>
          <w:lang w:val="en-GB" w:eastAsia="en-US"/>
        </w:rPr>
        <w:t>population of t</w:t>
      </w:r>
      <w:r w:rsidR="005F479B" w:rsidRPr="00002C7A">
        <w:rPr>
          <w:lang w:val="en-GB" w:eastAsia="en-US"/>
        </w:rPr>
        <w:t xml:space="preserve">he </w:t>
      </w:r>
      <w:r w:rsidR="00F57A7B" w:rsidRPr="00002C7A">
        <w:rPr>
          <w:lang w:val="en-GB" w:eastAsia="en-US"/>
        </w:rPr>
        <w:t>country of incorporation</w:t>
      </w:r>
      <w:r w:rsidR="005F479B" w:rsidRPr="00002C7A">
        <w:rPr>
          <w:lang w:val="en-GB" w:eastAsia="en-US"/>
        </w:rPr>
        <w:t xml:space="preserve"> </w:t>
      </w:r>
      <w:r w:rsidR="00D232AE" w:rsidRPr="00002C7A">
        <w:rPr>
          <w:lang w:val="en-GB" w:eastAsia="en-US"/>
        </w:rPr>
        <w:t xml:space="preserve">of each telecoms operator </w:t>
      </w:r>
      <m:oMath>
        <m:r>
          <w:rPr>
            <w:rFonts w:ascii="Cambria Math" w:hAnsi="Cambria Math"/>
            <w:lang w:val="en-GB" w:eastAsia="en-US"/>
          </w:rPr>
          <m:t>i</m:t>
        </m:r>
      </m:oMath>
      <w:r w:rsidR="00B17B73" w:rsidRPr="00002C7A">
        <w:rPr>
          <w:rFonts w:cstheme="minorHAnsi"/>
          <w:lang w:val="en-GB" w:eastAsia="en-US"/>
        </w:rPr>
        <w:t>, measured in log.</w:t>
      </w:r>
      <w:r w:rsidR="00301999" w:rsidRPr="00002C7A">
        <w:rPr>
          <w:rStyle w:val="FootnoteReference"/>
          <w:rFonts w:cstheme="minorHAnsi"/>
          <w:lang w:val="en-GB" w:eastAsia="en-US"/>
        </w:rPr>
        <w:footnoteReference w:id="43"/>
      </w:r>
    </w:p>
    <w:bookmarkEnd w:id="276"/>
    <w:p w14:paraId="40B0489F" w14:textId="1C3839FE" w:rsidR="00022E49" w:rsidRPr="00002C7A" w:rsidRDefault="00000000" w:rsidP="00500B2F">
      <w:pPr>
        <w:pStyle w:val="ParagraphNumbered2"/>
        <w:jc w:val="both"/>
        <w:rPr>
          <w:lang w:val="en-GB" w:eastAsia="en-US"/>
        </w:rPr>
      </w:pPr>
      <m:oMath>
        <m:sSub>
          <m:sSubPr>
            <m:ctrlPr>
              <w:rPr>
                <w:rFonts w:ascii="Cambria Math" w:hAnsi="Cambria Math"/>
                <w:i/>
                <w:lang w:val="en-GB" w:eastAsia="en-US"/>
              </w:rPr>
            </m:ctrlPr>
          </m:sSubPr>
          <m:e>
            <m:r>
              <w:rPr>
                <w:rFonts w:ascii="Cambria Math" w:hAnsi="Cambria Math"/>
                <w:lang w:val="en-GB" w:eastAsia="en-US"/>
              </w:rPr>
              <m:t>Land area</m:t>
            </m:r>
          </m:e>
          <m:sub>
            <m:r>
              <w:rPr>
                <w:rFonts w:ascii="Cambria Math" w:hAnsi="Cambria Math"/>
                <w:lang w:val="en-GB" w:eastAsia="en-US"/>
              </w:rPr>
              <m:t>i</m:t>
            </m:r>
          </m:sub>
        </m:sSub>
      </m:oMath>
      <w:r w:rsidR="00A87D18" w:rsidRPr="00002C7A">
        <w:rPr>
          <w:lang w:val="en-GB" w:eastAsia="en-US"/>
        </w:rPr>
        <w:t xml:space="preserve"> </w:t>
      </w:r>
      <w:r w:rsidR="00022E49" w:rsidRPr="00002C7A">
        <w:rPr>
          <w:lang w:val="en-GB" w:eastAsia="en-US"/>
        </w:rPr>
        <w:t xml:space="preserve">– our </w:t>
      </w:r>
      <w:r w:rsidR="00022E49" w:rsidRPr="00002C7A">
        <w:rPr>
          <w:lang w:val="en-GB"/>
        </w:rPr>
        <w:t>second</w:t>
      </w:r>
      <w:r w:rsidR="00022E49" w:rsidRPr="00002C7A">
        <w:rPr>
          <w:lang w:val="en-GB" w:eastAsia="en-US"/>
        </w:rPr>
        <w:t xml:space="preserve"> variable of interest – represents the land area of the </w:t>
      </w:r>
      <w:r w:rsidR="00F57A7B" w:rsidRPr="00002C7A">
        <w:rPr>
          <w:lang w:val="en-GB" w:eastAsia="en-US"/>
        </w:rPr>
        <w:t>country of incorporation</w:t>
      </w:r>
      <w:r w:rsidR="00022E49" w:rsidRPr="00002C7A">
        <w:rPr>
          <w:lang w:val="en-GB" w:eastAsia="en-US"/>
        </w:rPr>
        <w:t xml:space="preserve"> of each telecoms operator </w:t>
      </w:r>
      <m:oMath>
        <m:r>
          <w:rPr>
            <w:rFonts w:ascii="Cambria Math" w:hAnsi="Cambria Math"/>
            <w:lang w:val="en-GB" w:eastAsia="en-US"/>
          </w:rPr>
          <m:t>i</m:t>
        </m:r>
      </m:oMath>
      <w:r w:rsidR="00022E49" w:rsidRPr="00002C7A">
        <w:rPr>
          <w:rFonts w:cstheme="minorHAnsi"/>
          <w:lang w:val="en-GB" w:eastAsia="en-US"/>
        </w:rPr>
        <w:t>, measured in log.</w:t>
      </w:r>
      <w:r w:rsidR="00301999" w:rsidRPr="00002C7A">
        <w:rPr>
          <w:rStyle w:val="FootnoteReference"/>
          <w:rFonts w:cstheme="minorHAnsi"/>
          <w:lang w:val="en-GB" w:eastAsia="en-US"/>
        </w:rPr>
        <w:footnoteReference w:id="44"/>
      </w:r>
    </w:p>
    <w:p w14:paraId="5C342C12" w14:textId="0859F33A" w:rsidR="00644943" w:rsidRPr="00002C7A" w:rsidRDefault="00000000" w:rsidP="00500B2F">
      <w:pPr>
        <w:pStyle w:val="ParagraphNumbered2"/>
        <w:jc w:val="both"/>
        <w:rPr>
          <w:lang w:val="en-GB"/>
        </w:rPr>
      </w:pPr>
      <m:oMath>
        <m:sSub>
          <m:sSubPr>
            <m:ctrlPr>
              <w:rPr>
                <w:rFonts w:ascii="Cambria Math" w:hAnsi="Cambria Math"/>
                <w:i/>
                <w:lang w:val="en-GB" w:eastAsia="en-US"/>
              </w:rPr>
            </m:ctrlPr>
          </m:sSubPr>
          <m:e>
            <m:r>
              <w:rPr>
                <w:rFonts w:ascii="Cambria Math" w:hAnsi="Cambria Math"/>
                <w:lang w:val="en-GB" w:eastAsia="en-US"/>
              </w:rPr>
              <m:t>GDP per capita</m:t>
            </m:r>
          </m:e>
          <m:sub>
            <m:r>
              <w:rPr>
                <w:rFonts w:ascii="Cambria Math" w:hAnsi="Cambria Math"/>
                <w:lang w:val="en-GB" w:eastAsia="en-US"/>
              </w:rPr>
              <m:t>i</m:t>
            </m:r>
          </m:sub>
        </m:sSub>
      </m:oMath>
      <w:r w:rsidR="00A87D18" w:rsidRPr="00002C7A">
        <w:rPr>
          <w:lang w:val="en-GB" w:eastAsia="en-US"/>
        </w:rPr>
        <w:t xml:space="preserve"> </w:t>
      </w:r>
      <w:r w:rsidR="00A87D18" w:rsidRPr="00002C7A">
        <w:rPr>
          <w:lang w:val="en-GB"/>
        </w:rPr>
        <w:t>represents</w:t>
      </w:r>
      <w:r w:rsidR="00A87D18" w:rsidRPr="00002C7A">
        <w:rPr>
          <w:lang w:val="en-GB" w:eastAsia="en-US"/>
        </w:rPr>
        <w:t xml:space="preserve"> the GDP per capita</w:t>
      </w:r>
      <w:r w:rsidR="00794DE3" w:rsidRPr="00002C7A">
        <w:rPr>
          <w:lang w:val="en-GB" w:eastAsia="en-US"/>
        </w:rPr>
        <w:t xml:space="preserve"> </w:t>
      </w:r>
      <w:r w:rsidR="00A87D18" w:rsidRPr="00002C7A">
        <w:rPr>
          <w:lang w:val="en-GB" w:eastAsia="en-US"/>
        </w:rPr>
        <w:t xml:space="preserve">of the country </w:t>
      </w:r>
      <w:r w:rsidR="00F57A7B" w:rsidRPr="00002C7A">
        <w:rPr>
          <w:lang w:val="en-GB" w:eastAsia="en-US"/>
        </w:rPr>
        <w:t xml:space="preserve">of incorporation </w:t>
      </w:r>
      <w:r w:rsidR="00A87D18" w:rsidRPr="00002C7A">
        <w:rPr>
          <w:lang w:val="en-GB" w:eastAsia="en-US"/>
        </w:rPr>
        <w:t xml:space="preserve">of each telecoms operator </w:t>
      </w:r>
      <m:oMath>
        <m:r>
          <w:rPr>
            <w:rFonts w:ascii="Cambria Math" w:hAnsi="Cambria Math"/>
            <w:lang w:val="en-GB" w:eastAsia="en-US"/>
          </w:rPr>
          <m:t>i</m:t>
        </m:r>
      </m:oMath>
      <w:r w:rsidR="0078713F" w:rsidRPr="00002C7A">
        <w:rPr>
          <w:rFonts w:cstheme="minorHAnsi"/>
          <w:lang w:val="en-GB" w:eastAsia="en-US"/>
        </w:rPr>
        <w:t>,</w:t>
      </w:r>
      <w:r w:rsidR="00794DE3" w:rsidRPr="00002C7A">
        <w:rPr>
          <w:rFonts w:cstheme="minorHAnsi"/>
          <w:lang w:val="en-GB" w:eastAsia="en-US"/>
        </w:rPr>
        <w:t xml:space="preserve"> expressed in 2015 USD</w:t>
      </w:r>
      <w:r w:rsidR="00A87D18" w:rsidRPr="00002C7A">
        <w:rPr>
          <w:rFonts w:cstheme="minorHAnsi"/>
          <w:lang w:val="en-GB" w:eastAsia="en-US"/>
        </w:rPr>
        <w:t xml:space="preserve"> </w:t>
      </w:r>
      <w:r w:rsidR="0078713F" w:rsidRPr="00002C7A">
        <w:rPr>
          <w:rFonts w:cstheme="minorHAnsi"/>
          <w:lang w:val="en-GB" w:eastAsia="en-US"/>
        </w:rPr>
        <w:t xml:space="preserve">and </w:t>
      </w:r>
      <w:r w:rsidR="00A87D18" w:rsidRPr="00002C7A">
        <w:rPr>
          <w:rFonts w:cstheme="minorHAnsi"/>
          <w:lang w:val="en-GB" w:eastAsia="en-US"/>
        </w:rPr>
        <w:t>measured in log.</w:t>
      </w:r>
      <w:r w:rsidR="00301999" w:rsidRPr="00002C7A">
        <w:rPr>
          <w:rStyle w:val="FootnoteReference"/>
          <w:rFonts w:cstheme="minorHAnsi"/>
          <w:lang w:val="en-GB" w:eastAsia="en-US"/>
        </w:rPr>
        <w:footnoteReference w:id="45"/>
      </w:r>
    </w:p>
    <w:p w14:paraId="6AE93B5D" w14:textId="0EAA26C6" w:rsidR="00B5159C" w:rsidRPr="00002C7A" w:rsidRDefault="00E43021" w:rsidP="00500B2F">
      <w:pPr>
        <w:pStyle w:val="ParagraphNumbered"/>
        <w:jc w:val="both"/>
        <w:rPr>
          <w:lang w:val="en-GB"/>
        </w:rPr>
      </w:pPr>
      <w:r w:rsidRPr="00002C7A">
        <w:rPr>
          <w:lang w:val="en-GB"/>
        </w:rPr>
        <w:t>The regression calculates the impact on the asset beta of a hypothetical variation in country size, measured as population and land area, controlling for GDP per capita. We expect that, if country size affects the systematic risk of telecoms operators, the regression result yields coefficients that are statistically significant for the explanatory variables of population and land area.</w:t>
      </w:r>
      <w:r w:rsidR="00EB5170" w:rsidRPr="00002C7A">
        <w:rPr>
          <w:rStyle w:val="FootnoteReference"/>
          <w:lang w:val="en-GB"/>
        </w:rPr>
        <w:footnoteReference w:id="46"/>
      </w:r>
      <w:r w:rsidRPr="00002C7A">
        <w:rPr>
          <w:lang w:val="en-GB"/>
        </w:rPr>
        <w:t xml:space="preserve"> </w:t>
      </w:r>
    </w:p>
    <w:p w14:paraId="481DAF6A" w14:textId="536FA218" w:rsidR="00AA42E1" w:rsidRPr="00002C7A" w:rsidRDefault="000C527D" w:rsidP="7D7C68EB">
      <w:pPr>
        <w:pStyle w:val="ParagraphNumbered"/>
        <w:jc w:val="both"/>
        <w:rPr>
          <w:lang w:val="en-GB" w:eastAsia="en-US"/>
        </w:rPr>
      </w:pPr>
      <w:r w:rsidRPr="00002C7A">
        <w:rPr>
          <w:lang w:val="en-GB"/>
        </w:rPr>
        <w:fldChar w:fldCharType="begin"/>
      </w:r>
      <w:r w:rsidRPr="00002C7A">
        <w:rPr>
          <w:lang w:val="en-GB"/>
        </w:rPr>
        <w:instrText xml:space="preserve"> REF _Ref217035834 \h </w:instrText>
      </w:r>
      <w:r w:rsidRPr="00002C7A">
        <w:rPr>
          <w:lang w:val="en-GB"/>
        </w:rPr>
      </w:r>
      <w:r w:rsidRPr="00002C7A">
        <w:rPr>
          <w:lang w:val="en-GB"/>
        </w:rPr>
        <w:fldChar w:fldCharType="separate"/>
      </w:r>
      <w:r w:rsidR="007F093A">
        <w:t xml:space="preserve">Table </w:t>
      </w:r>
      <w:r w:rsidR="007F093A">
        <w:rPr>
          <w:noProof/>
        </w:rPr>
        <w:t>11</w:t>
      </w:r>
      <w:r w:rsidRPr="00002C7A">
        <w:rPr>
          <w:lang w:val="en-GB"/>
        </w:rPr>
        <w:fldChar w:fldCharType="end"/>
      </w:r>
      <w:r w:rsidR="6AF6F642" w:rsidRPr="00002C7A">
        <w:rPr>
          <w:lang w:val="en-GB"/>
        </w:rPr>
        <w:t xml:space="preserve"> </w:t>
      </w:r>
      <w:r w:rsidR="7AECA5A1" w:rsidRPr="00002C7A">
        <w:rPr>
          <w:lang w:val="en-GB"/>
        </w:rPr>
        <w:t>reports</w:t>
      </w:r>
      <w:r w:rsidR="6AF6F642" w:rsidRPr="00002C7A">
        <w:rPr>
          <w:lang w:val="en-GB"/>
        </w:rPr>
        <w:t xml:space="preserve"> the results of the </w:t>
      </w:r>
      <w:r w:rsidR="7AECA5A1" w:rsidRPr="00002C7A">
        <w:rPr>
          <w:lang w:val="en-GB"/>
        </w:rPr>
        <w:t>regression</w:t>
      </w:r>
      <w:r w:rsidR="4EB882D6" w:rsidRPr="00002C7A">
        <w:rPr>
          <w:lang w:val="en-GB"/>
        </w:rPr>
        <w:t>.</w:t>
      </w:r>
      <w:r w:rsidR="0B54F5CF" w:rsidRPr="00002C7A">
        <w:rPr>
          <w:lang w:val="en-GB"/>
        </w:rPr>
        <w:t xml:space="preserve"> Overall, we find no evidence of a statistically significant relation between land area and population and a fi</w:t>
      </w:r>
      <w:r w:rsidR="008D3BBD" w:rsidRPr="00002C7A">
        <w:rPr>
          <w:lang w:val="en-GB"/>
        </w:rPr>
        <w:t>r</w:t>
      </w:r>
      <w:r w:rsidR="0B54F5CF" w:rsidRPr="00002C7A">
        <w:rPr>
          <w:lang w:val="en-GB"/>
        </w:rPr>
        <w:t xml:space="preserve">m’s beta. </w:t>
      </w:r>
      <w:r w:rsidR="0B54F5CF" w:rsidRPr="00002C7A">
        <w:rPr>
          <w:lang w:val="en-GB" w:eastAsia="en-US"/>
        </w:rPr>
        <w:t xml:space="preserve">None of the regression coefficients are statistically significant, indicating that land area and population do </w:t>
      </w:r>
      <w:r w:rsidR="0B54F5CF" w:rsidRPr="00002C7A">
        <w:rPr>
          <w:lang w:val="en-GB"/>
        </w:rPr>
        <w:t>not</w:t>
      </w:r>
      <w:r w:rsidR="0B54F5CF" w:rsidRPr="00002C7A">
        <w:rPr>
          <w:lang w:val="en-GB" w:eastAsia="en-US"/>
        </w:rPr>
        <w:t xml:space="preserve"> affect beta.</w:t>
      </w:r>
      <w:r w:rsidR="00497ED1" w:rsidRPr="00002C7A">
        <w:rPr>
          <w:rStyle w:val="FootnoteReference"/>
          <w:lang w:val="en-GB" w:eastAsia="en-US"/>
        </w:rPr>
        <w:footnoteReference w:id="47"/>
      </w:r>
      <w:r w:rsidR="0B54F5CF" w:rsidRPr="00002C7A">
        <w:rPr>
          <w:lang w:val="en-GB" w:eastAsia="en-US"/>
        </w:rPr>
        <w:t xml:space="preserve"> Hence, we conclude that there is no impact of country size on the systematic risk of telecoms operators and, as a result, there is no need to adjust the asset beta to account for Georgia’s relatively small size</w:t>
      </w:r>
      <w:r w:rsidR="00D63069" w:rsidRPr="00002C7A">
        <w:rPr>
          <w:lang w:val="en-GB" w:eastAsia="en-US"/>
        </w:rPr>
        <w:t>.</w:t>
      </w:r>
    </w:p>
    <w:p w14:paraId="6AF09221" w14:textId="76366A57" w:rsidR="000C527D" w:rsidRDefault="0031114F" w:rsidP="000C527D">
      <w:pPr>
        <w:pStyle w:val="Caption"/>
        <w:jc w:val="both"/>
      </w:pPr>
      <w:bookmarkStart w:id="277" w:name="_Ref217035834"/>
      <w:bookmarkStart w:id="278" w:name="_Toc219739803"/>
      <w:bookmarkStart w:id="279" w:name="_Toc217060087"/>
      <w:bookmarkStart w:id="280" w:name="_Hlk219731593"/>
      <w:r>
        <w:lastRenderedPageBreak/>
        <w:t xml:space="preserve">Table </w:t>
      </w:r>
      <w:fldSimple w:instr=" SEQ Table \* ARABIC ">
        <w:r w:rsidR="007F093A">
          <w:rPr>
            <w:noProof/>
          </w:rPr>
          <w:t>11</w:t>
        </w:r>
      </w:fldSimple>
      <w:bookmarkEnd w:id="277"/>
      <w:r w:rsidR="000C527D">
        <w:t>: Regression results of populations and country size on asset beta</w:t>
      </w:r>
      <w:bookmarkEnd w:id="278"/>
      <w:bookmarkEnd w:id="279"/>
    </w:p>
    <w:p w14:paraId="60F7A83E" w14:textId="60A37E63" w:rsidR="00BB4405" w:rsidRPr="00BB4405" w:rsidRDefault="008168CE" w:rsidP="00500B2F">
      <w:pPr>
        <w:pStyle w:val="Figure"/>
        <w:jc w:val="both"/>
      </w:pPr>
      <w:r w:rsidRPr="008168CE">
        <w:drawing>
          <wp:inline distT="0" distB="0" distL="0" distR="0" wp14:anchorId="7C2CD524" wp14:editId="64E70ECD">
            <wp:extent cx="1976120" cy="2890520"/>
            <wp:effectExtent l="0" t="0" r="5080" b="0"/>
            <wp:docPr id="8504735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6120" cy="2890520"/>
                    </a:xfrm>
                    <a:prstGeom prst="rect">
                      <a:avLst/>
                    </a:prstGeom>
                    <a:noFill/>
                    <a:ln>
                      <a:noFill/>
                    </a:ln>
                  </pic:spPr>
                </pic:pic>
              </a:graphicData>
            </a:graphic>
          </wp:inline>
        </w:drawing>
      </w:r>
    </w:p>
    <w:bookmarkEnd w:id="280"/>
    <w:p w14:paraId="550F2D18" w14:textId="6F4BEC14" w:rsidR="002D375D" w:rsidRDefault="00273B74" w:rsidP="009C72E3">
      <w:pPr>
        <w:pStyle w:val="ParagraphNumbered"/>
        <w:jc w:val="both"/>
      </w:pPr>
      <w:r>
        <w:t xml:space="preserve">We note that during </w:t>
      </w:r>
      <w:r w:rsidR="008518B0">
        <w:t>the public consultation</w:t>
      </w:r>
      <w:r>
        <w:t xml:space="preserve">, one of the stakeholders </w:t>
      </w:r>
      <w:r w:rsidR="009D5AA0">
        <w:t>claimed that</w:t>
      </w:r>
      <w:r w:rsidR="002D375D">
        <w:t>:</w:t>
      </w:r>
    </w:p>
    <w:p w14:paraId="0B152A2B" w14:textId="23842DA5" w:rsidR="00AF2473" w:rsidRDefault="002D375D" w:rsidP="002D375D">
      <w:pPr>
        <w:pStyle w:val="ParagraphNumbered2"/>
      </w:pPr>
      <w:r>
        <w:t>companies with a lower market capitalisation had higher betas, because their smaller size meant that</w:t>
      </w:r>
      <w:r w:rsidR="009D5AA0">
        <w:t xml:space="preserve"> </w:t>
      </w:r>
      <w:r w:rsidR="00944744">
        <w:t xml:space="preserve">they were </w:t>
      </w:r>
      <w:r w:rsidR="00AF2473">
        <w:t>more vulnerable to systematic shocks</w:t>
      </w:r>
      <w:r w:rsidR="00BC5DD6">
        <w:t>;</w:t>
      </w:r>
    </w:p>
    <w:p w14:paraId="1A2DE052" w14:textId="397B8084" w:rsidR="00C77E72" w:rsidRDefault="00C0339E" w:rsidP="002D375D">
      <w:pPr>
        <w:pStyle w:val="ParagraphNumbered2"/>
      </w:pPr>
      <w:r>
        <w:t xml:space="preserve">The companies in </w:t>
      </w:r>
      <w:r w:rsidR="00AA1F7D">
        <w:t>o</w:t>
      </w:r>
      <w:r w:rsidR="009C72E3">
        <w:t xml:space="preserve">ur </w:t>
      </w:r>
      <w:r w:rsidR="00381DB2">
        <w:t>peer group</w:t>
      </w:r>
      <w:r w:rsidR="009C72E3">
        <w:t xml:space="preserve"> </w:t>
      </w:r>
      <w:r w:rsidR="00AA1F7D">
        <w:t>had a</w:t>
      </w:r>
      <w:r w:rsidR="00381DB2">
        <w:t xml:space="preserve"> </w:t>
      </w:r>
      <w:r>
        <w:t>higher market capitalisation than the Ge</w:t>
      </w:r>
      <w:r w:rsidR="00960EF4">
        <w:t xml:space="preserve">orgian operators, with the results that our analysis would underestimate the beta for Georgian telecoms operators. </w:t>
      </w:r>
    </w:p>
    <w:p w14:paraId="1069768B" w14:textId="5E720022" w:rsidR="00350741" w:rsidRPr="00350741" w:rsidRDefault="00F42DE9" w:rsidP="00C77E72">
      <w:pPr>
        <w:pStyle w:val="ParagraphNumbered"/>
      </w:pPr>
      <w:r>
        <w:t xml:space="preserve">As noted above, </w:t>
      </w:r>
      <w:r w:rsidR="007520B8">
        <w:t>the area to be covered, the population to be served and the average GDP per capit</w:t>
      </w:r>
      <w:r w:rsidR="00056635">
        <w:t>a</w:t>
      </w:r>
      <w:r w:rsidR="007520B8">
        <w:t xml:space="preserve"> </w:t>
      </w:r>
      <w:r w:rsidR="007C2C2F">
        <w:t xml:space="preserve">are </w:t>
      </w:r>
      <w:r w:rsidR="00FA1BD2">
        <w:t xml:space="preserve">relevant </w:t>
      </w:r>
      <w:r w:rsidR="0022508F">
        <w:t xml:space="preserve">to the deployment and </w:t>
      </w:r>
      <w:r w:rsidR="00356F56">
        <w:t xml:space="preserve">operation of a telecoms network. </w:t>
      </w:r>
      <w:r w:rsidR="00DC36EC">
        <w:t>In contrast it is not clear why a higher or lower market capitalization should affect the systematic risk</w:t>
      </w:r>
      <w:r w:rsidR="0062792C">
        <w:t xml:space="preserve"> of a telecoms operator</w:t>
      </w:r>
      <w:r w:rsidR="000F04A9">
        <w:t>, and specifically the relationship between the operator’s returns and the return on the index, which is what beta measures</w:t>
      </w:r>
      <w:r w:rsidR="0062792C">
        <w:t>.</w:t>
      </w:r>
      <w:r w:rsidR="000F04A9">
        <w:t xml:space="preserve"> </w:t>
      </w:r>
      <w:r w:rsidR="00DC36EC">
        <w:t>The above</w:t>
      </w:r>
      <w:r w:rsidR="00914A7B">
        <w:t xml:space="preserve"> </w:t>
      </w:r>
      <w:r w:rsidR="00DC36EC">
        <w:t xml:space="preserve">notwithstanding, we have run a regression of </w:t>
      </w:r>
      <w:r w:rsidR="005166BE">
        <w:t>the estimated 5-year betas on the market capitalization of the compan</w:t>
      </w:r>
      <w:r w:rsidR="00892A31">
        <w:t>ies in our sample</w:t>
      </w:r>
      <w:r w:rsidR="0068279E">
        <w:t>, measured in thousands of Euros</w:t>
      </w:r>
      <w:r w:rsidR="00892A31">
        <w:t xml:space="preserve">. </w:t>
      </w:r>
    </w:p>
    <w:p w14:paraId="5F7683FE" w14:textId="5910D41E" w:rsidR="00381DB2" w:rsidRPr="00350741" w:rsidRDefault="00EF7E65" w:rsidP="00350741">
      <w:pPr>
        <w:pStyle w:val="ParagraphNumbered"/>
        <w:jc w:val="both"/>
      </w:pPr>
      <w:r>
        <w:rPr>
          <w:lang w:val="en-GB"/>
        </w:rPr>
        <w:fldChar w:fldCharType="begin"/>
      </w:r>
      <w:r>
        <w:rPr>
          <w:lang w:val="en-GB"/>
        </w:rPr>
        <w:instrText xml:space="preserve"> REF _Ref219731656 \h </w:instrText>
      </w:r>
      <w:r>
        <w:rPr>
          <w:lang w:val="en-GB"/>
        </w:rPr>
      </w:r>
      <w:r>
        <w:rPr>
          <w:lang w:val="en-GB"/>
        </w:rPr>
        <w:fldChar w:fldCharType="separate"/>
      </w:r>
      <w:r w:rsidR="007F093A">
        <w:t xml:space="preserve">Table </w:t>
      </w:r>
      <w:r w:rsidR="007F093A">
        <w:rPr>
          <w:noProof/>
        </w:rPr>
        <w:t>12</w:t>
      </w:r>
      <w:r>
        <w:rPr>
          <w:lang w:val="en-GB"/>
        </w:rPr>
        <w:fldChar w:fldCharType="end"/>
      </w:r>
      <w:r>
        <w:rPr>
          <w:lang w:val="en-GB"/>
        </w:rPr>
        <w:t xml:space="preserve"> </w:t>
      </w:r>
      <w:r w:rsidR="009727C3" w:rsidRPr="00002C7A">
        <w:rPr>
          <w:lang w:val="en-GB"/>
        </w:rPr>
        <w:t xml:space="preserve">reports the results of the regression. </w:t>
      </w:r>
      <w:r w:rsidR="00441CE5">
        <w:rPr>
          <w:lang w:val="en-GB"/>
        </w:rPr>
        <w:t>W</w:t>
      </w:r>
      <w:r w:rsidR="009727C3" w:rsidRPr="00002C7A">
        <w:rPr>
          <w:lang w:val="en-GB"/>
        </w:rPr>
        <w:t xml:space="preserve">e find no evidence of a statistically significant relation between </w:t>
      </w:r>
      <w:r w:rsidR="00092A64">
        <w:rPr>
          <w:lang w:val="en-GB"/>
        </w:rPr>
        <w:t>market capitalization</w:t>
      </w:r>
      <w:r w:rsidR="009727C3" w:rsidRPr="00002C7A">
        <w:rPr>
          <w:lang w:val="en-GB"/>
        </w:rPr>
        <w:t xml:space="preserve"> and a firm’s beta. </w:t>
      </w:r>
      <w:r w:rsidR="00092A64">
        <w:rPr>
          <w:lang w:val="en-GB"/>
        </w:rPr>
        <w:t xml:space="preserve">The estimated coefficient is </w:t>
      </w:r>
      <w:r w:rsidR="001A77BD">
        <w:rPr>
          <w:lang w:val="en-GB"/>
        </w:rPr>
        <w:t>very close to</w:t>
      </w:r>
      <w:r w:rsidR="00092A64">
        <w:rPr>
          <w:lang w:val="en-GB"/>
        </w:rPr>
        <w:t xml:space="preserve"> zero </w:t>
      </w:r>
      <w:r w:rsidR="0068279E">
        <w:rPr>
          <w:lang w:val="en-GB"/>
        </w:rPr>
        <w:t>(</w:t>
      </w:r>
      <w:r w:rsidR="009A4063">
        <w:rPr>
          <w:lang w:val="en-GB"/>
        </w:rPr>
        <w:t xml:space="preserve">close to </w:t>
      </w:r>
      <m:oMath>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-7</m:t>
            </m:r>
          </m:sup>
        </m:sSup>
        <m:r>
          <w:rPr>
            <w:rFonts w:ascii="Cambria Math" w:hAnsi="Cambria Math"/>
            <w:lang w:val="en-GB"/>
          </w:rPr>
          <m:t xml:space="preserve"> in absolute value </m:t>
        </m:r>
      </m:oMath>
      <w:r w:rsidR="0068279E">
        <w:rPr>
          <w:lang w:val="en-GB"/>
        </w:rPr>
        <w:t>)</w:t>
      </w:r>
      <w:r w:rsidR="00092A64">
        <w:rPr>
          <w:lang w:val="en-GB"/>
        </w:rPr>
        <w:t xml:space="preserve"> </w:t>
      </w:r>
      <w:r w:rsidR="001A77BD">
        <w:rPr>
          <w:lang w:val="en-GB"/>
        </w:rPr>
        <w:t>and not statistically significant</w:t>
      </w:r>
      <w:r w:rsidR="009727C3" w:rsidRPr="00002C7A">
        <w:rPr>
          <w:lang w:val="en-GB" w:eastAsia="en-US"/>
        </w:rPr>
        <w:t>.</w:t>
      </w:r>
      <w:r w:rsidR="00D673D4">
        <w:rPr>
          <w:lang w:val="en-GB" w:eastAsia="en-US"/>
        </w:rPr>
        <w:t xml:space="preserve"> We conclude that our analysis does not underestimate the beta for Georgian telecoms operators. </w:t>
      </w:r>
    </w:p>
    <w:p w14:paraId="321BAFD0" w14:textId="1317287B" w:rsidR="00BC0CB6" w:rsidRDefault="00BC0CB6" w:rsidP="00BC0CB6">
      <w:pPr>
        <w:pStyle w:val="Caption"/>
        <w:jc w:val="both"/>
      </w:pPr>
      <w:bookmarkStart w:id="281" w:name="_Ref219731656"/>
      <w:bookmarkStart w:id="282" w:name="_Toc219739804"/>
      <w:r>
        <w:lastRenderedPageBreak/>
        <w:t xml:space="preserve">Table </w:t>
      </w:r>
      <w:fldSimple w:instr=" SEQ Table \* ARABIC ">
        <w:r w:rsidR="007F093A">
          <w:rPr>
            <w:noProof/>
          </w:rPr>
          <w:t>12</w:t>
        </w:r>
      </w:fldSimple>
      <w:bookmarkEnd w:id="281"/>
      <w:r>
        <w:t xml:space="preserve">: Regression results of </w:t>
      </w:r>
      <w:r w:rsidR="00426A9D">
        <w:t xml:space="preserve">Market Capitalization </w:t>
      </w:r>
      <w:r>
        <w:t>on asset beta</w:t>
      </w:r>
      <w:bookmarkEnd w:id="282"/>
    </w:p>
    <w:p w14:paraId="6B34921B" w14:textId="67771403" w:rsidR="00BC0CB6" w:rsidRDefault="00507859" w:rsidP="00BC0CB6">
      <w:pPr>
        <w:pStyle w:val="Figure"/>
        <w:jc w:val="both"/>
      </w:pPr>
      <w:r w:rsidRPr="00507859">
        <w:drawing>
          <wp:inline distT="0" distB="0" distL="0" distR="0" wp14:anchorId="570C81D1" wp14:editId="46EF5AB1">
            <wp:extent cx="2171700" cy="2038350"/>
            <wp:effectExtent l="0" t="0" r="0" b="0"/>
            <wp:docPr id="714104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71700" cy="2038350"/>
                    </a:xfrm>
                    <a:prstGeom prst="rect">
                      <a:avLst/>
                    </a:prstGeom>
                    <a:noFill/>
                    <a:ln>
                      <a:noFill/>
                    </a:ln>
                  </pic:spPr>
                </pic:pic>
              </a:graphicData>
            </a:graphic>
          </wp:inline>
        </w:drawing>
      </w:r>
    </w:p>
    <w:p w14:paraId="714A68F0" w14:textId="77777777" w:rsidR="00BC0CB6" w:rsidRPr="00350741" w:rsidRDefault="00BC0CB6" w:rsidP="00BC0CB6">
      <w:pPr>
        <w:pStyle w:val="ParagraphNumbered"/>
        <w:numPr>
          <w:ilvl w:val="0"/>
          <w:numId w:val="0"/>
        </w:numPr>
        <w:jc w:val="both"/>
      </w:pPr>
    </w:p>
    <w:p w14:paraId="1E252D41" w14:textId="77777777" w:rsidR="00E17D1C" w:rsidRPr="008C14A2" w:rsidRDefault="00E17D1C" w:rsidP="00500B2F">
      <w:pPr>
        <w:pStyle w:val="Heading1"/>
        <w:jc w:val="both"/>
      </w:pPr>
      <w:bookmarkStart w:id="283" w:name="_Ref213873490"/>
      <w:bookmarkStart w:id="284" w:name="_Toc219739785"/>
      <w:bookmarkStart w:id="285" w:name="_Toc217060071"/>
      <w:r w:rsidRPr="008C14A2">
        <w:lastRenderedPageBreak/>
        <w:t xml:space="preserve">Cost of </w:t>
      </w:r>
      <w:r w:rsidRPr="004D3571">
        <w:t>Debt</w:t>
      </w:r>
      <w:bookmarkEnd w:id="266"/>
      <w:bookmarkEnd w:id="267"/>
      <w:bookmarkEnd w:id="268"/>
      <w:bookmarkEnd w:id="269"/>
      <w:bookmarkEnd w:id="270"/>
      <w:bookmarkEnd w:id="271"/>
      <w:bookmarkEnd w:id="272"/>
      <w:bookmarkEnd w:id="273"/>
      <w:bookmarkEnd w:id="283"/>
      <w:bookmarkEnd w:id="284"/>
      <w:bookmarkEnd w:id="285"/>
    </w:p>
    <w:p w14:paraId="1345D029" w14:textId="0AC32101" w:rsidR="00E17D1C" w:rsidRPr="00002C7A" w:rsidRDefault="004D3571" w:rsidP="00500B2F">
      <w:pPr>
        <w:pStyle w:val="Heading1Separator"/>
        <w:jc w:val="both"/>
        <w:rPr>
          <w:lang w:val="en-GB"/>
        </w:rPr>
      </w:pPr>
      <w:r w:rsidRPr="00002C7A">
        <w:rPr>
          <w:lang w:val="en-GB"/>
        </w:rPr>
        <w:tab/>
      </w:r>
    </w:p>
    <w:p w14:paraId="4A61F679" w14:textId="35C385BF" w:rsidR="00C41186" w:rsidRPr="00002C7A" w:rsidRDefault="00070354" w:rsidP="00500B2F">
      <w:pPr>
        <w:pStyle w:val="ParagraphNumbered"/>
        <w:jc w:val="both"/>
        <w:rPr>
          <w:lang w:val="en-GB"/>
        </w:rPr>
      </w:pPr>
      <w:r w:rsidRPr="00002C7A">
        <w:rPr>
          <w:lang w:val="en-GB"/>
        </w:rPr>
        <w:t xml:space="preserve">In 2020, PwC calculated the cost of debt </w:t>
      </w:r>
      <w:r w:rsidR="00EB5C80" w:rsidRPr="00002C7A">
        <w:rPr>
          <w:lang w:val="en-GB"/>
        </w:rPr>
        <w:t xml:space="preserve">as the sum of a debt premium over the risk-free rate. </w:t>
      </w:r>
      <w:r w:rsidR="00AF78DD" w:rsidRPr="00002C7A">
        <w:rPr>
          <w:lang w:val="en-GB"/>
        </w:rPr>
        <w:t xml:space="preserve">The debt premium, in turn, was </w:t>
      </w:r>
      <w:r w:rsidR="00C00E06" w:rsidRPr="00002C7A">
        <w:rPr>
          <w:lang w:val="en-GB"/>
        </w:rPr>
        <w:t>calculated</w:t>
      </w:r>
      <w:r w:rsidR="00AF78DD" w:rsidRPr="00002C7A">
        <w:rPr>
          <w:lang w:val="en-GB"/>
        </w:rPr>
        <w:t xml:space="preserve"> </w:t>
      </w:r>
      <w:r w:rsidRPr="00002C7A">
        <w:rPr>
          <w:lang w:val="en-GB"/>
        </w:rPr>
        <w:t xml:space="preserve">by </w:t>
      </w:r>
      <w:r w:rsidR="004170FD" w:rsidRPr="00002C7A">
        <w:rPr>
          <w:lang w:val="en-GB"/>
        </w:rPr>
        <w:t>subtracting the risk-free rate from</w:t>
      </w:r>
      <w:r w:rsidR="002D62C5" w:rsidRPr="00002C7A">
        <w:rPr>
          <w:lang w:val="en-GB"/>
        </w:rPr>
        <w:t xml:space="preserve"> the one-year average </w:t>
      </w:r>
      <w:r w:rsidR="00DC5888" w:rsidRPr="00002C7A">
        <w:rPr>
          <w:lang w:val="en-GB"/>
        </w:rPr>
        <w:t xml:space="preserve">interest rate on </w:t>
      </w:r>
      <w:r w:rsidR="00C21513" w:rsidRPr="00002C7A">
        <w:rPr>
          <w:lang w:val="en-GB"/>
        </w:rPr>
        <w:t xml:space="preserve">corporate </w:t>
      </w:r>
      <w:r w:rsidR="00DC5888" w:rsidRPr="00002C7A">
        <w:rPr>
          <w:lang w:val="en-GB"/>
        </w:rPr>
        <w:t>loans in Georgia, as published by the National Bank of Georgia.</w:t>
      </w:r>
      <w:r w:rsidR="00DC5888" w:rsidRPr="00002C7A">
        <w:rPr>
          <w:rStyle w:val="FootnoteReference"/>
          <w:lang w:val="en-GB"/>
        </w:rPr>
        <w:footnoteReference w:id="48"/>
      </w:r>
      <w:r w:rsidR="00D94D05" w:rsidRPr="00002C7A">
        <w:rPr>
          <w:lang w:val="en-GB"/>
        </w:rPr>
        <w:t xml:space="preserve"> </w:t>
      </w:r>
    </w:p>
    <w:p w14:paraId="04136419" w14:textId="3B6AB7D0" w:rsidR="00B8710E" w:rsidRPr="00002C7A" w:rsidRDefault="00A4548A" w:rsidP="00500B2F">
      <w:pPr>
        <w:pStyle w:val="ParagraphNumbered"/>
        <w:jc w:val="both"/>
        <w:rPr>
          <w:lang w:val="en-GB"/>
        </w:rPr>
      </w:pPr>
      <w:r w:rsidRPr="00002C7A">
        <w:rPr>
          <w:lang w:val="en-GB"/>
        </w:rPr>
        <w:t xml:space="preserve">In contrast, the EC Guidelines recommend </w:t>
      </w:r>
      <w:r w:rsidR="002D62C5" w:rsidRPr="00002C7A">
        <w:rPr>
          <w:lang w:val="en-GB"/>
        </w:rPr>
        <w:t xml:space="preserve">calculating the cost of debt as the sum of </w:t>
      </w:r>
      <w:r w:rsidR="00C41186" w:rsidRPr="00002C7A">
        <w:rPr>
          <w:lang w:val="en-GB"/>
        </w:rPr>
        <w:t>the risk-free rate plus a debt premium</w:t>
      </w:r>
      <w:r w:rsidR="00384FFF" w:rsidRPr="00002C7A">
        <w:rPr>
          <w:lang w:val="en-GB"/>
        </w:rPr>
        <w:t xml:space="preserve">, both </w:t>
      </w:r>
      <w:r w:rsidR="005363FD" w:rsidRPr="00002C7A">
        <w:rPr>
          <w:lang w:val="en-GB"/>
        </w:rPr>
        <w:t>calculated based on five</w:t>
      </w:r>
      <w:r w:rsidR="006144BC" w:rsidRPr="00002C7A">
        <w:rPr>
          <w:lang w:val="en-GB"/>
        </w:rPr>
        <w:t>-</w:t>
      </w:r>
      <w:r w:rsidR="005363FD" w:rsidRPr="00002C7A">
        <w:rPr>
          <w:lang w:val="en-GB"/>
        </w:rPr>
        <w:t xml:space="preserve">year averages. </w:t>
      </w:r>
      <w:r w:rsidR="00102FBD" w:rsidRPr="00002C7A">
        <w:rPr>
          <w:lang w:val="en-GB"/>
        </w:rPr>
        <w:t xml:space="preserve">The EC Guidelines </w:t>
      </w:r>
      <w:r w:rsidR="00A36083" w:rsidRPr="00002C7A">
        <w:rPr>
          <w:lang w:val="en-GB"/>
        </w:rPr>
        <w:t xml:space="preserve">recommend </w:t>
      </w:r>
      <w:r w:rsidR="00FD35BB" w:rsidRPr="00002C7A">
        <w:rPr>
          <w:lang w:val="en-GB"/>
        </w:rPr>
        <w:t>calculating the debt premium</w:t>
      </w:r>
      <w:r w:rsidR="000E7162" w:rsidRPr="00002C7A">
        <w:rPr>
          <w:lang w:val="en-GB"/>
        </w:rPr>
        <w:t xml:space="preserve"> b</w:t>
      </w:r>
      <w:r w:rsidR="006755C6" w:rsidRPr="00002C7A">
        <w:rPr>
          <w:lang w:val="en-GB"/>
        </w:rPr>
        <w:t>ased on</w:t>
      </w:r>
      <w:r w:rsidR="000E7162" w:rsidRPr="00002C7A">
        <w:rPr>
          <w:lang w:val="en-GB"/>
        </w:rPr>
        <w:t xml:space="preserve"> the spread between</w:t>
      </w:r>
      <w:r w:rsidR="00F41EE9" w:rsidRPr="00002C7A">
        <w:rPr>
          <w:lang w:val="en-GB"/>
        </w:rPr>
        <w:t xml:space="preserve"> long-term corporate bonds </w:t>
      </w:r>
      <w:r w:rsidR="002F3B56" w:rsidRPr="00002C7A">
        <w:rPr>
          <w:lang w:val="en-GB"/>
        </w:rPr>
        <w:t xml:space="preserve">with maturity as close </w:t>
      </w:r>
      <w:r w:rsidR="002C376A" w:rsidRPr="00002C7A">
        <w:rPr>
          <w:lang w:val="en-GB"/>
        </w:rPr>
        <w:t xml:space="preserve">as possible </w:t>
      </w:r>
      <w:r w:rsidR="002F3B56" w:rsidRPr="00002C7A">
        <w:rPr>
          <w:lang w:val="en-GB"/>
        </w:rPr>
        <w:t>to</w:t>
      </w:r>
      <w:r w:rsidR="00F7396F" w:rsidRPr="00002C7A">
        <w:rPr>
          <w:lang w:val="en-GB"/>
        </w:rPr>
        <w:t xml:space="preserve"> </w:t>
      </w:r>
      <w:r w:rsidR="00485394" w:rsidRPr="00002C7A">
        <w:rPr>
          <w:lang w:val="en-GB"/>
        </w:rPr>
        <w:t>10 years</w:t>
      </w:r>
      <w:r w:rsidR="009E40C9" w:rsidRPr="00002C7A">
        <w:rPr>
          <w:lang w:val="en-GB"/>
        </w:rPr>
        <w:t xml:space="preserve"> </w:t>
      </w:r>
      <w:r w:rsidR="001D6F69" w:rsidRPr="00002C7A">
        <w:rPr>
          <w:lang w:val="en-GB"/>
        </w:rPr>
        <w:t>and</w:t>
      </w:r>
      <w:r w:rsidR="009E40C9" w:rsidRPr="00002C7A">
        <w:rPr>
          <w:lang w:val="en-GB"/>
        </w:rPr>
        <w:t xml:space="preserve"> </w:t>
      </w:r>
      <w:r w:rsidR="000E7162" w:rsidRPr="00002C7A">
        <w:rPr>
          <w:lang w:val="en-GB"/>
        </w:rPr>
        <w:t>national government bonds of similar maturity</w:t>
      </w:r>
      <w:r w:rsidR="009E40C9" w:rsidRPr="00002C7A">
        <w:rPr>
          <w:lang w:val="en-GB"/>
        </w:rPr>
        <w:t>.</w:t>
      </w:r>
      <w:r w:rsidR="00BB4346" w:rsidRPr="00002C7A">
        <w:rPr>
          <w:rStyle w:val="FootnoteReference"/>
          <w:lang w:val="en-GB"/>
        </w:rPr>
        <w:footnoteReference w:id="49"/>
      </w:r>
      <w:r w:rsidR="00A37349" w:rsidRPr="00002C7A">
        <w:rPr>
          <w:lang w:val="en-GB"/>
        </w:rPr>
        <w:t xml:space="preserve"> </w:t>
      </w:r>
      <w:r w:rsidR="000E7162" w:rsidRPr="00002C7A">
        <w:rPr>
          <w:lang w:val="en-GB"/>
        </w:rPr>
        <w:t xml:space="preserve">Consistent with the EC Guidelines, BEREC calculates annually operator-specific debt premia </w:t>
      </w:r>
      <w:r w:rsidR="006A4AB1" w:rsidRPr="00002C7A">
        <w:rPr>
          <w:lang w:val="en-GB"/>
        </w:rPr>
        <w:t xml:space="preserve">using secondary market data on yields </w:t>
      </w:r>
      <w:r w:rsidR="00E42E31" w:rsidRPr="00002C7A">
        <w:rPr>
          <w:lang w:val="en-GB"/>
        </w:rPr>
        <w:t xml:space="preserve">for bonds issued by the individual </w:t>
      </w:r>
      <w:r w:rsidR="00020B59" w:rsidRPr="00002C7A">
        <w:rPr>
          <w:lang w:val="en-GB"/>
        </w:rPr>
        <w:t xml:space="preserve">operator </w:t>
      </w:r>
      <w:r w:rsidR="002859FC" w:rsidRPr="00002C7A">
        <w:rPr>
          <w:lang w:val="en-GB"/>
        </w:rPr>
        <w:t xml:space="preserve">and </w:t>
      </w:r>
      <w:r w:rsidR="00192A44" w:rsidRPr="00002C7A">
        <w:rPr>
          <w:lang w:val="en-GB"/>
        </w:rPr>
        <w:t>domestic risk</w:t>
      </w:r>
      <w:r w:rsidR="005A3BEB" w:rsidRPr="00002C7A">
        <w:rPr>
          <w:lang w:val="en-GB"/>
        </w:rPr>
        <w:t>-</w:t>
      </w:r>
      <w:r w:rsidR="00192A44" w:rsidRPr="00002C7A">
        <w:rPr>
          <w:lang w:val="en-GB"/>
        </w:rPr>
        <w:t>free rate</w:t>
      </w:r>
      <w:r w:rsidR="000F4D0A" w:rsidRPr="00002C7A">
        <w:rPr>
          <w:lang w:val="en-GB"/>
        </w:rPr>
        <w:t xml:space="preserve">, </w:t>
      </w:r>
      <w:r w:rsidR="00C96A14" w:rsidRPr="00002C7A">
        <w:rPr>
          <w:lang w:val="en-GB"/>
        </w:rPr>
        <w:t>striving for a</w:t>
      </w:r>
      <w:r w:rsidR="000F4D0A" w:rsidRPr="00002C7A">
        <w:rPr>
          <w:lang w:val="en-GB"/>
        </w:rPr>
        <w:t xml:space="preserve"> maturity </w:t>
      </w:r>
      <w:r w:rsidR="004D7346" w:rsidRPr="00002C7A">
        <w:rPr>
          <w:lang w:val="en-GB"/>
        </w:rPr>
        <w:t xml:space="preserve">of </w:t>
      </w:r>
      <w:r w:rsidR="000F4D0A" w:rsidRPr="00002C7A">
        <w:rPr>
          <w:lang w:val="en-GB"/>
        </w:rPr>
        <w:t xml:space="preserve">10 years </w:t>
      </w:r>
      <w:r w:rsidR="006A23D7" w:rsidRPr="00002C7A">
        <w:rPr>
          <w:lang w:val="en-GB"/>
        </w:rPr>
        <w:t xml:space="preserve">and with a </w:t>
      </w:r>
      <w:r w:rsidR="005A3BEB" w:rsidRPr="00002C7A">
        <w:rPr>
          <w:lang w:val="en-GB"/>
        </w:rPr>
        <w:t>five</w:t>
      </w:r>
      <w:r w:rsidR="006A23D7" w:rsidRPr="00002C7A">
        <w:rPr>
          <w:lang w:val="en-GB"/>
        </w:rPr>
        <w:t>-year averaging window</w:t>
      </w:r>
      <w:r w:rsidR="00192A44" w:rsidRPr="00002C7A">
        <w:rPr>
          <w:lang w:val="en-GB"/>
        </w:rPr>
        <w:t>.</w:t>
      </w:r>
      <w:r w:rsidR="001809C9" w:rsidRPr="00002C7A">
        <w:rPr>
          <w:rStyle w:val="FootnoteReference"/>
          <w:lang w:val="en-GB"/>
        </w:rPr>
        <w:footnoteReference w:id="50"/>
      </w:r>
    </w:p>
    <w:p w14:paraId="3A613119" w14:textId="388D8F5B" w:rsidR="00262D2A" w:rsidRDefault="00393371" w:rsidP="00500B2F">
      <w:pPr>
        <w:pStyle w:val="ParagraphNumbered"/>
        <w:jc w:val="both"/>
        <w:rPr>
          <w:lang w:val="en-GB"/>
        </w:rPr>
      </w:pPr>
      <w:r w:rsidRPr="00002C7A">
        <w:rPr>
          <w:lang w:val="en-GB"/>
        </w:rPr>
        <w:t>T</w:t>
      </w:r>
      <w:r w:rsidR="001D6F69" w:rsidRPr="00002C7A">
        <w:rPr>
          <w:lang w:val="en-GB"/>
        </w:rPr>
        <w:t xml:space="preserve">o develop a robust methodology and arrive at a reasonable cost of debt calculation we consider </w:t>
      </w:r>
      <w:r w:rsidR="00AE6ABC">
        <w:rPr>
          <w:lang w:val="en-GB"/>
        </w:rPr>
        <w:t>four</w:t>
      </w:r>
      <w:r w:rsidR="00AE6ABC" w:rsidRPr="00002C7A">
        <w:rPr>
          <w:lang w:val="en-GB"/>
        </w:rPr>
        <w:t xml:space="preserve"> </w:t>
      </w:r>
      <w:r w:rsidR="001D6F69" w:rsidRPr="00002C7A">
        <w:rPr>
          <w:lang w:val="en-GB"/>
        </w:rPr>
        <w:t>alternative approaches</w:t>
      </w:r>
      <w:r w:rsidR="005704DC" w:rsidRPr="00002C7A">
        <w:rPr>
          <w:lang w:val="en-GB"/>
        </w:rPr>
        <w:t>.</w:t>
      </w:r>
    </w:p>
    <w:p w14:paraId="6426C654" w14:textId="6046B92D" w:rsidR="001C588C" w:rsidRPr="00002C7A" w:rsidRDefault="001C588C" w:rsidP="001C588C">
      <w:pPr>
        <w:pStyle w:val="Heading2"/>
        <w:rPr>
          <w:lang w:val="en-GB"/>
        </w:rPr>
      </w:pPr>
      <w:bookmarkStart w:id="286" w:name="_Toc219739786"/>
      <w:r>
        <w:rPr>
          <w:lang w:val="en-GB"/>
        </w:rPr>
        <w:t>Alternative measures of the cost of debt for Georgian Telecoms Operators</w:t>
      </w:r>
      <w:bookmarkEnd w:id="286"/>
      <w:r>
        <w:rPr>
          <w:lang w:val="en-GB"/>
        </w:rPr>
        <w:t xml:space="preserve"> </w:t>
      </w:r>
    </w:p>
    <w:p w14:paraId="3AFA73F5" w14:textId="78D07CEA" w:rsidR="006C5A6D" w:rsidRPr="00002C7A" w:rsidRDefault="001D6F69" w:rsidP="00500B2F">
      <w:pPr>
        <w:pStyle w:val="ParagraphNumbered"/>
        <w:jc w:val="both"/>
        <w:rPr>
          <w:lang w:val="en-GB"/>
        </w:rPr>
      </w:pPr>
      <w:r w:rsidRPr="00002C7A">
        <w:rPr>
          <w:lang w:val="en-GB"/>
        </w:rPr>
        <w:t xml:space="preserve">First, we consider the methodology </w:t>
      </w:r>
      <w:r w:rsidR="003C7ADD" w:rsidRPr="00002C7A">
        <w:rPr>
          <w:lang w:val="en-GB"/>
        </w:rPr>
        <w:t xml:space="preserve">used by </w:t>
      </w:r>
      <w:r w:rsidRPr="00002C7A">
        <w:rPr>
          <w:lang w:val="en-GB"/>
        </w:rPr>
        <w:t>PwC</w:t>
      </w:r>
      <w:r w:rsidR="003C7ADD" w:rsidRPr="00002C7A">
        <w:rPr>
          <w:lang w:val="en-GB"/>
        </w:rPr>
        <w:t xml:space="preserve">. </w:t>
      </w:r>
      <w:r w:rsidR="000C527D" w:rsidRPr="00002C7A">
        <w:rPr>
          <w:lang w:val="en-GB"/>
        </w:rPr>
        <w:fldChar w:fldCharType="begin"/>
      </w:r>
      <w:r w:rsidR="000C527D" w:rsidRPr="00002C7A">
        <w:rPr>
          <w:lang w:val="en-GB"/>
        </w:rPr>
        <w:instrText xml:space="preserve"> REF _Ref217035863 \h </w:instrText>
      </w:r>
      <w:r w:rsidR="000C527D" w:rsidRPr="00002C7A">
        <w:rPr>
          <w:lang w:val="en-GB"/>
        </w:rPr>
      </w:r>
      <w:r w:rsidR="000C527D" w:rsidRPr="00002C7A">
        <w:rPr>
          <w:lang w:val="en-GB"/>
        </w:rPr>
        <w:fldChar w:fldCharType="separate"/>
      </w:r>
      <w:r w:rsidR="007F093A">
        <w:t xml:space="preserve">Table </w:t>
      </w:r>
      <w:r w:rsidR="007F093A">
        <w:rPr>
          <w:noProof/>
        </w:rPr>
        <w:t>13</w:t>
      </w:r>
      <w:r w:rsidR="000C527D" w:rsidRPr="00002C7A">
        <w:rPr>
          <w:lang w:val="en-GB"/>
        </w:rPr>
        <w:fldChar w:fldCharType="end"/>
      </w:r>
      <w:r w:rsidR="006C5A6D" w:rsidRPr="00002C7A">
        <w:rPr>
          <w:lang w:val="en-GB"/>
        </w:rPr>
        <w:t xml:space="preserve"> reports the calculation of the debt premium using </w:t>
      </w:r>
      <w:r w:rsidR="00231833">
        <w:rPr>
          <w:lang w:val="en-GB"/>
        </w:rPr>
        <w:t xml:space="preserve">the </w:t>
      </w:r>
      <w:r w:rsidR="006C5A6D" w:rsidRPr="00002C7A">
        <w:rPr>
          <w:lang w:val="en-GB"/>
        </w:rPr>
        <w:t xml:space="preserve">PwC methodology and data from the National Bank of Georgia </w:t>
      </w:r>
      <w:r w:rsidR="00C946D9">
        <w:rPr>
          <w:lang w:val="en-GB"/>
        </w:rPr>
        <w:t xml:space="preserve">(NBG) </w:t>
      </w:r>
      <w:r w:rsidR="006C5A6D" w:rsidRPr="00002C7A">
        <w:rPr>
          <w:lang w:val="en-GB"/>
        </w:rPr>
        <w:t>as of September 2025. Overall, we find that the one-year average interest rate on corporate loans in Georgia as of September 2025 was equal to 12.91%, implying a 3.81% premium.</w:t>
      </w:r>
    </w:p>
    <w:p w14:paraId="4519D280" w14:textId="60724299" w:rsidR="000C527D" w:rsidRDefault="006C5A6D" w:rsidP="000C527D">
      <w:pPr>
        <w:pStyle w:val="Caption"/>
        <w:jc w:val="both"/>
      </w:pPr>
      <w:bookmarkStart w:id="287" w:name="_Ref217035863"/>
      <w:bookmarkStart w:id="288" w:name="_Toc219739805"/>
      <w:bookmarkStart w:id="289" w:name="_Toc217060088"/>
      <w:r>
        <w:lastRenderedPageBreak/>
        <w:t xml:space="preserve">Table </w:t>
      </w:r>
      <w:fldSimple w:instr=" SEQ Table \* ARABIC ">
        <w:r w:rsidR="007F093A">
          <w:rPr>
            <w:noProof/>
          </w:rPr>
          <w:t>13</w:t>
        </w:r>
      </w:fldSimple>
      <w:bookmarkEnd w:id="287"/>
      <w:r w:rsidR="000C527D">
        <w:t>: Cost of debt – PwC’s approach</w:t>
      </w:r>
      <w:bookmarkEnd w:id="288"/>
      <w:bookmarkEnd w:id="289"/>
    </w:p>
    <w:p w14:paraId="590E772B" w14:textId="5BE594EE" w:rsidR="006C5A6D" w:rsidRPr="00E40A70" w:rsidRDefault="006C5A6D" w:rsidP="00500B2F">
      <w:pPr>
        <w:pStyle w:val="Figure"/>
        <w:jc w:val="both"/>
      </w:pPr>
      <w:r w:rsidRPr="004D3571">
        <w:drawing>
          <wp:inline distT="0" distB="0" distL="0" distR="0" wp14:anchorId="31598FF6" wp14:editId="63104DF9">
            <wp:extent cx="3800475" cy="4886325"/>
            <wp:effectExtent l="0" t="0" r="9525" b="9525"/>
            <wp:docPr id="1122491650" name="Picture 1" descr="A table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91650" name="Picture 1" descr="A table with numbers and a number of text&#10;&#10;AI-generated content may be incorrect."/>
                    <pic:cNvPicPr/>
                  </pic:nvPicPr>
                  <pic:blipFill>
                    <a:blip r:embed="rId37"/>
                    <a:stretch>
                      <a:fillRect/>
                    </a:stretch>
                  </pic:blipFill>
                  <pic:spPr>
                    <a:xfrm>
                      <a:off x="0" y="0"/>
                      <a:ext cx="3800475" cy="4886325"/>
                    </a:xfrm>
                    <a:prstGeom prst="rect">
                      <a:avLst/>
                    </a:prstGeom>
                  </pic:spPr>
                </pic:pic>
              </a:graphicData>
            </a:graphic>
          </wp:inline>
        </w:drawing>
      </w:r>
      <w:r w:rsidRPr="00EF0CB3">
        <w:t xml:space="preserve"> </w:t>
      </w:r>
    </w:p>
    <w:p w14:paraId="0B10DDFC" w14:textId="3FB8BBE9" w:rsidR="001D6F69" w:rsidRPr="00002C7A" w:rsidRDefault="003C7ADD" w:rsidP="00500B2F">
      <w:pPr>
        <w:pStyle w:val="ParagraphNumbered"/>
        <w:jc w:val="both"/>
        <w:rPr>
          <w:lang w:val="en-GB"/>
        </w:rPr>
      </w:pPr>
      <w:r w:rsidRPr="00002C7A">
        <w:rPr>
          <w:lang w:val="en-GB"/>
        </w:rPr>
        <w:t xml:space="preserve">The methodology has the advantage of calculating directly the </w:t>
      </w:r>
      <w:r w:rsidR="006E0510" w:rsidRPr="00002C7A">
        <w:rPr>
          <w:lang w:val="en-GB"/>
        </w:rPr>
        <w:t xml:space="preserve">debt premium for </w:t>
      </w:r>
      <w:r w:rsidRPr="00002C7A">
        <w:rPr>
          <w:lang w:val="en-GB"/>
        </w:rPr>
        <w:t xml:space="preserve">companies operating in Georgia. </w:t>
      </w:r>
      <w:r w:rsidR="005A15C0" w:rsidRPr="00002C7A">
        <w:rPr>
          <w:lang w:val="en-GB"/>
        </w:rPr>
        <w:t xml:space="preserve">However, </w:t>
      </w:r>
      <w:r w:rsidR="0049674D" w:rsidRPr="00002C7A">
        <w:rPr>
          <w:lang w:val="en-GB"/>
        </w:rPr>
        <w:t xml:space="preserve">because </w:t>
      </w:r>
      <w:r w:rsidR="00230311" w:rsidRPr="00002C7A">
        <w:rPr>
          <w:lang w:val="en-GB"/>
        </w:rPr>
        <w:t xml:space="preserve">it considers all loans </w:t>
      </w:r>
      <w:r w:rsidR="00A61CD1" w:rsidRPr="00002C7A">
        <w:rPr>
          <w:lang w:val="en-GB"/>
        </w:rPr>
        <w:t>issued by companies in Georgia, there is a risk that the resulting</w:t>
      </w:r>
      <w:r w:rsidR="00A3661A" w:rsidRPr="00002C7A">
        <w:rPr>
          <w:lang w:val="en-GB"/>
        </w:rPr>
        <w:t xml:space="preserve"> </w:t>
      </w:r>
      <w:r w:rsidR="00C15A14" w:rsidRPr="00002C7A">
        <w:rPr>
          <w:lang w:val="en-GB"/>
        </w:rPr>
        <w:t xml:space="preserve">debt premium </w:t>
      </w:r>
      <w:r w:rsidR="007003B3" w:rsidRPr="00002C7A">
        <w:rPr>
          <w:lang w:val="en-GB"/>
        </w:rPr>
        <w:t>overstates the cost of debt of telecom</w:t>
      </w:r>
      <w:r w:rsidR="00C37321" w:rsidRPr="00002C7A">
        <w:rPr>
          <w:lang w:val="en-GB"/>
        </w:rPr>
        <w:t>s</w:t>
      </w:r>
      <w:r w:rsidR="007003B3" w:rsidRPr="00002C7A">
        <w:rPr>
          <w:lang w:val="en-GB"/>
        </w:rPr>
        <w:t xml:space="preserve"> operators in Georgia. This is because </w:t>
      </w:r>
      <w:r w:rsidR="00A4038F" w:rsidRPr="00002C7A">
        <w:rPr>
          <w:lang w:val="en-GB"/>
        </w:rPr>
        <w:t>the debt premiums likely included unsecured debts, w</w:t>
      </w:r>
      <w:r w:rsidR="003E6B5A" w:rsidRPr="00002C7A">
        <w:rPr>
          <w:lang w:val="en-GB"/>
        </w:rPr>
        <w:t xml:space="preserve">hich are higher risk and so attract higher interest rates. In contrast, </w:t>
      </w:r>
      <w:r w:rsidR="00706388" w:rsidRPr="00002C7A">
        <w:rPr>
          <w:lang w:val="en-GB"/>
        </w:rPr>
        <w:t>telecom</w:t>
      </w:r>
      <w:r w:rsidR="00C37321" w:rsidRPr="00002C7A">
        <w:rPr>
          <w:lang w:val="en-GB"/>
        </w:rPr>
        <w:t>s</w:t>
      </w:r>
      <w:r w:rsidR="00F83EEA" w:rsidRPr="00002C7A">
        <w:rPr>
          <w:lang w:val="en-GB"/>
        </w:rPr>
        <w:t xml:space="preserve"> operators </w:t>
      </w:r>
      <w:r w:rsidR="00C96198" w:rsidRPr="00002C7A">
        <w:rPr>
          <w:lang w:val="en-GB"/>
        </w:rPr>
        <w:t>can borrow against assets, so have secured debt. Telecom</w:t>
      </w:r>
      <w:r w:rsidR="00C37321" w:rsidRPr="00002C7A">
        <w:rPr>
          <w:lang w:val="en-GB"/>
        </w:rPr>
        <w:t>s</w:t>
      </w:r>
      <w:r w:rsidR="00F83EEA" w:rsidRPr="00002C7A">
        <w:rPr>
          <w:lang w:val="en-GB"/>
        </w:rPr>
        <w:t xml:space="preserve"> operators are </w:t>
      </w:r>
      <w:r w:rsidR="00C96198" w:rsidRPr="00002C7A">
        <w:rPr>
          <w:lang w:val="en-GB"/>
        </w:rPr>
        <w:t xml:space="preserve">also </w:t>
      </w:r>
      <w:r w:rsidR="00F83EEA" w:rsidRPr="00002C7A">
        <w:rPr>
          <w:lang w:val="en-GB"/>
        </w:rPr>
        <w:t xml:space="preserve">larger than </w:t>
      </w:r>
      <w:r w:rsidR="00D701C6" w:rsidRPr="00002C7A">
        <w:rPr>
          <w:lang w:val="en-GB"/>
        </w:rPr>
        <w:t>the average company in Georgia</w:t>
      </w:r>
      <w:r w:rsidR="009D5A23" w:rsidRPr="00002C7A">
        <w:rPr>
          <w:lang w:val="en-GB"/>
        </w:rPr>
        <w:t>. The cost of debt tends to fall with size, because fixed debt arrangement costs are spread over a larger loan. Hence telecom</w:t>
      </w:r>
      <w:r w:rsidR="00C37321" w:rsidRPr="00002C7A">
        <w:rPr>
          <w:lang w:val="en-GB"/>
        </w:rPr>
        <w:t>s</w:t>
      </w:r>
      <w:r w:rsidR="009D5A23" w:rsidRPr="00002C7A">
        <w:rPr>
          <w:lang w:val="en-GB"/>
        </w:rPr>
        <w:t xml:space="preserve"> operators</w:t>
      </w:r>
      <w:r w:rsidR="00D701C6" w:rsidRPr="00002C7A">
        <w:rPr>
          <w:lang w:val="en-GB"/>
        </w:rPr>
        <w:t xml:space="preserve"> </w:t>
      </w:r>
      <w:r w:rsidR="009D5A23" w:rsidRPr="00002C7A">
        <w:rPr>
          <w:lang w:val="en-GB"/>
        </w:rPr>
        <w:t>are</w:t>
      </w:r>
      <w:r w:rsidR="00D701C6" w:rsidRPr="00002C7A">
        <w:rPr>
          <w:lang w:val="en-GB"/>
        </w:rPr>
        <w:t xml:space="preserve"> likely to </w:t>
      </w:r>
      <w:r w:rsidR="00FB4819" w:rsidRPr="00002C7A">
        <w:rPr>
          <w:lang w:val="en-GB"/>
        </w:rPr>
        <w:t>obtain better rates tha</w:t>
      </w:r>
      <w:r w:rsidR="00FA58AE" w:rsidRPr="00002C7A">
        <w:rPr>
          <w:lang w:val="en-GB"/>
        </w:rPr>
        <w:t>n the average</w:t>
      </w:r>
      <w:r w:rsidR="00A83F5A" w:rsidRPr="00002C7A">
        <w:rPr>
          <w:lang w:val="en-GB"/>
        </w:rPr>
        <w:t xml:space="preserve"> borrower in Georgia</w:t>
      </w:r>
      <w:r w:rsidR="00FA58AE" w:rsidRPr="00002C7A">
        <w:rPr>
          <w:lang w:val="en-GB"/>
        </w:rPr>
        <w:t>.</w:t>
      </w:r>
      <w:r w:rsidR="00A25949" w:rsidRPr="00002C7A">
        <w:rPr>
          <w:rStyle w:val="FootnoteReference"/>
          <w:lang w:val="en-GB"/>
        </w:rPr>
        <w:footnoteReference w:id="51"/>
      </w:r>
      <w:r w:rsidR="006A7843" w:rsidRPr="00002C7A">
        <w:rPr>
          <w:lang w:val="en-GB"/>
        </w:rPr>
        <w:t xml:space="preserve"> </w:t>
      </w:r>
    </w:p>
    <w:p w14:paraId="6907E8F3" w14:textId="6C34A2D7" w:rsidR="000C462E" w:rsidRPr="00002C7A" w:rsidRDefault="00FA58AE" w:rsidP="00500B2F">
      <w:pPr>
        <w:pStyle w:val="ParagraphNumbered"/>
        <w:jc w:val="both"/>
        <w:rPr>
          <w:lang w:val="en-GB"/>
        </w:rPr>
      </w:pPr>
      <w:r w:rsidRPr="00002C7A">
        <w:rPr>
          <w:lang w:val="en-GB"/>
        </w:rPr>
        <w:t xml:space="preserve">Second, </w:t>
      </w:r>
      <w:r w:rsidR="003F2901" w:rsidRPr="00002C7A">
        <w:rPr>
          <w:lang w:val="en-GB"/>
        </w:rPr>
        <w:t>we calculate the debt premium</w:t>
      </w:r>
      <w:r w:rsidRPr="00002C7A">
        <w:rPr>
          <w:lang w:val="en-GB"/>
        </w:rPr>
        <w:t xml:space="preserve"> </w:t>
      </w:r>
      <w:r w:rsidR="006A42CF" w:rsidRPr="00002C7A">
        <w:rPr>
          <w:lang w:val="en-GB"/>
        </w:rPr>
        <w:t>taking</w:t>
      </w:r>
      <w:r w:rsidR="001D6F69" w:rsidRPr="00002C7A">
        <w:rPr>
          <w:lang w:val="en-GB"/>
        </w:rPr>
        <w:t xml:space="preserve"> the difference between the embedded cost of debt of operators in Georgia </w:t>
      </w:r>
      <w:r w:rsidR="009E10E8">
        <w:rPr>
          <w:lang w:val="en-GB"/>
        </w:rPr>
        <w:t xml:space="preserve">as recorded in </w:t>
      </w:r>
      <w:r w:rsidR="001D6F69" w:rsidRPr="00002C7A">
        <w:rPr>
          <w:lang w:val="en-GB"/>
        </w:rPr>
        <w:t>their annual accounts and the contemporaneous risk-free rate</w:t>
      </w:r>
      <w:r w:rsidR="006A42CF" w:rsidRPr="00002C7A">
        <w:rPr>
          <w:lang w:val="en-GB"/>
        </w:rPr>
        <w:t xml:space="preserve">. </w:t>
      </w:r>
      <w:r w:rsidR="000C462E" w:rsidRPr="00002C7A">
        <w:rPr>
          <w:lang w:val="en-GB"/>
        </w:rPr>
        <w:t>We then calculate the embedded cost of debt of telecom</w:t>
      </w:r>
      <w:r w:rsidR="00C37321" w:rsidRPr="00002C7A">
        <w:rPr>
          <w:lang w:val="en-GB"/>
        </w:rPr>
        <w:t>s</w:t>
      </w:r>
      <w:r w:rsidR="000C462E" w:rsidRPr="00002C7A">
        <w:rPr>
          <w:lang w:val="en-GB"/>
        </w:rPr>
        <w:t xml:space="preserve"> operators in Georgia </w:t>
      </w:r>
      <w:r w:rsidR="000C462E" w:rsidRPr="00002C7A">
        <w:rPr>
          <w:lang w:val="en-GB"/>
        </w:rPr>
        <w:lastRenderedPageBreak/>
        <w:t>extracting information on interest expenses and outstanding debt balances from the financial statements of Cellfie and Silknet. We do not calculate the embedded cost of debt of Magticom because the company does not hold any interest-bearing debt.</w:t>
      </w:r>
    </w:p>
    <w:p w14:paraId="6F80B420" w14:textId="11C8DDD6" w:rsidR="000C462E" w:rsidRPr="00002C7A" w:rsidRDefault="000C527D" w:rsidP="00500B2F">
      <w:pPr>
        <w:pStyle w:val="ParagraphNumbered"/>
        <w:jc w:val="both"/>
        <w:rPr>
          <w:lang w:val="en-GB"/>
        </w:rPr>
      </w:pPr>
      <w:r w:rsidRPr="00002C7A">
        <w:rPr>
          <w:lang w:val="en-GB"/>
        </w:rPr>
        <w:fldChar w:fldCharType="begin"/>
      </w:r>
      <w:r w:rsidRPr="00002C7A">
        <w:rPr>
          <w:lang w:val="en-GB"/>
        </w:rPr>
        <w:instrText xml:space="preserve"> REF _Ref217035915 \h </w:instrText>
      </w:r>
      <w:r w:rsidRPr="00002C7A">
        <w:rPr>
          <w:lang w:val="en-GB"/>
        </w:rPr>
      </w:r>
      <w:r w:rsidRPr="00002C7A">
        <w:rPr>
          <w:lang w:val="en-GB"/>
        </w:rPr>
        <w:fldChar w:fldCharType="separate"/>
      </w:r>
      <w:r w:rsidR="007F093A">
        <w:t xml:space="preserve">Table </w:t>
      </w:r>
      <w:r w:rsidR="007F093A">
        <w:rPr>
          <w:noProof/>
        </w:rPr>
        <w:t>14</w:t>
      </w:r>
      <w:r w:rsidRPr="00002C7A">
        <w:rPr>
          <w:lang w:val="en-GB"/>
        </w:rPr>
        <w:fldChar w:fldCharType="end"/>
      </w:r>
      <w:r w:rsidR="000C462E" w:rsidRPr="00002C7A">
        <w:rPr>
          <w:lang w:val="en-GB"/>
        </w:rPr>
        <w:t xml:space="preserve"> reports the data on interest expenses and outstanding debt collected from the operators’ financial accounts and the corresponding estimates of the embedded cost of debt over the past five full calendar years (2020-2024). We find that, on average, Georgian telecommunications operators have faced a cost of debt of 11.</w:t>
      </w:r>
      <w:r w:rsidR="00332EAF">
        <w:rPr>
          <w:lang w:val="en-GB"/>
        </w:rPr>
        <w:t>10</w:t>
      </w:r>
      <w:r w:rsidR="000C462E" w:rsidRPr="00002C7A">
        <w:rPr>
          <w:lang w:val="en-GB"/>
        </w:rPr>
        <w:t xml:space="preserve">% over the period 2020 to 2024. This corresponds to an average spread of </w:t>
      </w:r>
      <w:r w:rsidR="00534695">
        <w:rPr>
          <w:lang w:val="en-GB"/>
        </w:rPr>
        <w:t>2.00</w:t>
      </w:r>
      <w:r w:rsidR="000C462E" w:rsidRPr="00002C7A">
        <w:rPr>
          <w:lang w:val="en-GB"/>
        </w:rPr>
        <w:t xml:space="preserve">% over the contemporaneous yield on 10-year Georgian government bonds. We further note that the spread is quite volatile from year to year, ranging from a low of -0.06% in 2022 to a high of 3.26% in 2021, likely reflecting the effect of large bond issuances or principal repayments. Such volatility supports the use of a longer averaging period, e.g. five years, instead of taking a short-term average.  </w:t>
      </w:r>
    </w:p>
    <w:p w14:paraId="10E1A66C" w14:textId="217C4C2B" w:rsidR="000C527D" w:rsidRDefault="000C462E" w:rsidP="000C527D">
      <w:pPr>
        <w:pStyle w:val="Caption"/>
        <w:jc w:val="both"/>
      </w:pPr>
      <w:bookmarkStart w:id="290" w:name="_Ref217035915"/>
      <w:bookmarkStart w:id="291" w:name="_Toc219739806"/>
      <w:bookmarkStart w:id="292" w:name="_Toc217060089"/>
      <w:r>
        <w:lastRenderedPageBreak/>
        <w:t xml:space="preserve">Table </w:t>
      </w:r>
      <w:fldSimple w:instr=" SEQ Table \* ARABIC ">
        <w:r w:rsidR="007F093A">
          <w:rPr>
            <w:noProof/>
          </w:rPr>
          <w:t>14</w:t>
        </w:r>
      </w:fldSimple>
      <w:bookmarkEnd w:id="290"/>
      <w:r w:rsidR="000C527D">
        <w:t>: Cost of debt – embedded cost of debt approach</w:t>
      </w:r>
      <w:bookmarkEnd w:id="291"/>
      <w:bookmarkEnd w:id="292"/>
    </w:p>
    <w:p w14:paraId="7077980A" w14:textId="48C0DAE3" w:rsidR="000C462E" w:rsidRDefault="001538F2" w:rsidP="00500B2F">
      <w:pPr>
        <w:pStyle w:val="Figure"/>
        <w:jc w:val="both"/>
      </w:pPr>
      <w:r w:rsidRPr="001538F2">
        <w:drawing>
          <wp:inline distT="0" distB="0" distL="0" distR="0" wp14:anchorId="2B7ED0A0" wp14:editId="62B3E38B">
            <wp:extent cx="5731510" cy="6235065"/>
            <wp:effectExtent l="0" t="0" r="2540" b="0"/>
            <wp:docPr id="471371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235065"/>
                    </a:xfrm>
                    <a:prstGeom prst="rect">
                      <a:avLst/>
                    </a:prstGeom>
                    <a:noFill/>
                    <a:ln>
                      <a:noFill/>
                    </a:ln>
                  </pic:spPr>
                </pic:pic>
              </a:graphicData>
            </a:graphic>
          </wp:inline>
        </w:drawing>
      </w:r>
    </w:p>
    <w:p w14:paraId="3710B477" w14:textId="2F4617FE" w:rsidR="000C462E" w:rsidRPr="00002C7A" w:rsidRDefault="27062091" w:rsidP="00500B2F">
      <w:pPr>
        <w:pStyle w:val="ParagraphNumbered"/>
        <w:jc w:val="both"/>
        <w:rPr>
          <w:lang w:val="en-GB"/>
        </w:rPr>
      </w:pPr>
      <w:r w:rsidRPr="00002C7A">
        <w:rPr>
          <w:lang w:val="en-GB"/>
        </w:rPr>
        <w:t xml:space="preserve">Consistent with our expectations, the spread of </w:t>
      </w:r>
      <w:r w:rsidR="001538F2">
        <w:rPr>
          <w:lang w:val="en-GB"/>
        </w:rPr>
        <w:t>2.00</w:t>
      </w:r>
      <w:r w:rsidRPr="00002C7A">
        <w:rPr>
          <w:lang w:val="en-GB"/>
        </w:rPr>
        <w:t>% calculated based on embedded cost of is significantly lower than the 3.81% spread calculated based on the PwC methodology, likely reflecting the better terms telecom</w:t>
      </w:r>
      <w:r w:rsidR="00C37321" w:rsidRPr="00002C7A">
        <w:rPr>
          <w:lang w:val="en-GB"/>
        </w:rPr>
        <w:t>s</w:t>
      </w:r>
      <w:r w:rsidRPr="00002C7A">
        <w:rPr>
          <w:lang w:val="en-GB"/>
        </w:rPr>
        <w:t xml:space="preserve"> operators are able to obtain relative to the average firm in Georgia. </w:t>
      </w:r>
    </w:p>
    <w:p w14:paraId="55A5E038" w14:textId="5A0E4D3B" w:rsidR="001D6F69" w:rsidRDefault="00BD57AF" w:rsidP="00500B2F">
      <w:pPr>
        <w:pStyle w:val="ParagraphNumbered"/>
        <w:jc w:val="both"/>
        <w:rPr>
          <w:lang w:val="en-GB"/>
        </w:rPr>
      </w:pPr>
      <w:r w:rsidRPr="00002C7A">
        <w:rPr>
          <w:lang w:val="en-GB"/>
        </w:rPr>
        <w:t xml:space="preserve">This methodology </w:t>
      </w:r>
      <w:r w:rsidR="002E4ACC" w:rsidRPr="00002C7A">
        <w:rPr>
          <w:lang w:val="en-GB"/>
        </w:rPr>
        <w:t>has</w:t>
      </w:r>
      <w:r w:rsidR="00B45CA1" w:rsidRPr="00002C7A">
        <w:rPr>
          <w:lang w:val="en-GB"/>
        </w:rPr>
        <w:t xml:space="preserve"> the </w:t>
      </w:r>
      <w:r w:rsidR="002E4ACC" w:rsidRPr="00002C7A">
        <w:rPr>
          <w:lang w:val="en-GB"/>
        </w:rPr>
        <w:t>advantage that</w:t>
      </w:r>
      <w:r w:rsidR="00B45CA1" w:rsidRPr="00002C7A">
        <w:rPr>
          <w:lang w:val="en-GB"/>
        </w:rPr>
        <w:t xml:space="preserve"> it </w:t>
      </w:r>
      <w:r w:rsidR="00E5571B" w:rsidRPr="00002C7A">
        <w:rPr>
          <w:lang w:val="en-GB"/>
        </w:rPr>
        <w:t xml:space="preserve">calculates </w:t>
      </w:r>
      <w:r w:rsidR="00CC3345" w:rsidRPr="00002C7A">
        <w:rPr>
          <w:lang w:val="en-GB"/>
        </w:rPr>
        <w:t xml:space="preserve">the debt premium paid by the operators in Georgia </w:t>
      </w:r>
      <w:r w:rsidR="002E4ACC" w:rsidRPr="00002C7A">
        <w:rPr>
          <w:lang w:val="en-GB"/>
        </w:rPr>
        <w:t xml:space="preserve">directly from the companies for </w:t>
      </w:r>
      <w:r w:rsidR="00CC3345" w:rsidRPr="00002C7A">
        <w:rPr>
          <w:lang w:val="en-GB"/>
        </w:rPr>
        <w:t xml:space="preserve">which we are calculating the WACC. </w:t>
      </w:r>
      <w:r w:rsidR="00E02C8A" w:rsidRPr="00002C7A">
        <w:rPr>
          <w:lang w:val="en-GB"/>
        </w:rPr>
        <w:t xml:space="preserve">On the downside, </w:t>
      </w:r>
      <w:r w:rsidR="00CE0985">
        <w:rPr>
          <w:lang w:val="en-GB"/>
        </w:rPr>
        <w:t>however</w:t>
      </w:r>
      <w:r w:rsidR="00E02C8A" w:rsidRPr="00002C7A">
        <w:rPr>
          <w:lang w:val="en-GB"/>
        </w:rPr>
        <w:t xml:space="preserve">, the sample is small as there are only two companies. </w:t>
      </w:r>
      <w:r w:rsidR="00A6263E">
        <w:rPr>
          <w:lang w:val="en-GB"/>
        </w:rPr>
        <w:t xml:space="preserve">Moreover, the financial statements report </w:t>
      </w:r>
      <w:r w:rsidR="00757A1E">
        <w:rPr>
          <w:lang w:val="en-GB"/>
        </w:rPr>
        <w:t xml:space="preserve">interest on </w:t>
      </w:r>
      <w:r w:rsidR="00A6263E">
        <w:rPr>
          <w:lang w:val="en-GB"/>
        </w:rPr>
        <w:t xml:space="preserve">debt </w:t>
      </w:r>
      <w:r w:rsidR="00757A1E">
        <w:rPr>
          <w:lang w:val="en-GB"/>
        </w:rPr>
        <w:t xml:space="preserve">issuances on currencies other than the Georgian Lari – for example US dollars and Euros. </w:t>
      </w:r>
      <w:r w:rsidR="001C20BF">
        <w:rPr>
          <w:lang w:val="en-GB"/>
        </w:rPr>
        <w:t xml:space="preserve">Interest rates </w:t>
      </w:r>
      <w:r w:rsidR="00966D23">
        <w:rPr>
          <w:lang w:val="en-GB"/>
        </w:rPr>
        <w:t xml:space="preserve">based on such ‘hard’ currencies’ which </w:t>
      </w:r>
      <w:r w:rsidR="00966D23">
        <w:rPr>
          <w:lang w:val="en-GB"/>
        </w:rPr>
        <w:lastRenderedPageBreak/>
        <w:t>have lower inflation risk tha</w:t>
      </w:r>
      <w:r w:rsidR="00A94213">
        <w:rPr>
          <w:lang w:val="en-GB"/>
        </w:rPr>
        <w:t>n</w:t>
      </w:r>
      <w:r w:rsidR="00966D23">
        <w:rPr>
          <w:lang w:val="en-GB"/>
        </w:rPr>
        <w:t xml:space="preserve"> the Lari, will </w:t>
      </w:r>
      <w:r w:rsidR="001C20BF">
        <w:rPr>
          <w:lang w:val="en-GB"/>
        </w:rPr>
        <w:t>understate the operator’s actual</w:t>
      </w:r>
      <w:r w:rsidR="00966D23">
        <w:rPr>
          <w:lang w:val="en-GB"/>
        </w:rPr>
        <w:t xml:space="preserve"> </w:t>
      </w:r>
      <w:r w:rsidR="00CD04F6">
        <w:rPr>
          <w:lang w:val="en-GB"/>
        </w:rPr>
        <w:t xml:space="preserve">cost of debt in </w:t>
      </w:r>
      <w:r w:rsidR="00260CD2">
        <w:rPr>
          <w:lang w:val="en-GB"/>
        </w:rPr>
        <w:t xml:space="preserve">Georgian </w:t>
      </w:r>
      <w:r w:rsidR="00CD04F6">
        <w:rPr>
          <w:lang w:val="en-GB"/>
        </w:rPr>
        <w:t>Lari. While we could isolate the debt in Georgian Lari in the operator’s accounts</w:t>
      </w:r>
      <w:r w:rsidR="00FA3D5F">
        <w:rPr>
          <w:lang w:val="en-GB"/>
        </w:rPr>
        <w:t xml:space="preserve"> to obtain a Lari interest rate, we find that </w:t>
      </w:r>
      <w:r w:rsidR="007B7388">
        <w:rPr>
          <w:lang w:val="en-GB"/>
        </w:rPr>
        <w:t xml:space="preserve">rates from these loans </w:t>
      </w:r>
      <w:r w:rsidR="00BC5DD6">
        <w:rPr>
          <w:lang w:val="en-GB"/>
        </w:rPr>
        <w:t>are</w:t>
      </w:r>
      <w:r w:rsidR="007B7388">
        <w:rPr>
          <w:lang w:val="en-GB"/>
        </w:rPr>
        <w:t xml:space="preserve"> even more volatile tha</w:t>
      </w:r>
      <w:r w:rsidR="00260CD2">
        <w:rPr>
          <w:lang w:val="en-GB"/>
        </w:rPr>
        <w:t>n</w:t>
      </w:r>
      <w:r w:rsidR="007B7388">
        <w:rPr>
          <w:lang w:val="en-GB"/>
        </w:rPr>
        <w:t xml:space="preserve"> the overall rate, and in some years there is no Lari debt at all. </w:t>
      </w:r>
    </w:p>
    <w:p w14:paraId="4614EA0B" w14:textId="34F6E9AB" w:rsidR="0012482C" w:rsidRDefault="0012482C" w:rsidP="00500B2F">
      <w:pPr>
        <w:pStyle w:val="ParagraphNumbered"/>
        <w:jc w:val="both"/>
        <w:rPr>
          <w:lang w:val="en-GB"/>
        </w:rPr>
      </w:pPr>
      <w:r>
        <w:rPr>
          <w:lang w:val="en-GB"/>
        </w:rPr>
        <w:t xml:space="preserve">We note that </w:t>
      </w:r>
      <w:r w:rsidR="00223EB0">
        <w:rPr>
          <w:lang w:val="en-GB"/>
        </w:rPr>
        <w:t xml:space="preserve">an </w:t>
      </w:r>
      <w:r w:rsidR="00223EB0" w:rsidRPr="00223EB0">
        <w:rPr>
          <w:lang w:val="en-US"/>
        </w:rPr>
        <w:t xml:space="preserve">analysis prepared by one of </w:t>
      </w:r>
      <w:r w:rsidR="00F43AA8" w:rsidRPr="00223EB0">
        <w:rPr>
          <w:lang w:val="en-US"/>
        </w:rPr>
        <w:t xml:space="preserve">the </w:t>
      </w:r>
      <w:r w:rsidR="00223EB0" w:rsidRPr="00223EB0">
        <w:rPr>
          <w:lang w:val="en-US"/>
        </w:rPr>
        <w:t>stakeholders</w:t>
      </w:r>
      <w:r w:rsidR="00F43AA8" w:rsidRPr="00223EB0">
        <w:rPr>
          <w:lang w:val="en-US"/>
        </w:rPr>
        <w:t xml:space="preserve"> </w:t>
      </w:r>
      <w:r w:rsidR="00F43AA8">
        <w:t xml:space="preserve">estimated a currency risk premium of </w:t>
      </w:r>
      <w:r w:rsidR="00B9006E">
        <w:t xml:space="preserve">one percentage point to convert Euro-dominated debt to Georgian Lari debt. If we adopted the same approach, we would estimate a debt spread of </w:t>
      </w:r>
      <w:r w:rsidR="002C44E1">
        <w:t>3.00</w:t>
      </w:r>
      <w:r w:rsidR="00B9006E">
        <w:t xml:space="preserve">%. </w:t>
      </w:r>
      <w:r w:rsidR="00C128DB">
        <w:t>We note that</w:t>
      </w:r>
      <w:r w:rsidR="00E54EA3">
        <w:t>, all things equal,</w:t>
      </w:r>
      <w:r w:rsidR="00C128DB">
        <w:t xml:space="preserve"> this adjustment will tend to overstate the </w:t>
      </w:r>
      <w:r w:rsidR="00E54EA3">
        <w:t xml:space="preserve">cost of debt because we add the </w:t>
      </w:r>
      <w:r w:rsidR="00661C37">
        <w:t xml:space="preserve">currency risk premium to all debts, even though some of the debts are denominated in Lari. </w:t>
      </w:r>
      <w:r w:rsidR="008D1264">
        <w:t xml:space="preserve">Hence, 3.00% is an upper limit. </w:t>
      </w:r>
    </w:p>
    <w:p w14:paraId="3CD7D9FF" w14:textId="297FD6CA" w:rsidR="00F223FE" w:rsidRPr="00002C7A" w:rsidRDefault="004A2150" w:rsidP="00500B2F">
      <w:pPr>
        <w:pStyle w:val="ParagraphNumbered"/>
        <w:jc w:val="both"/>
        <w:rPr>
          <w:lang w:val="en-GB"/>
        </w:rPr>
      </w:pPr>
      <w:r w:rsidRPr="00002C7A">
        <w:rPr>
          <w:lang w:val="en-GB"/>
        </w:rPr>
        <w:t xml:space="preserve">Third, we consider the debt premia </w:t>
      </w:r>
      <w:r w:rsidR="005801C1" w:rsidRPr="00002C7A">
        <w:rPr>
          <w:lang w:val="en-GB"/>
        </w:rPr>
        <w:t xml:space="preserve">paid by </w:t>
      </w:r>
      <w:r w:rsidR="009B5335" w:rsidRPr="00002C7A">
        <w:rPr>
          <w:lang w:val="en-GB"/>
        </w:rPr>
        <w:t>European telecom</w:t>
      </w:r>
      <w:r w:rsidR="00C37321" w:rsidRPr="00002C7A">
        <w:rPr>
          <w:lang w:val="en-GB"/>
        </w:rPr>
        <w:t>s</w:t>
      </w:r>
      <w:r w:rsidR="009B5335" w:rsidRPr="00002C7A">
        <w:rPr>
          <w:lang w:val="en-GB"/>
        </w:rPr>
        <w:t xml:space="preserve"> operators </w:t>
      </w:r>
      <w:r w:rsidR="007015FD" w:rsidRPr="00002C7A">
        <w:rPr>
          <w:lang w:val="en-GB"/>
        </w:rPr>
        <w:t>as calculated in the BEREC annual reports.</w:t>
      </w:r>
      <w:r w:rsidR="004179A0" w:rsidRPr="00002C7A">
        <w:rPr>
          <w:lang w:val="en-GB"/>
        </w:rPr>
        <w:t xml:space="preserve"> </w:t>
      </w:r>
      <w:r w:rsidR="000C527D" w:rsidRPr="00002C7A">
        <w:rPr>
          <w:lang w:val="en-GB"/>
        </w:rPr>
        <w:fldChar w:fldCharType="begin"/>
      </w:r>
      <w:r w:rsidR="000C527D" w:rsidRPr="00002C7A">
        <w:rPr>
          <w:lang w:val="en-GB"/>
        </w:rPr>
        <w:instrText xml:space="preserve"> REF _Ref217035953 \h </w:instrText>
      </w:r>
      <w:r w:rsidR="000C527D" w:rsidRPr="00002C7A">
        <w:rPr>
          <w:lang w:val="en-GB"/>
        </w:rPr>
      </w:r>
      <w:r w:rsidR="000C527D" w:rsidRPr="00002C7A">
        <w:rPr>
          <w:lang w:val="en-GB"/>
        </w:rPr>
        <w:fldChar w:fldCharType="separate"/>
      </w:r>
      <w:r w:rsidR="007F093A">
        <w:t xml:space="preserve">Table </w:t>
      </w:r>
      <w:r w:rsidR="007F093A">
        <w:rPr>
          <w:noProof/>
        </w:rPr>
        <w:t>15</w:t>
      </w:r>
      <w:r w:rsidR="000C527D" w:rsidRPr="00002C7A">
        <w:rPr>
          <w:lang w:val="en-GB"/>
        </w:rPr>
        <w:fldChar w:fldCharType="end"/>
      </w:r>
      <w:r w:rsidR="008206B0" w:rsidRPr="00002C7A">
        <w:rPr>
          <w:lang w:val="en-GB"/>
        </w:rPr>
        <w:t xml:space="preserve"> </w:t>
      </w:r>
      <w:r w:rsidR="00E001F2" w:rsidRPr="00002C7A">
        <w:rPr>
          <w:lang w:val="en-GB"/>
        </w:rPr>
        <w:t>summari</w:t>
      </w:r>
      <w:r w:rsidR="00F410E2" w:rsidRPr="00002C7A">
        <w:rPr>
          <w:lang w:val="en-GB"/>
        </w:rPr>
        <w:t xml:space="preserve">zes </w:t>
      </w:r>
      <w:r w:rsidR="000147F6" w:rsidRPr="00002C7A">
        <w:rPr>
          <w:lang w:val="en-GB"/>
        </w:rPr>
        <w:t>the debt premi</w:t>
      </w:r>
      <w:r w:rsidR="00F410E2" w:rsidRPr="00002C7A">
        <w:rPr>
          <w:lang w:val="en-GB"/>
        </w:rPr>
        <w:t xml:space="preserve">a reported </w:t>
      </w:r>
      <w:r w:rsidR="00AA4A03" w:rsidRPr="00002C7A">
        <w:rPr>
          <w:lang w:val="en-GB"/>
        </w:rPr>
        <w:t xml:space="preserve">in the 2025 </w:t>
      </w:r>
      <w:r w:rsidR="00F410E2" w:rsidRPr="00002C7A">
        <w:rPr>
          <w:lang w:val="en-GB"/>
        </w:rPr>
        <w:t>BEREC</w:t>
      </w:r>
      <w:r w:rsidR="00AA4A03" w:rsidRPr="00002C7A">
        <w:rPr>
          <w:lang w:val="en-GB"/>
        </w:rPr>
        <w:t xml:space="preserve"> report</w:t>
      </w:r>
      <w:r w:rsidR="00F410E2" w:rsidRPr="00002C7A">
        <w:rPr>
          <w:lang w:val="en-GB"/>
        </w:rPr>
        <w:t>.</w:t>
      </w:r>
      <w:r w:rsidR="000147F6" w:rsidRPr="00002C7A">
        <w:rPr>
          <w:lang w:val="en-GB"/>
        </w:rPr>
        <w:t xml:space="preserve"> </w:t>
      </w:r>
      <w:r w:rsidR="00097FB9" w:rsidRPr="00002C7A">
        <w:rPr>
          <w:lang w:val="en-GB"/>
        </w:rPr>
        <w:t xml:space="preserve">Overall, we observe that </w:t>
      </w:r>
      <w:r w:rsidR="003069FD" w:rsidRPr="00002C7A">
        <w:rPr>
          <w:lang w:val="en-GB"/>
        </w:rPr>
        <w:t>debt premia paid by European telecom</w:t>
      </w:r>
      <w:r w:rsidR="00C37321" w:rsidRPr="00002C7A">
        <w:rPr>
          <w:lang w:val="en-GB"/>
        </w:rPr>
        <w:t>s</w:t>
      </w:r>
      <w:r w:rsidR="003069FD" w:rsidRPr="00002C7A">
        <w:rPr>
          <w:lang w:val="en-GB"/>
        </w:rPr>
        <w:t xml:space="preserve"> operators range between </w:t>
      </w:r>
      <w:r w:rsidR="00041EB0" w:rsidRPr="00002C7A">
        <w:rPr>
          <w:lang w:val="en-GB"/>
        </w:rPr>
        <w:t>0.53</w:t>
      </w:r>
      <w:r w:rsidR="00A76A85" w:rsidRPr="00002C7A">
        <w:rPr>
          <w:lang w:val="en-GB"/>
        </w:rPr>
        <w:t>%</w:t>
      </w:r>
      <w:r w:rsidR="00041EB0" w:rsidRPr="00002C7A">
        <w:rPr>
          <w:lang w:val="en-GB"/>
        </w:rPr>
        <w:t xml:space="preserve"> </w:t>
      </w:r>
      <w:r w:rsidR="003069FD" w:rsidRPr="00002C7A">
        <w:rPr>
          <w:lang w:val="en-GB"/>
        </w:rPr>
        <w:t>for</w:t>
      </w:r>
      <w:r w:rsidR="00041EB0" w:rsidRPr="00002C7A">
        <w:rPr>
          <w:lang w:val="en-GB"/>
        </w:rPr>
        <w:t xml:space="preserve"> </w:t>
      </w:r>
      <w:r w:rsidR="00A76A85" w:rsidRPr="00002C7A">
        <w:rPr>
          <w:lang w:val="en-GB"/>
        </w:rPr>
        <w:t>Telefónica</w:t>
      </w:r>
      <w:r w:rsidR="003069FD" w:rsidRPr="00002C7A">
        <w:rPr>
          <w:lang w:val="en-GB"/>
        </w:rPr>
        <w:t xml:space="preserve"> and </w:t>
      </w:r>
      <w:r w:rsidR="00A76A85" w:rsidRPr="00002C7A">
        <w:rPr>
          <w:lang w:val="en-GB"/>
        </w:rPr>
        <w:t xml:space="preserve">3.05% </w:t>
      </w:r>
      <w:r w:rsidR="003069FD" w:rsidRPr="00002C7A">
        <w:rPr>
          <w:lang w:val="en-GB"/>
        </w:rPr>
        <w:t>for</w:t>
      </w:r>
      <w:r w:rsidR="00821D64" w:rsidRPr="00002C7A">
        <w:rPr>
          <w:lang w:val="en-GB"/>
        </w:rPr>
        <w:t xml:space="preserve"> </w:t>
      </w:r>
      <w:r w:rsidR="00A76A85" w:rsidRPr="00002C7A">
        <w:rPr>
          <w:lang w:val="en-GB"/>
        </w:rPr>
        <w:t>DIGI Communications</w:t>
      </w:r>
      <w:r w:rsidR="003069FD" w:rsidRPr="00002C7A">
        <w:rPr>
          <w:lang w:val="en-GB"/>
        </w:rPr>
        <w:t xml:space="preserve">, with an average of </w:t>
      </w:r>
      <w:r w:rsidR="00AA4814" w:rsidRPr="00002C7A">
        <w:rPr>
          <w:lang w:val="en-GB"/>
        </w:rPr>
        <w:t>1.3</w:t>
      </w:r>
      <w:r w:rsidR="00A76A85" w:rsidRPr="00002C7A">
        <w:rPr>
          <w:lang w:val="en-GB"/>
        </w:rPr>
        <w:t>4</w:t>
      </w:r>
      <w:r w:rsidR="00AA4814" w:rsidRPr="00002C7A">
        <w:rPr>
          <w:lang w:val="en-GB"/>
        </w:rPr>
        <w:t>%</w:t>
      </w:r>
      <w:r w:rsidR="009E7A27" w:rsidRPr="00002C7A">
        <w:rPr>
          <w:lang w:val="en-GB"/>
        </w:rPr>
        <w:t>.</w:t>
      </w:r>
      <w:r w:rsidR="004D58B9" w:rsidRPr="00002C7A">
        <w:rPr>
          <w:lang w:val="en-GB"/>
        </w:rPr>
        <w:t xml:space="preserve"> </w:t>
      </w:r>
      <w:r w:rsidR="00A76A85" w:rsidRPr="00002C7A">
        <w:rPr>
          <w:lang w:val="en-GB"/>
        </w:rPr>
        <w:t xml:space="preserve">We </w:t>
      </w:r>
      <w:r w:rsidR="00821D64" w:rsidRPr="00002C7A">
        <w:rPr>
          <w:lang w:val="en-GB"/>
        </w:rPr>
        <w:t>further</w:t>
      </w:r>
      <w:r w:rsidR="00A76A85" w:rsidRPr="00002C7A">
        <w:rPr>
          <w:lang w:val="en-GB"/>
        </w:rPr>
        <w:t xml:space="preserve"> note that the debt premium for companies below investment grade is significantly higher than the </w:t>
      </w:r>
      <w:r w:rsidR="00821D64" w:rsidRPr="00002C7A">
        <w:rPr>
          <w:lang w:val="en-GB"/>
        </w:rPr>
        <w:t>average</w:t>
      </w:r>
      <w:r w:rsidR="00A76A85" w:rsidRPr="00002C7A">
        <w:rPr>
          <w:lang w:val="en-GB"/>
        </w:rPr>
        <w:t xml:space="preserve">, with Telecom Italia (BB) at 2.23% and DIGI Communications (BB-) at 3.05%. </w:t>
      </w:r>
      <w:r w:rsidR="00581B76">
        <w:rPr>
          <w:lang w:val="en-GB"/>
        </w:rPr>
        <w:t xml:space="preserve">The average </w:t>
      </w:r>
      <w:r w:rsidR="00A21DD3">
        <w:rPr>
          <w:lang w:val="en-GB"/>
        </w:rPr>
        <w:t xml:space="preserve">between the spreads calculated for </w:t>
      </w:r>
      <w:r w:rsidR="00A21DD3" w:rsidRPr="00002C7A">
        <w:rPr>
          <w:lang w:val="en-GB"/>
        </w:rPr>
        <w:t xml:space="preserve">Telecom Italia and DIGI Communications </w:t>
      </w:r>
      <w:r w:rsidR="00A21DD3">
        <w:rPr>
          <w:lang w:val="en-GB"/>
        </w:rPr>
        <w:t>is equal to 2.64%.</w:t>
      </w:r>
    </w:p>
    <w:p w14:paraId="4D95E14F" w14:textId="1F533222" w:rsidR="000C527D" w:rsidRDefault="008206B0" w:rsidP="000C527D">
      <w:pPr>
        <w:pStyle w:val="Caption"/>
        <w:jc w:val="both"/>
      </w:pPr>
      <w:bookmarkStart w:id="293" w:name="_Ref217035953"/>
      <w:bookmarkStart w:id="294" w:name="_Toc217060090"/>
      <w:bookmarkStart w:id="295" w:name="_Toc219739807"/>
      <w:r>
        <w:lastRenderedPageBreak/>
        <w:t xml:space="preserve">Table </w:t>
      </w:r>
      <w:fldSimple w:instr=" SEQ Table \* ARABIC ">
        <w:r w:rsidR="007F093A">
          <w:rPr>
            <w:noProof/>
          </w:rPr>
          <w:t>15</w:t>
        </w:r>
      </w:fldSimple>
      <w:bookmarkEnd w:id="293"/>
      <w:r w:rsidR="000C527D">
        <w:t xml:space="preserve">: Cost of debt - </w:t>
      </w:r>
      <w:bookmarkEnd w:id="294"/>
      <w:r w:rsidR="000C527D">
        <w:t>B</w:t>
      </w:r>
      <w:r w:rsidR="00EA70AF">
        <w:t>EREC</w:t>
      </w:r>
      <w:bookmarkEnd w:id="295"/>
    </w:p>
    <w:p w14:paraId="0D238048" w14:textId="10B31C4E" w:rsidR="00751D1D" w:rsidRDefault="009E59B4" w:rsidP="002F6D90">
      <w:pPr>
        <w:pStyle w:val="Figure"/>
        <w:jc w:val="both"/>
        <w:rPr>
          <w:lang w:val="en-GB"/>
        </w:rPr>
      </w:pPr>
      <w:r w:rsidRPr="009E59B4">
        <w:drawing>
          <wp:inline distT="0" distB="0" distL="0" distR="0" wp14:anchorId="2C724648" wp14:editId="06E05EF7">
            <wp:extent cx="5731510" cy="4873625"/>
            <wp:effectExtent l="0" t="0" r="2540" b="3175"/>
            <wp:docPr id="1459922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4873625"/>
                    </a:xfrm>
                    <a:prstGeom prst="rect">
                      <a:avLst/>
                    </a:prstGeom>
                    <a:noFill/>
                    <a:ln>
                      <a:noFill/>
                    </a:ln>
                  </pic:spPr>
                </pic:pic>
              </a:graphicData>
            </a:graphic>
          </wp:inline>
        </w:drawing>
      </w:r>
    </w:p>
    <w:p w14:paraId="488CADE0" w14:textId="01BD62D2" w:rsidR="00A83CC7" w:rsidRPr="00165FE4" w:rsidRDefault="00A83CC7" w:rsidP="00A83CC7">
      <w:pPr>
        <w:pStyle w:val="ParagraphNumbered"/>
        <w:rPr>
          <w:lang w:val="en-GB"/>
        </w:rPr>
      </w:pPr>
      <w:r>
        <w:rPr>
          <w:lang w:val="en-GB"/>
        </w:rPr>
        <w:t xml:space="preserve">Finally, NBG </w:t>
      </w:r>
      <w:r w:rsidRPr="00165FE4">
        <w:rPr>
          <w:lang w:val="en-GB"/>
        </w:rPr>
        <w:t xml:space="preserve">publishes </w:t>
      </w:r>
      <w:r>
        <w:rPr>
          <w:lang w:val="en-GB"/>
        </w:rPr>
        <w:t xml:space="preserve">the estimated interest rates or yields for Georgian </w:t>
      </w:r>
      <w:r w:rsidRPr="00165FE4">
        <w:rPr>
          <w:lang w:val="en-GB"/>
        </w:rPr>
        <w:t xml:space="preserve">BB </w:t>
      </w:r>
      <w:r>
        <w:rPr>
          <w:lang w:val="en-GB"/>
        </w:rPr>
        <w:t xml:space="preserve">rated debt denominated in Lari for different maturities – a ‘BB </w:t>
      </w:r>
      <w:r w:rsidRPr="00165FE4">
        <w:rPr>
          <w:lang w:val="en-GB"/>
        </w:rPr>
        <w:t>Corporate Curve</w:t>
      </w:r>
      <w:r>
        <w:rPr>
          <w:lang w:val="en-GB"/>
        </w:rPr>
        <w:t>’.</w:t>
      </w:r>
      <w:r w:rsidR="003B2B42">
        <w:rPr>
          <w:rStyle w:val="FootnoteReference"/>
          <w:lang w:val="en-GB"/>
        </w:rPr>
        <w:footnoteReference w:id="52"/>
      </w:r>
      <w:r w:rsidRPr="00165FE4">
        <w:rPr>
          <w:lang w:val="en-GB"/>
        </w:rPr>
        <w:t xml:space="preserve"> We understand that </w:t>
      </w:r>
      <w:r>
        <w:rPr>
          <w:lang w:val="en-GB"/>
        </w:rPr>
        <w:t xml:space="preserve">NBG calculates the BB </w:t>
      </w:r>
      <w:r w:rsidRPr="00165FE4">
        <w:rPr>
          <w:lang w:val="en-GB"/>
        </w:rPr>
        <w:t xml:space="preserve">Corporate Curve by adding a spread to the yield curve </w:t>
      </w:r>
      <w:r>
        <w:rPr>
          <w:lang w:val="en-GB"/>
        </w:rPr>
        <w:t xml:space="preserve">for Georgian government bonds, also in Lari. </w:t>
      </w:r>
      <w:r w:rsidRPr="00165FE4">
        <w:rPr>
          <w:lang w:val="en-GB"/>
        </w:rPr>
        <w:t xml:space="preserve">As of 30 September 2025, corresponding to Brattle’s measurement date, </w:t>
      </w:r>
      <w:r>
        <w:rPr>
          <w:lang w:val="en-GB"/>
        </w:rPr>
        <w:t xml:space="preserve">NBG estimated the </w:t>
      </w:r>
      <w:r w:rsidRPr="00165FE4">
        <w:rPr>
          <w:lang w:val="en-GB"/>
        </w:rPr>
        <w:t xml:space="preserve">yield on 10-year BB </w:t>
      </w:r>
      <w:r>
        <w:rPr>
          <w:lang w:val="en-GB"/>
        </w:rPr>
        <w:t xml:space="preserve">Georgian </w:t>
      </w:r>
      <w:r w:rsidRPr="00165FE4">
        <w:rPr>
          <w:lang w:val="en-GB"/>
        </w:rPr>
        <w:t xml:space="preserve">corporate bonds </w:t>
      </w:r>
      <w:r>
        <w:rPr>
          <w:lang w:val="en-GB"/>
        </w:rPr>
        <w:t xml:space="preserve">in Lari </w:t>
      </w:r>
      <w:r w:rsidRPr="00165FE4">
        <w:rPr>
          <w:lang w:val="en-GB"/>
        </w:rPr>
        <w:t>at 14.35%. By subtracting the</w:t>
      </w:r>
      <w:r w:rsidR="002F6D90">
        <w:rPr>
          <w:lang w:val="en-GB"/>
        </w:rPr>
        <w:t xml:space="preserve"> </w:t>
      </w:r>
      <w:r w:rsidRPr="00165FE4">
        <w:rPr>
          <w:lang w:val="en-GB"/>
        </w:rPr>
        <w:t>contemporaneous 10-year government bond yield we derive an implied spread of 4.</w:t>
      </w:r>
      <w:r w:rsidR="0098035B">
        <w:rPr>
          <w:lang w:val="en-GB"/>
        </w:rPr>
        <w:t>44</w:t>
      </w:r>
      <w:r w:rsidRPr="00165FE4">
        <w:rPr>
          <w:lang w:val="en-GB"/>
        </w:rPr>
        <w:t xml:space="preserve">%. </w:t>
      </w:r>
    </w:p>
    <w:p w14:paraId="5AD4DF8D" w14:textId="5736F054" w:rsidR="00BC666F" w:rsidRDefault="00BC666F" w:rsidP="00BC666F">
      <w:pPr>
        <w:pStyle w:val="Heading2"/>
        <w:rPr>
          <w:lang w:val="en-GB"/>
        </w:rPr>
      </w:pPr>
      <w:bookmarkStart w:id="296" w:name="_Toc219739787"/>
      <w:r>
        <w:rPr>
          <w:lang w:val="en-GB"/>
        </w:rPr>
        <w:t>Conclusions on the Cost of Debt</w:t>
      </w:r>
      <w:bookmarkEnd w:id="296"/>
      <w:r>
        <w:rPr>
          <w:lang w:val="en-GB"/>
        </w:rPr>
        <w:t xml:space="preserve"> </w:t>
      </w:r>
    </w:p>
    <w:p w14:paraId="457952B6" w14:textId="00ED8A1D" w:rsidR="00A83CC7" w:rsidRDefault="00A83CC7" w:rsidP="00A83CC7">
      <w:pPr>
        <w:pStyle w:val="ParagraphNumbered"/>
        <w:rPr>
          <w:lang w:val="en-GB"/>
        </w:rPr>
      </w:pPr>
      <w:r w:rsidRPr="00165FE4">
        <w:rPr>
          <w:lang w:val="en-GB"/>
        </w:rPr>
        <w:t xml:space="preserve">In </w:t>
      </w:r>
      <w:r w:rsidR="00BC5DD6">
        <w:rPr>
          <w:lang w:val="en-GB"/>
        </w:rPr>
        <w:fldChar w:fldCharType="begin"/>
      </w:r>
      <w:r w:rsidR="00BC5DD6">
        <w:rPr>
          <w:lang w:val="en-GB"/>
        </w:rPr>
        <w:instrText xml:space="preserve"> REF _Ref217035986 \h </w:instrText>
      </w:r>
      <w:r w:rsidR="00BC5DD6">
        <w:rPr>
          <w:lang w:val="en-GB"/>
        </w:rPr>
      </w:r>
      <w:r w:rsidR="00BC5DD6">
        <w:rPr>
          <w:lang w:val="en-GB"/>
        </w:rPr>
        <w:fldChar w:fldCharType="separate"/>
      </w:r>
      <w:r w:rsidR="007F093A">
        <w:t xml:space="preserve">Table </w:t>
      </w:r>
      <w:r w:rsidR="007F093A">
        <w:rPr>
          <w:noProof/>
        </w:rPr>
        <w:t>16</w:t>
      </w:r>
      <w:r w:rsidR="00BC5DD6">
        <w:rPr>
          <w:lang w:val="en-GB"/>
        </w:rPr>
        <w:fldChar w:fldCharType="end"/>
      </w:r>
      <w:r w:rsidR="00BC5DD6">
        <w:rPr>
          <w:lang w:val="en-GB"/>
        </w:rPr>
        <w:t xml:space="preserve"> </w:t>
      </w:r>
      <w:r w:rsidRPr="00165FE4">
        <w:rPr>
          <w:lang w:val="en-GB"/>
        </w:rPr>
        <w:t xml:space="preserve">below we </w:t>
      </w:r>
      <w:r w:rsidR="00742F93">
        <w:rPr>
          <w:lang w:val="en-GB"/>
        </w:rPr>
        <w:t xml:space="preserve">compare </w:t>
      </w:r>
      <w:r w:rsidRPr="00165FE4">
        <w:rPr>
          <w:lang w:val="en-GB"/>
        </w:rPr>
        <w:t xml:space="preserve">the spread, and the resulting cost of debt, calculated using the </w:t>
      </w:r>
      <w:r w:rsidR="001971AF">
        <w:rPr>
          <w:lang w:val="en-GB"/>
        </w:rPr>
        <w:t xml:space="preserve">alternative measures of the </w:t>
      </w:r>
      <w:r w:rsidR="00B43DE2">
        <w:rPr>
          <w:lang w:val="en-GB"/>
        </w:rPr>
        <w:t>spread calculated in the previous section</w:t>
      </w:r>
      <w:r w:rsidR="00D8378E">
        <w:rPr>
          <w:lang w:val="en-GB"/>
        </w:rPr>
        <w:t>.</w:t>
      </w:r>
      <w:r w:rsidRPr="00165FE4">
        <w:rPr>
          <w:lang w:val="en-GB"/>
        </w:rPr>
        <w:t xml:space="preserve"> </w:t>
      </w:r>
    </w:p>
    <w:p w14:paraId="39563E15" w14:textId="4341B08D" w:rsidR="00A83CC7" w:rsidRDefault="00A83CC7" w:rsidP="00543706">
      <w:pPr>
        <w:pStyle w:val="ParagraphNumbered"/>
        <w:rPr>
          <w:lang w:val="en-GB"/>
        </w:rPr>
      </w:pPr>
      <w:r w:rsidRPr="00543706">
        <w:rPr>
          <w:lang w:val="en-GB"/>
        </w:rPr>
        <w:lastRenderedPageBreak/>
        <w:t xml:space="preserve">We note that the spread resulting from the BB Corporate Curve </w:t>
      </w:r>
      <w:r w:rsidR="004F00A9" w:rsidRPr="00165FE4">
        <w:rPr>
          <w:lang w:val="en-GB"/>
        </w:rPr>
        <w:t>(4.</w:t>
      </w:r>
      <w:r w:rsidR="004F00A9">
        <w:rPr>
          <w:lang w:val="en-GB"/>
        </w:rPr>
        <w:t>44</w:t>
      </w:r>
      <w:r w:rsidR="004F00A9" w:rsidRPr="00165FE4">
        <w:rPr>
          <w:lang w:val="en-GB"/>
        </w:rPr>
        <w:t>%)</w:t>
      </w:r>
      <w:r w:rsidRPr="00543706">
        <w:rPr>
          <w:lang w:val="en-GB"/>
        </w:rPr>
        <w:t xml:space="preserve"> is significantly higher than the average spread for corporate loans in Georgia </w:t>
      </w:r>
      <w:r w:rsidR="004F00A9" w:rsidRPr="00165FE4">
        <w:rPr>
          <w:lang w:val="en-GB"/>
        </w:rPr>
        <w:t>(3.81%)</w:t>
      </w:r>
      <w:r w:rsidR="004F00A9">
        <w:rPr>
          <w:lang w:val="en-GB"/>
        </w:rPr>
        <w:t xml:space="preserve"> </w:t>
      </w:r>
      <w:r w:rsidRPr="00543706">
        <w:rPr>
          <w:lang w:val="en-GB"/>
        </w:rPr>
        <w:t xml:space="preserve"> – which was the measure considered in the last regulatory period. This is highly surprising, as </w:t>
      </w:r>
      <w:r w:rsidR="00424EBE" w:rsidRPr="00543706">
        <w:rPr>
          <w:lang w:val="en-GB"/>
        </w:rPr>
        <w:t xml:space="preserve">we </w:t>
      </w:r>
      <w:r w:rsidRPr="00543706">
        <w:rPr>
          <w:lang w:val="en-GB"/>
        </w:rPr>
        <w:t xml:space="preserve">would expect rated bonds to command lower </w:t>
      </w:r>
      <w:r w:rsidR="00424EBE" w:rsidRPr="00543706">
        <w:rPr>
          <w:lang w:val="en-GB"/>
        </w:rPr>
        <w:t xml:space="preserve">yields or interest </w:t>
      </w:r>
      <w:r w:rsidRPr="00543706">
        <w:rPr>
          <w:lang w:val="en-GB"/>
        </w:rPr>
        <w:t>rates than non-traded corporate loans. Possible explanations of this result may be attributable to sample selection as well as liquidity and size issues. However, we do not have sufficient information to make sense of this difference.</w:t>
      </w:r>
      <w:r w:rsidR="00313F75" w:rsidRPr="00543706">
        <w:rPr>
          <w:lang w:val="en-GB"/>
        </w:rPr>
        <w:t xml:space="preserve"> </w:t>
      </w:r>
      <w:r w:rsidR="00543706">
        <w:rPr>
          <w:lang w:val="en-GB"/>
        </w:rPr>
        <w:t>W</w:t>
      </w:r>
      <w:r w:rsidR="00543706" w:rsidRPr="00543706">
        <w:rPr>
          <w:lang w:val="en-GB"/>
        </w:rPr>
        <w:t xml:space="preserve">e </w:t>
      </w:r>
      <w:r w:rsidR="00543706">
        <w:rPr>
          <w:lang w:val="en-GB"/>
        </w:rPr>
        <w:t xml:space="preserve">also </w:t>
      </w:r>
      <w:r w:rsidR="00543706" w:rsidRPr="00543706">
        <w:rPr>
          <w:lang w:val="en-GB"/>
        </w:rPr>
        <w:t>note that the estimated spread of 4.</w:t>
      </w:r>
      <w:r w:rsidR="0098035B">
        <w:rPr>
          <w:lang w:val="en-GB"/>
        </w:rPr>
        <w:t>44</w:t>
      </w:r>
      <w:r w:rsidR="00543706" w:rsidRPr="00543706">
        <w:rPr>
          <w:lang w:val="en-GB"/>
        </w:rPr>
        <w:t xml:space="preserve">% from the BB Corporate Curve is also significantly higher than the highest spread calculated for telecoms operators by BEREC, equal to 3.05%. Based on the considerations above, we conclude that the BB Corporate Curve does not provide </w:t>
      </w:r>
      <w:r w:rsidR="00543706">
        <w:rPr>
          <w:lang w:val="en-GB"/>
        </w:rPr>
        <w:t xml:space="preserve">a </w:t>
      </w:r>
      <w:r w:rsidR="00543706" w:rsidRPr="00543706">
        <w:rPr>
          <w:lang w:val="en-GB"/>
        </w:rPr>
        <w:t xml:space="preserve">reliable </w:t>
      </w:r>
      <w:r w:rsidR="009238F6">
        <w:rPr>
          <w:lang w:val="en-GB"/>
        </w:rPr>
        <w:t xml:space="preserve">data point for </w:t>
      </w:r>
      <w:r w:rsidR="00543706" w:rsidRPr="00543706">
        <w:rPr>
          <w:lang w:val="en-GB"/>
        </w:rPr>
        <w:t xml:space="preserve">the cost of debt of telecoms operators in Georgia. </w:t>
      </w:r>
    </w:p>
    <w:p w14:paraId="1295E8B4" w14:textId="4A1EE897" w:rsidR="00BC666F" w:rsidRDefault="00BC666F" w:rsidP="00543706">
      <w:pPr>
        <w:pStyle w:val="ParagraphNumbered"/>
        <w:rPr>
          <w:lang w:val="en-GB"/>
        </w:rPr>
      </w:pPr>
      <w:r>
        <w:rPr>
          <w:lang w:val="en-GB"/>
        </w:rPr>
        <w:t xml:space="preserve">As noted above, we consider that the previous method, </w:t>
      </w:r>
      <w:r w:rsidR="00613D24">
        <w:rPr>
          <w:lang w:val="en-GB"/>
        </w:rPr>
        <w:t xml:space="preserve">based on interest rate data from the NBG, is likely to overstate interest costs for Georgian telecoms operators. The firms are likely to be larger than the average firm size in the NBG sample, and can obtain lower rates by borrowing against assets. </w:t>
      </w:r>
    </w:p>
    <w:p w14:paraId="76D32348" w14:textId="1ECDBAC1" w:rsidR="00613D24" w:rsidRPr="00002C7A" w:rsidRDefault="00BF5668" w:rsidP="00543706">
      <w:pPr>
        <w:pStyle w:val="ParagraphNumbered"/>
        <w:rPr>
          <w:lang w:val="en-GB"/>
        </w:rPr>
      </w:pPr>
      <w:r>
        <w:rPr>
          <w:lang w:val="en-GB"/>
        </w:rPr>
        <w:t xml:space="preserve">We also find that the </w:t>
      </w:r>
      <w:r w:rsidR="009F5F79">
        <w:rPr>
          <w:lang w:val="en-GB"/>
        </w:rPr>
        <w:t xml:space="preserve">cost of </w:t>
      </w:r>
      <w:r w:rsidR="00613D24">
        <w:rPr>
          <w:lang w:val="en-GB"/>
        </w:rPr>
        <w:t xml:space="preserve">debt rate </w:t>
      </w:r>
      <w:r w:rsidR="009F5F79">
        <w:rPr>
          <w:lang w:val="en-GB"/>
        </w:rPr>
        <w:t xml:space="preserve">estimated from the </w:t>
      </w:r>
      <w:r>
        <w:rPr>
          <w:lang w:val="en-GB"/>
        </w:rPr>
        <w:t xml:space="preserve">operators accounts is </w:t>
      </w:r>
      <w:r w:rsidR="00A30C07">
        <w:rPr>
          <w:lang w:val="en-GB"/>
        </w:rPr>
        <w:t>problematic</w:t>
      </w:r>
      <w:r>
        <w:rPr>
          <w:lang w:val="en-GB"/>
        </w:rPr>
        <w:t xml:space="preserve">, </w:t>
      </w:r>
      <w:r w:rsidRPr="00CE20DF">
        <w:t>because</w:t>
      </w:r>
      <w:r w:rsidRPr="005C1FBF">
        <w:t xml:space="preserve"> the data </w:t>
      </w:r>
      <w:r w:rsidR="0030754D" w:rsidRPr="005C1FBF">
        <w:t xml:space="preserve">includes </w:t>
      </w:r>
      <w:r w:rsidR="0030754D">
        <w:t xml:space="preserve">debt issued in foreign </w:t>
      </w:r>
      <w:r w:rsidR="0030754D" w:rsidRPr="005C1FBF">
        <w:t>currenc</w:t>
      </w:r>
      <w:r w:rsidR="0030754D">
        <w:t>ies</w:t>
      </w:r>
      <w:r w:rsidR="0030754D" w:rsidRPr="005C1FBF">
        <w:t xml:space="preserve"> </w:t>
      </w:r>
      <w:r w:rsidR="0030754D">
        <w:t xml:space="preserve">while </w:t>
      </w:r>
      <w:r w:rsidR="0030754D" w:rsidRPr="005C1FBF">
        <w:t xml:space="preserve">the data for debt </w:t>
      </w:r>
      <w:r w:rsidR="0030754D">
        <w:t xml:space="preserve">in Georgian Lari </w:t>
      </w:r>
      <w:r w:rsidR="0030754D" w:rsidRPr="005C1FBF">
        <w:t>is patchy and volatile</w:t>
      </w:r>
      <w:r w:rsidR="0030754D">
        <w:t>.</w:t>
      </w:r>
      <w:r w:rsidR="0030773E">
        <w:t xml:space="preserve"> The estimated </w:t>
      </w:r>
      <w:r w:rsidR="00984374">
        <w:t>spread</w:t>
      </w:r>
      <w:r w:rsidR="0030773E">
        <w:t xml:space="preserve"> </w:t>
      </w:r>
      <w:r w:rsidR="00C1461B">
        <w:rPr>
          <w:lang w:val="en-GB"/>
        </w:rPr>
        <w:t xml:space="preserve">of 2.00% </w:t>
      </w:r>
      <w:r w:rsidR="00984374">
        <w:rPr>
          <w:lang w:val="en-GB"/>
        </w:rPr>
        <w:t xml:space="preserve">is likely to understate </w:t>
      </w:r>
      <w:r w:rsidR="00984374" w:rsidRPr="00984374">
        <w:rPr>
          <w:lang w:val="en-GB"/>
        </w:rPr>
        <w:t>the operators</w:t>
      </w:r>
      <w:r w:rsidR="00350B99">
        <w:rPr>
          <w:lang w:val="en-GB"/>
        </w:rPr>
        <w:t>’</w:t>
      </w:r>
      <w:r w:rsidR="00984374" w:rsidRPr="00984374">
        <w:rPr>
          <w:lang w:val="en-GB"/>
        </w:rPr>
        <w:t xml:space="preserve"> actual cost of debt in Georgian Lari</w:t>
      </w:r>
      <w:r w:rsidR="00463F45">
        <w:rPr>
          <w:lang w:val="en-GB"/>
        </w:rPr>
        <w:t xml:space="preserve">. Similarly, the </w:t>
      </w:r>
      <w:r w:rsidR="006C70FB">
        <w:rPr>
          <w:lang w:val="en-GB"/>
        </w:rPr>
        <w:t>spread</w:t>
      </w:r>
      <w:r w:rsidR="00EA70AF">
        <w:rPr>
          <w:lang w:val="en-GB"/>
        </w:rPr>
        <w:t xml:space="preserve"> </w:t>
      </w:r>
      <w:r w:rsidR="001C0872">
        <w:rPr>
          <w:lang w:val="en-GB"/>
        </w:rPr>
        <w:t xml:space="preserve">of 3.00% calculated by adding to the estimated </w:t>
      </w:r>
      <w:r w:rsidR="006C70FB">
        <w:rPr>
          <w:lang w:val="en-GB"/>
        </w:rPr>
        <w:t>spread</w:t>
      </w:r>
      <w:r w:rsidR="00DD644E">
        <w:rPr>
          <w:lang w:val="en-GB"/>
        </w:rPr>
        <w:t xml:space="preserve"> a 1% currency risk premium </w:t>
      </w:r>
      <w:r w:rsidR="00DD644E">
        <w:t>to convert Euro-dominated debt to Georgian Lari debt</w:t>
      </w:r>
      <w:r w:rsidR="006F73AA">
        <w:t xml:space="preserve"> only provides an upper bound to </w:t>
      </w:r>
      <w:r w:rsidR="00350B99" w:rsidRPr="00984374">
        <w:rPr>
          <w:lang w:val="en-GB"/>
        </w:rPr>
        <w:t>the operators</w:t>
      </w:r>
      <w:r w:rsidR="00350B99">
        <w:rPr>
          <w:lang w:val="en-GB"/>
        </w:rPr>
        <w:t>’</w:t>
      </w:r>
      <w:r w:rsidR="00350B99" w:rsidRPr="00984374">
        <w:rPr>
          <w:lang w:val="en-GB"/>
        </w:rPr>
        <w:t xml:space="preserve"> actual cost of debt</w:t>
      </w:r>
      <w:r w:rsidR="00350B99">
        <w:rPr>
          <w:lang w:val="en-GB"/>
        </w:rPr>
        <w:t>, because some of their debt is already in Georgian L</w:t>
      </w:r>
      <w:r w:rsidR="00EA70AF">
        <w:rPr>
          <w:lang w:val="en-GB"/>
        </w:rPr>
        <w:t>a</w:t>
      </w:r>
      <w:r w:rsidR="00350B99">
        <w:rPr>
          <w:lang w:val="en-GB"/>
        </w:rPr>
        <w:t>ri.</w:t>
      </w:r>
    </w:p>
    <w:p w14:paraId="271D6D09" w14:textId="2D342804" w:rsidR="00E17B9A" w:rsidRPr="000C0710" w:rsidRDefault="007E0A5D">
      <w:pPr>
        <w:pStyle w:val="ParagraphNumbered"/>
        <w:jc w:val="both"/>
        <w:rPr>
          <w:lang w:val="en-GB"/>
        </w:rPr>
      </w:pPr>
      <w:r w:rsidRPr="000C0710">
        <w:rPr>
          <w:lang w:val="en-GB"/>
        </w:rPr>
        <w:t xml:space="preserve">Hence, we conclude that deriving a cost of debt from the BEREC data will likely give the most reliable estimate of the cost of debt for Georgian operators. </w:t>
      </w:r>
      <w:r w:rsidR="00AA3983" w:rsidRPr="000C0710">
        <w:rPr>
          <w:lang w:val="en-GB"/>
        </w:rPr>
        <w:t xml:space="preserve">However, we note that </w:t>
      </w:r>
      <w:r w:rsidR="00E17B9A" w:rsidRPr="000C0710">
        <w:rPr>
          <w:lang w:val="en-GB"/>
        </w:rPr>
        <w:t>Cellfie and Silknet are rated BB- and B+, respectively.</w:t>
      </w:r>
      <w:r w:rsidR="00E17B9A" w:rsidRPr="00002C7A">
        <w:rPr>
          <w:rStyle w:val="FootnoteReference"/>
          <w:lang w:val="en-GB"/>
        </w:rPr>
        <w:footnoteReference w:id="53"/>
      </w:r>
      <w:r w:rsidR="00E17B9A" w:rsidRPr="000C0710">
        <w:rPr>
          <w:lang w:val="en-GB"/>
        </w:rPr>
        <w:t xml:space="preserve"> These ratings are lower than those of most European peers, indicating a higher level of credit risk. </w:t>
      </w:r>
      <w:r w:rsidR="00964A30" w:rsidRPr="000C0710">
        <w:rPr>
          <w:lang w:val="en-GB"/>
        </w:rPr>
        <w:t>T</w:t>
      </w:r>
      <w:r w:rsidR="00C43602" w:rsidRPr="000C0710">
        <w:rPr>
          <w:lang w:val="en-GB"/>
        </w:rPr>
        <w:t>his strongly suggests that using the BEREC average debt premium of 1.3</w:t>
      </w:r>
      <w:r w:rsidR="007E6F3E">
        <w:rPr>
          <w:lang w:val="en-GB"/>
        </w:rPr>
        <w:t>4</w:t>
      </w:r>
      <w:r w:rsidR="00C43602" w:rsidRPr="000C0710">
        <w:rPr>
          <w:lang w:val="en-GB"/>
        </w:rPr>
        <w:t>% would understate the true cost of debt for Georgian telecoms operators.</w:t>
      </w:r>
      <w:r w:rsidR="00964A30" w:rsidRPr="000C0710">
        <w:rPr>
          <w:lang w:val="en-GB"/>
        </w:rPr>
        <w:t xml:space="preserve"> T</w:t>
      </w:r>
      <w:r w:rsidR="00E17B9A" w:rsidRPr="000C0710">
        <w:rPr>
          <w:lang w:val="en-GB"/>
        </w:rPr>
        <w:t>he cost of debt faced by Georgian operators is likely higher than the benchmark estimate of 1.3</w:t>
      </w:r>
      <w:r w:rsidR="007E6F3E">
        <w:rPr>
          <w:lang w:val="en-GB"/>
        </w:rPr>
        <w:t>4</w:t>
      </w:r>
      <w:r w:rsidR="00E17B9A" w:rsidRPr="000C0710">
        <w:rPr>
          <w:lang w:val="en-GB"/>
        </w:rPr>
        <w:t xml:space="preserve">%, and more in line with the debt premia paid by companies such as Telecom Italia and DIGI Communications being 2.23% and 3.05% respectively. </w:t>
      </w:r>
      <w:r w:rsidR="00964A30" w:rsidRPr="000C0710">
        <w:rPr>
          <w:lang w:val="en-GB"/>
        </w:rPr>
        <w:t xml:space="preserve"> Hence, we estimate the cost of debt based on the average spread for Telecom Italia and DIGI </w:t>
      </w:r>
      <w:r w:rsidR="00964A30" w:rsidRPr="000C0710">
        <w:rPr>
          <w:lang w:val="en-GB"/>
        </w:rPr>
        <w:lastRenderedPageBreak/>
        <w:t xml:space="preserve">Communications, the lowest-rated operators in the BEREC </w:t>
      </w:r>
      <w:r w:rsidR="00124315" w:rsidRPr="000C0710">
        <w:rPr>
          <w:lang w:val="en-GB"/>
        </w:rPr>
        <w:t>sample</w:t>
      </w:r>
      <w:r w:rsidR="00350B99" w:rsidRPr="00350B99">
        <w:rPr>
          <w:lang w:val="en-GB"/>
        </w:rPr>
        <w:t>, equal to 2.64%</w:t>
      </w:r>
      <w:r w:rsidR="00124315" w:rsidRPr="00350B99">
        <w:rPr>
          <w:lang w:val="en-GB"/>
        </w:rPr>
        <w:t>.</w:t>
      </w:r>
      <w:r w:rsidR="00124315" w:rsidRPr="000C0710">
        <w:rPr>
          <w:lang w:val="en-GB"/>
        </w:rPr>
        <w:t xml:space="preserve"> This yields a debt spread of 2.6</w:t>
      </w:r>
      <w:r w:rsidR="00623336" w:rsidRPr="000C0710">
        <w:rPr>
          <w:lang w:val="en-GB"/>
        </w:rPr>
        <w:t>4</w:t>
      </w:r>
      <w:r w:rsidR="00124315" w:rsidRPr="000C0710">
        <w:rPr>
          <w:lang w:val="en-GB"/>
        </w:rPr>
        <w:t>%.</w:t>
      </w:r>
      <w:r w:rsidR="000C0710">
        <w:rPr>
          <w:rStyle w:val="FootnoteReference"/>
          <w:lang w:val="en-GB"/>
        </w:rPr>
        <w:footnoteReference w:id="54"/>
      </w:r>
      <w:r w:rsidR="00F879EC">
        <w:rPr>
          <w:lang w:val="en-GB"/>
        </w:rPr>
        <w:t xml:space="preserve"> </w:t>
      </w:r>
    </w:p>
    <w:p w14:paraId="02D56EBE" w14:textId="10141FA9" w:rsidR="005604DE" w:rsidRDefault="00F11FF4" w:rsidP="00500B2F">
      <w:pPr>
        <w:pStyle w:val="Caption"/>
        <w:jc w:val="both"/>
      </w:pPr>
      <w:bookmarkStart w:id="297" w:name="_Ref217035986"/>
      <w:bookmarkStart w:id="298" w:name="_Toc219739808"/>
      <w:bookmarkStart w:id="299" w:name="_Toc217060091"/>
      <w:r>
        <w:t xml:space="preserve">Table </w:t>
      </w:r>
      <w:fldSimple w:instr=" SEQ Table \* ARABIC ">
        <w:r w:rsidR="007F093A">
          <w:rPr>
            <w:noProof/>
          </w:rPr>
          <w:t>16</w:t>
        </w:r>
      </w:fldSimple>
      <w:bookmarkEnd w:id="297"/>
      <w:r>
        <w:t xml:space="preserve">: </w:t>
      </w:r>
      <w:r w:rsidR="00702FAD">
        <w:t>Cost of debt for telecommunications operators in Georgia</w:t>
      </w:r>
      <w:bookmarkEnd w:id="298"/>
      <w:bookmarkEnd w:id="299"/>
    </w:p>
    <w:p w14:paraId="5F12C32B" w14:textId="49BBDEB9" w:rsidR="00526069" w:rsidRDefault="00EA70AF" w:rsidP="00DC2830">
      <w:pPr>
        <w:pStyle w:val="Figure"/>
      </w:pPr>
      <w:r w:rsidRPr="00EA70AF">
        <w:drawing>
          <wp:inline distT="0" distB="0" distL="0" distR="0" wp14:anchorId="68C0E53C" wp14:editId="555305F6">
            <wp:extent cx="5731510" cy="3516630"/>
            <wp:effectExtent l="0" t="0" r="2540" b="7620"/>
            <wp:docPr id="1967966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516630"/>
                    </a:xfrm>
                    <a:prstGeom prst="rect">
                      <a:avLst/>
                    </a:prstGeom>
                    <a:noFill/>
                    <a:ln>
                      <a:noFill/>
                    </a:ln>
                  </pic:spPr>
                </pic:pic>
              </a:graphicData>
            </a:graphic>
          </wp:inline>
        </w:drawing>
      </w:r>
    </w:p>
    <w:p w14:paraId="54361F31" w14:textId="1BCFA2EF" w:rsidR="00350B99" w:rsidRDefault="00350B99" w:rsidP="00350B99">
      <w:pPr>
        <w:pStyle w:val="ParagraphNumbered"/>
        <w:jc w:val="both"/>
      </w:pPr>
      <w:r>
        <w:t xml:space="preserve">We note that a debt spread of 2.64% is higher than the 2.00% derived from the companies accounts, but lower than the 3.00% we obtain </w:t>
      </w:r>
      <w:r w:rsidRPr="00A56A58">
        <w:rPr>
          <w:lang w:val="en-GB"/>
        </w:rPr>
        <w:t xml:space="preserve">if we adopt the currency risk adjustment proposed in the stakeholder analysis. </w:t>
      </w:r>
      <w:r w:rsidR="007101C9">
        <w:rPr>
          <w:lang w:val="en-GB"/>
        </w:rPr>
        <w:t>This</w:t>
      </w:r>
      <w:r w:rsidRPr="00A56A58">
        <w:rPr>
          <w:lang w:val="en-GB"/>
        </w:rPr>
        <w:t xml:space="preserve"> is </w:t>
      </w:r>
      <w:r w:rsidR="007101C9">
        <w:rPr>
          <w:lang w:val="en-GB"/>
        </w:rPr>
        <w:t>reasonable, because</w:t>
      </w:r>
      <w:r w:rsidRPr="00A56A58">
        <w:rPr>
          <w:lang w:val="en-GB"/>
        </w:rPr>
        <w:t xml:space="preserve"> the appropriate level of the spread should lie somewhere between these two values. </w:t>
      </w:r>
    </w:p>
    <w:p w14:paraId="3B0E872A" w14:textId="7D5574C5" w:rsidR="004B6635" w:rsidRDefault="004B6635" w:rsidP="004B6635">
      <w:pPr>
        <w:pStyle w:val="ParagraphNumbered"/>
        <w:jc w:val="both"/>
      </w:pPr>
      <w:r>
        <w:t xml:space="preserve">Adding </w:t>
      </w:r>
      <w:r w:rsidR="0002558C">
        <w:t>a 2.64%</w:t>
      </w:r>
      <w:r>
        <w:t xml:space="preserve"> spread to the risk-free rate results in a cost of debt of </w:t>
      </w:r>
      <w:r w:rsidR="00623336">
        <w:t>11.74</w:t>
      </w:r>
      <w:r>
        <w:t xml:space="preserve">% on a pre-tax basis, or </w:t>
      </w:r>
      <w:r w:rsidR="00FD0A13">
        <w:t>9.98</w:t>
      </w:r>
      <w:r w:rsidR="005C3E2D">
        <w:t xml:space="preserve">% on an after-tax basis. </w:t>
      </w:r>
    </w:p>
    <w:p w14:paraId="05409D8E" w14:textId="2F342ABA" w:rsidR="007F3220" w:rsidRPr="002A0656" w:rsidRDefault="007F3220" w:rsidP="004B6635">
      <w:pPr>
        <w:pStyle w:val="ParagraphNumbered"/>
        <w:jc w:val="both"/>
      </w:pPr>
      <w:r>
        <w:t xml:space="preserve">We note that </w:t>
      </w:r>
      <w:r w:rsidR="00623336">
        <w:t xml:space="preserve">our calculated cost of debt </w:t>
      </w:r>
      <w:r w:rsidR="002B605F">
        <w:t xml:space="preserve">is higher than the cost of debt </w:t>
      </w:r>
      <w:r w:rsidR="004518E3">
        <w:t>of 10.84% estimated</w:t>
      </w:r>
      <w:r w:rsidR="001E4CB9">
        <w:t xml:space="preserve"> by the stakeholder analysis</w:t>
      </w:r>
      <w:r w:rsidR="004518E3">
        <w:t xml:space="preserve">. </w:t>
      </w:r>
      <w:r w:rsidR="00FB2772">
        <w:t xml:space="preserve">This is true even if we include </w:t>
      </w:r>
      <w:r w:rsidR="001E4CB9">
        <w:t xml:space="preserve">the </w:t>
      </w:r>
      <w:r w:rsidR="009A6592">
        <w:t>proposed</w:t>
      </w:r>
      <w:r w:rsidR="00FB2772">
        <w:t xml:space="preserve"> maturity adjustment, with which we disagree.</w:t>
      </w:r>
      <w:r w:rsidR="009A0A84">
        <w:rPr>
          <w:rStyle w:val="FootnoteReference"/>
        </w:rPr>
        <w:footnoteReference w:id="55"/>
      </w:r>
      <w:r w:rsidR="00FB2772">
        <w:t xml:space="preserve"> </w:t>
      </w:r>
      <w:r w:rsidR="009A6592">
        <w:t>The analysis</w:t>
      </w:r>
      <w:r w:rsidR="004E4044">
        <w:t xml:space="preserve"> </w:t>
      </w:r>
      <w:r w:rsidR="00062EED">
        <w:t>estimated a cost of debt for Cel</w:t>
      </w:r>
      <w:r w:rsidR="00EA70AF">
        <w:t>l</w:t>
      </w:r>
      <w:r w:rsidR="00062EED">
        <w:t>fie of 13.42%</w:t>
      </w:r>
      <w:r w:rsidR="00ED5F4E">
        <w:t>.</w:t>
      </w:r>
      <w:r w:rsidR="00062EED">
        <w:t xml:space="preserve"> However, </w:t>
      </w:r>
      <w:r w:rsidR="009A6592">
        <w:lastRenderedPageBreak/>
        <w:t>the</w:t>
      </w:r>
      <w:r w:rsidR="009B3CE3">
        <w:t xml:space="preserve"> maturity adjustment accounts for </w:t>
      </w:r>
      <w:r w:rsidR="00062EED">
        <w:t>2.08% of th</w:t>
      </w:r>
      <w:r w:rsidR="009B3CE3">
        <w:t>e cost of debt. Removing this premium Cel</w:t>
      </w:r>
      <w:r w:rsidR="00EA70AF">
        <w:t>l</w:t>
      </w:r>
      <w:r w:rsidR="009B3CE3">
        <w:t xml:space="preserve">fie’s cost of debt is </w:t>
      </w:r>
      <w:r w:rsidR="006447F5">
        <w:t xml:space="preserve">11.34%, slightly lower than the cost of debt we estimate. </w:t>
      </w:r>
    </w:p>
    <w:p w14:paraId="72C79F35" w14:textId="4718753A" w:rsidR="006250C6" w:rsidRDefault="0087636E">
      <w:pPr>
        <w:pStyle w:val="Heading1"/>
        <w:jc w:val="both"/>
      </w:pPr>
      <w:bookmarkStart w:id="300" w:name="_Ref216379188"/>
      <w:bookmarkStart w:id="301" w:name="_Toc219739788"/>
      <w:bookmarkStart w:id="302" w:name="_Toc217060072"/>
      <w:bookmarkStart w:id="303" w:name="_Toc8902982"/>
      <w:bookmarkStart w:id="304" w:name="_Toc9850283"/>
      <w:bookmarkStart w:id="305" w:name="_Toc73455331"/>
      <w:bookmarkStart w:id="306" w:name="_Toc78563311"/>
      <w:bookmarkStart w:id="307" w:name="_Toc99716142"/>
      <w:bookmarkStart w:id="308" w:name="_Toc99716235"/>
      <w:bookmarkStart w:id="309" w:name="_Toc99728414"/>
      <w:bookmarkStart w:id="310" w:name="_Toc100325576"/>
      <w:r w:rsidRPr="0087636E">
        <w:lastRenderedPageBreak/>
        <w:t>Relevance of an NGA premium in the Telecoms sector in Georgia</w:t>
      </w:r>
      <w:bookmarkEnd w:id="300"/>
      <w:bookmarkEnd w:id="301"/>
      <w:bookmarkEnd w:id="302"/>
    </w:p>
    <w:p w14:paraId="4F719031" w14:textId="52B580E4" w:rsidR="004D3571" w:rsidRPr="00002C7A" w:rsidRDefault="004D3571" w:rsidP="00500B2F">
      <w:pPr>
        <w:pStyle w:val="Heading1Separator"/>
        <w:jc w:val="both"/>
        <w:rPr>
          <w:lang w:val="en-GB" w:eastAsia="en-US"/>
        </w:rPr>
      </w:pPr>
      <w:r w:rsidRPr="00002C7A">
        <w:rPr>
          <w:lang w:val="en-GB" w:eastAsia="en-US"/>
        </w:rPr>
        <w:tab/>
      </w:r>
    </w:p>
    <w:p w14:paraId="7B11E82B" w14:textId="5CBBF69E" w:rsidR="007300E2" w:rsidRPr="00002C7A" w:rsidRDefault="007300E2">
      <w:pPr>
        <w:pStyle w:val="ParagraphNumbered"/>
        <w:rPr>
          <w:lang w:val="en-GB"/>
        </w:rPr>
      </w:pPr>
      <w:r w:rsidRPr="00002C7A">
        <w:rPr>
          <w:lang w:val="en-GB" w:eastAsia="en-US"/>
        </w:rPr>
        <w:t>Com</w:t>
      </w:r>
      <w:r w:rsidR="00870138" w:rsidRPr="00002C7A">
        <w:rPr>
          <w:lang w:val="en-GB" w:eastAsia="en-US"/>
        </w:rPr>
        <w:t>C</w:t>
      </w:r>
      <w:r w:rsidRPr="00002C7A">
        <w:rPr>
          <w:lang w:val="en-GB" w:eastAsia="en-US"/>
        </w:rPr>
        <w:t>om has further asked us to assess</w:t>
      </w:r>
      <w:r w:rsidRPr="00002C7A">
        <w:rPr>
          <w:lang w:val="en-GB"/>
        </w:rPr>
        <w:t xml:space="preserve"> whether a premium on the WACC should be applied for investments in next-generation </w:t>
      </w:r>
      <w:r w:rsidR="009B22BB" w:rsidRPr="00002C7A">
        <w:rPr>
          <w:lang w:val="en-GB"/>
        </w:rPr>
        <w:t xml:space="preserve">access (NGA) </w:t>
      </w:r>
      <w:r w:rsidRPr="00002C7A">
        <w:rPr>
          <w:lang w:val="en-GB"/>
        </w:rPr>
        <w:t xml:space="preserve">networks, including </w:t>
      </w:r>
      <w:r w:rsidR="00642DA4" w:rsidRPr="00002C7A">
        <w:rPr>
          <w:lang w:val="en-GB"/>
        </w:rPr>
        <w:t xml:space="preserve">the fixed </w:t>
      </w:r>
      <w:r w:rsidR="00F274F1" w:rsidRPr="00002C7A">
        <w:rPr>
          <w:lang w:val="en-GB"/>
        </w:rPr>
        <w:t>fiber</w:t>
      </w:r>
      <w:r w:rsidRPr="00002C7A">
        <w:rPr>
          <w:lang w:val="en-GB"/>
        </w:rPr>
        <w:t xml:space="preserve"> </w:t>
      </w:r>
      <w:r w:rsidR="002D62F3" w:rsidRPr="00002C7A">
        <w:rPr>
          <w:lang w:val="en-GB"/>
        </w:rPr>
        <w:t xml:space="preserve">network </w:t>
      </w:r>
      <w:r w:rsidRPr="00002C7A">
        <w:rPr>
          <w:lang w:val="en-GB"/>
        </w:rPr>
        <w:t xml:space="preserve">and </w:t>
      </w:r>
      <w:r w:rsidR="002D62F3" w:rsidRPr="00002C7A">
        <w:rPr>
          <w:lang w:val="en-GB"/>
        </w:rPr>
        <w:t xml:space="preserve">the </w:t>
      </w:r>
      <w:r w:rsidRPr="00002C7A">
        <w:rPr>
          <w:lang w:val="en-GB"/>
        </w:rPr>
        <w:t>5G</w:t>
      </w:r>
      <w:r w:rsidR="002D62F3" w:rsidRPr="00002C7A">
        <w:rPr>
          <w:lang w:val="en-GB"/>
        </w:rPr>
        <w:t xml:space="preserve"> network</w:t>
      </w:r>
      <w:r w:rsidR="00CB6AEC" w:rsidRPr="00002C7A">
        <w:rPr>
          <w:lang w:val="en-GB"/>
        </w:rPr>
        <w:t>.</w:t>
      </w:r>
      <w:r w:rsidR="00CA79B7" w:rsidRPr="00002C7A">
        <w:rPr>
          <w:lang w:val="en-GB"/>
        </w:rPr>
        <w:t xml:space="preserve"> We first </w:t>
      </w:r>
      <w:r w:rsidR="00E849B8" w:rsidRPr="00002C7A">
        <w:rPr>
          <w:lang w:val="en-GB"/>
        </w:rPr>
        <w:t>review the regulatory precedent and evidence on the premium</w:t>
      </w:r>
      <w:r w:rsidR="00AE2B01" w:rsidRPr="00002C7A">
        <w:rPr>
          <w:lang w:val="en-GB"/>
        </w:rPr>
        <w:t xml:space="preserve"> for investments in the fixed fiber network (section </w:t>
      </w:r>
      <w:r w:rsidR="003554A8" w:rsidRPr="00002C7A">
        <w:rPr>
          <w:lang w:val="en-GB"/>
        </w:rPr>
        <w:fldChar w:fldCharType="begin"/>
      </w:r>
      <w:r w:rsidR="003554A8" w:rsidRPr="00002C7A">
        <w:rPr>
          <w:lang w:val="en-GB"/>
        </w:rPr>
        <w:instrText xml:space="preserve"> REF _Ref215028936 \w \h </w:instrText>
      </w:r>
      <w:r w:rsidR="003554A8" w:rsidRPr="00002C7A">
        <w:rPr>
          <w:lang w:val="en-GB"/>
        </w:rPr>
      </w:r>
      <w:r w:rsidR="003554A8" w:rsidRPr="00002C7A">
        <w:rPr>
          <w:lang w:val="en-GB"/>
        </w:rPr>
        <w:fldChar w:fldCharType="separate"/>
      </w:r>
      <w:r w:rsidR="007F093A">
        <w:rPr>
          <w:lang w:val="en-GB"/>
        </w:rPr>
        <w:t>VIII.A</w:t>
      </w:r>
      <w:r w:rsidR="003554A8" w:rsidRPr="00002C7A">
        <w:rPr>
          <w:lang w:val="en-GB"/>
        </w:rPr>
        <w:fldChar w:fldCharType="end"/>
      </w:r>
      <w:r w:rsidR="00AE2B01" w:rsidRPr="00002C7A">
        <w:rPr>
          <w:lang w:val="en-GB"/>
        </w:rPr>
        <w:t>) and the</w:t>
      </w:r>
      <w:r w:rsidR="003554A8" w:rsidRPr="00002C7A">
        <w:rPr>
          <w:lang w:val="en-GB"/>
        </w:rPr>
        <w:t>n</w:t>
      </w:r>
      <w:r w:rsidR="00AE2B01" w:rsidRPr="00002C7A">
        <w:rPr>
          <w:lang w:val="en-GB"/>
        </w:rPr>
        <w:t xml:space="preserve"> pr</w:t>
      </w:r>
      <w:r w:rsidR="003554A8" w:rsidRPr="00002C7A">
        <w:rPr>
          <w:lang w:val="en-GB"/>
        </w:rPr>
        <w:t xml:space="preserve">ovide our recommendation on the relevance of a WACC premium for investments in </w:t>
      </w:r>
      <w:r w:rsidR="00A27A10" w:rsidRPr="00002C7A">
        <w:rPr>
          <w:lang w:val="en-GB"/>
        </w:rPr>
        <w:t>NGA</w:t>
      </w:r>
      <w:r w:rsidR="003554A8" w:rsidRPr="00002C7A">
        <w:rPr>
          <w:lang w:val="en-GB"/>
        </w:rPr>
        <w:t xml:space="preserve"> networks in Georgia</w:t>
      </w:r>
      <w:r w:rsidR="00D67718" w:rsidRPr="00002C7A">
        <w:rPr>
          <w:lang w:val="en-GB"/>
        </w:rPr>
        <w:t xml:space="preserve"> (section </w:t>
      </w:r>
      <w:r w:rsidR="00D67718" w:rsidRPr="00002C7A">
        <w:rPr>
          <w:lang w:val="en-GB"/>
        </w:rPr>
        <w:fldChar w:fldCharType="begin"/>
      </w:r>
      <w:r w:rsidR="00D67718" w:rsidRPr="00002C7A">
        <w:rPr>
          <w:lang w:val="en-GB"/>
        </w:rPr>
        <w:instrText xml:space="preserve"> REF _Ref215029007 \w \h </w:instrText>
      </w:r>
      <w:r w:rsidR="00D67718" w:rsidRPr="00002C7A">
        <w:rPr>
          <w:lang w:val="en-GB"/>
        </w:rPr>
      </w:r>
      <w:r w:rsidR="00D67718" w:rsidRPr="00002C7A">
        <w:rPr>
          <w:lang w:val="en-GB"/>
        </w:rPr>
        <w:fldChar w:fldCharType="separate"/>
      </w:r>
      <w:r w:rsidR="007F093A">
        <w:rPr>
          <w:lang w:val="en-GB"/>
        </w:rPr>
        <w:t>VIII.B</w:t>
      </w:r>
      <w:r w:rsidR="00D67718" w:rsidRPr="00002C7A">
        <w:rPr>
          <w:lang w:val="en-GB"/>
        </w:rPr>
        <w:fldChar w:fldCharType="end"/>
      </w:r>
      <w:r w:rsidR="00D67718" w:rsidRPr="00002C7A">
        <w:rPr>
          <w:lang w:val="en-GB"/>
        </w:rPr>
        <w:t>).</w:t>
      </w:r>
    </w:p>
    <w:p w14:paraId="23E7534E" w14:textId="46B4B930" w:rsidR="0098122C" w:rsidRDefault="0098122C" w:rsidP="00150F84">
      <w:pPr>
        <w:pStyle w:val="Heading2"/>
      </w:pPr>
      <w:bookmarkStart w:id="311" w:name="_Ref215028936"/>
      <w:bookmarkStart w:id="312" w:name="_Toc219739789"/>
      <w:bookmarkStart w:id="313" w:name="_Toc217060073"/>
      <w:r>
        <w:t xml:space="preserve">Review of regulatory precedent and evidence on the </w:t>
      </w:r>
      <w:r w:rsidR="00F274F1">
        <w:t>fiber</w:t>
      </w:r>
      <w:r>
        <w:t xml:space="preserve"> premium</w:t>
      </w:r>
      <w:bookmarkEnd w:id="311"/>
      <w:bookmarkEnd w:id="312"/>
      <w:bookmarkEnd w:id="313"/>
    </w:p>
    <w:p w14:paraId="3D92CE4E" w14:textId="13E99E1F" w:rsidR="007300E2" w:rsidRPr="00002C7A" w:rsidRDefault="00CB6AEC" w:rsidP="00F83460">
      <w:pPr>
        <w:pStyle w:val="ParagraphNumbered"/>
        <w:rPr>
          <w:lang w:val="en-GB"/>
        </w:rPr>
      </w:pPr>
      <w:r w:rsidRPr="00002C7A">
        <w:rPr>
          <w:lang w:val="en-GB"/>
        </w:rPr>
        <w:t xml:space="preserve">The notion of a </w:t>
      </w:r>
      <w:r w:rsidR="00F274F1" w:rsidRPr="00002C7A">
        <w:rPr>
          <w:lang w:val="en-GB"/>
        </w:rPr>
        <w:t>fiber</w:t>
      </w:r>
      <w:r w:rsidRPr="00002C7A">
        <w:rPr>
          <w:lang w:val="en-GB"/>
        </w:rPr>
        <w:t xml:space="preserve"> premium in the </w:t>
      </w:r>
      <w:r w:rsidR="0090071F" w:rsidRPr="00002C7A">
        <w:rPr>
          <w:lang w:val="en-GB"/>
        </w:rPr>
        <w:t xml:space="preserve">economic </w:t>
      </w:r>
      <w:r w:rsidRPr="00002C7A">
        <w:rPr>
          <w:lang w:val="en-GB"/>
        </w:rPr>
        <w:t>regu</w:t>
      </w:r>
      <w:r w:rsidR="0090071F" w:rsidRPr="00002C7A">
        <w:rPr>
          <w:lang w:val="en-GB"/>
        </w:rPr>
        <w:t>lation of telecom</w:t>
      </w:r>
      <w:r w:rsidR="007D4D42" w:rsidRPr="00002C7A">
        <w:rPr>
          <w:lang w:val="en-GB"/>
        </w:rPr>
        <w:t>s</w:t>
      </w:r>
      <w:r w:rsidR="0090071F" w:rsidRPr="00002C7A">
        <w:rPr>
          <w:lang w:val="en-GB"/>
        </w:rPr>
        <w:t xml:space="preserve"> networks dates back to EC Recommendation </w:t>
      </w:r>
      <w:r w:rsidR="00804356" w:rsidRPr="00002C7A">
        <w:rPr>
          <w:lang w:val="en-GB"/>
        </w:rPr>
        <w:t>2010/572/EU</w:t>
      </w:r>
      <w:r w:rsidR="007D5784" w:rsidRPr="00002C7A">
        <w:rPr>
          <w:lang w:val="en-GB"/>
        </w:rPr>
        <w:t xml:space="preserve"> </w:t>
      </w:r>
      <w:r w:rsidR="00F83460" w:rsidRPr="00002C7A">
        <w:rPr>
          <w:lang w:val="en-GB"/>
        </w:rPr>
        <w:t xml:space="preserve">of 20 September 2010 </w:t>
      </w:r>
      <w:r w:rsidR="007D5784" w:rsidRPr="00002C7A">
        <w:rPr>
          <w:lang w:val="en-GB"/>
        </w:rPr>
        <w:t>on regulated access to NGA</w:t>
      </w:r>
      <w:r w:rsidR="007458C0" w:rsidRPr="00002C7A">
        <w:rPr>
          <w:lang w:val="en-GB"/>
        </w:rPr>
        <w:t xml:space="preserve"> networks</w:t>
      </w:r>
      <w:r w:rsidR="00F83460" w:rsidRPr="00002C7A">
        <w:rPr>
          <w:lang w:val="en-GB"/>
        </w:rPr>
        <w:t>.</w:t>
      </w:r>
      <w:r w:rsidR="00EE6368" w:rsidRPr="00002C7A">
        <w:rPr>
          <w:rStyle w:val="FootnoteReference"/>
          <w:lang w:val="en-GB"/>
        </w:rPr>
        <w:footnoteReference w:id="56"/>
      </w:r>
      <w:r w:rsidR="00F83460" w:rsidRPr="00002C7A">
        <w:rPr>
          <w:lang w:val="en-GB"/>
        </w:rPr>
        <w:t xml:space="preserve"> In the Recommendation, the </w:t>
      </w:r>
      <w:r w:rsidR="00804356" w:rsidRPr="00002C7A">
        <w:rPr>
          <w:lang w:val="en-GB"/>
        </w:rPr>
        <w:t xml:space="preserve">European Commission </w:t>
      </w:r>
      <w:r w:rsidR="000D47D4" w:rsidRPr="00002C7A">
        <w:rPr>
          <w:lang w:val="en-GB"/>
        </w:rPr>
        <w:t>recommended</w:t>
      </w:r>
      <w:r w:rsidR="00804356" w:rsidRPr="00002C7A">
        <w:rPr>
          <w:lang w:val="en-GB"/>
        </w:rPr>
        <w:t xml:space="preserve">, for the purposes of calculating tariffs, that the </w:t>
      </w:r>
      <w:r w:rsidR="008C5B5D" w:rsidRPr="00002C7A">
        <w:rPr>
          <w:lang w:val="en-GB"/>
        </w:rPr>
        <w:t xml:space="preserve">WACC of the SMP operator </w:t>
      </w:r>
      <w:r w:rsidR="00B44083" w:rsidRPr="00002C7A">
        <w:rPr>
          <w:lang w:val="en-GB"/>
        </w:rPr>
        <w:t xml:space="preserve">in EU member states </w:t>
      </w:r>
      <w:r w:rsidR="008C5B5D" w:rsidRPr="00002C7A">
        <w:rPr>
          <w:lang w:val="en-GB"/>
        </w:rPr>
        <w:t xml:space="preserve">should </w:t>
      </w:r>
      <w:r w:rsidR="00804356" w:rsidRPr="00002C7A">
        <w:rPr>
          <w:lang w:val="en-GB"/>
        </w:rPr>
        <w:t xml:space="preserve">reflect the higher risk </w:t>
      </w:r>
      <w:r w:rsidR="008C5B5D" w:rsidRPr="00002C7A">
        <w:rPr>
          <w:lang w:val="en-GB"/>
        </w:rPr>
        <w:t xml:space="preserve">of </w:t>
      </w:r>
      <w:r w:rsidR="00804356" w:rsidRPr="00002C7A">
        <w:rPr>
          <w:lang w:val="en-GB"/>
        </w:rPr>
        <w:t xml:space="preserve">investments in </w:t>
      </w:r>
      <w:r w:rsidR="00F274F1" w:rsidRPr="00002C7A">
        <w:rPr>
          <w:lang w:val="en-GB"/>
        </w:rPr>
        <w:t>fiber</w:t>
      </w:r>
      <w:r w:rsidR="00804356" w:rsidRPr="00002C7A">
        <w:rPr>
          <w:lang w:val="en-GB"/>
        </w:rPr>
        <w:t xml:space="preserve"> </w:t>
      </w:r>
      <w:r w:rsidR="008C5B5D" w:rsidRPr="00002C7A">
        <w:rPr>
          <w:lang w:val="en-GB"/>
        </w:rPr>
        <w:t xml:space="preserve">relative to the risks </w:t>
      </w:r>
      <w:r w:rsidR="00791A44" w:rsidRPr="00002C7A">
        <w:rPr>
          <w:lang w:val="en-GB"/>
        </w:rPr>
        <w:t xml:space="preserve">of operating the </w:t>
      </w:r>
      <w:r w:rsidR="00804356" w:rsidRPr="00002C7A">
        <w:rPr>
          <w:lang w:val="en-GB"/>
        </w:rPr>
        <w:t>copper network.</w:t>
      </w:r>
      <w:r w:rsidR="00791A44" w:rsidRPr="00002C7A">
        <w:rPr>
          <w:lang w:val="en-GB"/>
        </w:rPr>
        <w:t xml:space="preserve"> </w:t>
      </w:r>
    </w:p>
    <w:p w14:paraId="085C47C4" w14:textId="3B1619C5" w:rsidR="000D47D4" w:rsidRPr="00002C7A" w:rsidRDefault="000D47D4" w:rsidP="000D47D4">
      <w:pPr>
        <w:pStyle w:val="ParagraphNumbered"/>
        <w:rPr>
          <w:lang w:val="en-GB" w:eastAsia="en-GB"/>
        </w:rPr>
      </w:pPr>
      <w:r w:rsidRPr="00002C7A">
        <w:rPr>
          <w:lang w:val="en-GB" w:eastAsia="en-GB"/>
        </w:rPr>
        <w:t xml:space="preserve">To this end, recognizing that the development of </w:t>
      </w:r>
      <w:r w:rsidR="00F274F1" w:rsidRPr="00002C7A">
        <w:rPr>
          <w:lang w:val="en-GB" w:eastAsia="en-GB"/>
        </w:rPr>
        <w:t>fiber</w:t>
      </w:r>
      <w:r w:rsidRPr="00002C7A">
        <w:rPr>
          <w:lang w:val="en-GB" w:eastAsia="en-GB"/>
        </w:rPr>
        <w:t xml:space="preserve"> networks, especially in the</w:t>
      </w:r>
      <w:r w:rsidR="000A0B9D" w:rsidRPr="00002C7A">
        <w:rPr>
          <w:lang w:val="en-GB" w:eastAsia="en-GB"/>
        </w:rPr>
        <w:t>ir</w:t>
      </w:r>
      <w:r w:rsidRPr="00002C7A">
        <w:rPr>
          <w:lang w:val="en-GB" w:eastAsia="en-GB"/>
        </w:rPr>
        <w:t xml:space="preserve"> initial phases, entails significant risks due to high irreversible investment costs and demand uncertainty, the Commission recommended that NRAs incorporate a risk premium into the </w:t>
      </w:r>
      <w:r w:rsidR="000A0B9D" w:rsidRPr="00002C7A">
        <w:rPr>
          <w:lang w:val="en-GB" w:eastAsia="en-GB"/>
        </w:rPr>
        <w:t>WACC</w:t>
      </w:r>
      <w:r w:rsidRPr="00002C7A">
        <w:rPr>
          <w:lang w:val="en-GB" w:eastAsia="en-GB"/>
        </w:rPr>
        <w:t xml:space="preserve">, including, where justified, a </w:t>
      </w:r>
      <w:r w:rsidR="00F274F1" w:rsidRPr="00002C7A">
        <w:rPr>
          <w:lang w:val="en-GB" w:eastAsia="en-GB"/>
        </w:rPr>
        <w:t>fiber</w:t>
      </w:r>
      <w:r w:rsidR="003A3D76" w:rsidRPr="00002C7A">
        <w:rPr>
          <w:lang w:val="en-GB" w:eastAsia="en-GB"/>
        </w:rPr>
        <w:t xml:space="preserve"> premium over the </w:t>
      </w:r>
      <w:r w:rsidRPr="00002C7A">
        <w:rPr>
          <w:lang w:val="en-GB" w:eastAsia="en-GB"/>
        </w:rPr>
        <w:t>WACC for the copper network.</w:t>
      </w:r>
      <w:r w:rsidR="00B038CC" w:rsidRPr="00002C7A">
        <w:rPr>
          <w:rStyle w:val="FootnoteReference"/>
          <w:lang w:val="en-GB" w:eastAsia="en-GB"/>
        </w:rPr>
        <w:footnoteReference w:id="57"/>
      </w:r>
      <w:r w:rsidRPr="00002C7A">
        <w:rPr>
          <w:lang w:val="en-GB" w:eastAsia="en-GB"/>
        </w:rPr>
        <w:t xml:space="preserve"> In calculating this </w:t>
      </w:r>
      <w:r w:rsidR="00F274F1" w:rsidRPr="00002C7A">
        <w:rPr>
          <w:lang w:val="en-GB" w:eastAsia="en-GB"/>
        </w:rPr>
        <w:t>fiber</w:t>
      </w:r>
      <w:r w:rsidRPr="00002C7A">
        <w:rPr>
          <w:lang w:val="en-GB" w:eastAsia="en-GB"/>
        </w:rPr>
        <w:t xml:space="preserve"> </w:t>
      </w:r>
      <w:r w:rsidR="00713E24" w:rsidRPr="00002C7A">
        <w:rPr>
          <w:lang w:val="en-GB" w:eastAsia="en-GB"/>
        </w:rPr>
        <w:t>p</w:t>
      </w:r>
      <w:r w:rsidRPr="00002C7A">
        <w:rPr>
          <w:lang w:val="en-GB" w:eastAsia="en-GB"/>
        </w:rPr>
        <w:t xml:space="preserve">remium, the Recommendation </w:t>
      </w:r>
      <w:r w:rsidR="00713E24" w:rsidRPr="00002C7A">
        <w:rPr>
          <w:lang w:val="en-GB" w:eastAsia="en-GB"/>
        </w:rPr>
        <w:t xml:space="preserve">recommended </w:t>
      </w:r>
      <w:r w:rsidRPr="00002C7A">
        <w:rPr>
          <w:lang w:val="en-GB" w:eastAsia="en-GB"/>
        </w:rPr>
        <w:t xml:space="preserve">NRAs to consider uncertainty factors related to demand, </w:t>
      </w:r>
      <w:r w:rsidR="00C62B16" w:rsidRPr="00002C7A">
        <w:rPr>
          <w:lang w:val="en-GB" w:eastAsia="en-GB"/>
        </w:rPr>
        <w:t xml:space="preserve">costs of </w:t>
      </w:r>
      <w:r w:rsidRPr="00002C7A">
        <w:rPr>
          <w:lang w:val="en-GB" w:eastAsia="en-GB"/>
        </w:rPr>
        <w:t>deployment, technological progress, and market dynamics.</w:t>
      </w:r>
      <w:r w:rsidR="008F4C3F" w:rsidRPr="00002C7A">
        <w:rPr>
          <w:rStyle w:val="FootnoteReference"/>
          <w:rFonts w:asciiTheme="minorHAnsi" w:hAnsiTheme="minorHAnsi" w:cstheme="minorHAnsi"/>
          <w:lang w:val="en-GB" w:eastAsia="en-US"/>
        </w:rPr>
        <w:footnoteReference w:id="58"/>
      </w:r>
      <w:r w:rsidRPr="00002C7A">
        <w:rPr>
          <w:lang w:val="en-GB" w:eastAsia="en-GB"/>
        </w:rPr>
        <w:t xml:space="preserve"> Since these factors vary over time, and reasonably decline as the coverage of the new NGA network increases, NRAs must periodically review the situation and adjust the risk premium over time, taking into account changes in these factors.</w:t>
      </w:r>
    </w:p>
    <w:p w14:paraId="7A9C9917" w14:textId="249C94EE" w:rsidR="007300E2" w:rsidRPr="00002C7A" w:rsidRDefault="00043F32">
      <w:pPr>
        <w:pStyle w:val="ParagraphNumbered"/>
        <w:rPr>
          <w:lang w:val="en-GB"/>
        </w:rPr>
      </w:pPr>
      <w:r w:rsidRPr="00002C7A">
        <w:rPr>
          <w:lang w:val="en-GB"/>
        </w:rPr>
        <w:t xml:space="preserve">The rationale for including a </w:t>
      </w:r>
      <w:r w:rsidR="00F274F1" w:rsidRPr="00002C7A">
        <w:rPr>
          <w:lang w:val="en-GB"/>
        </w:rPr>
        <w:t>fiber</w:t>
      </w:r>
      <w:r w:rsidRPr="00002C7A">
        <w:rPr>
          <w:lang w:val="en-GB"/>
        </w:rPr>
        <w:t xml:space="preserve"> premium for </w:t>
      </w:r>
      <w:r w:rsidR="00F274F1" w:rsidRPr="00002C7A">
        <w:rPr>
          <w:lang w:val="en-GB"/>
        </w:rPr>
        <w:t>fiber</w:t>
      </w:r>
      <w:r w:rsidRPr="00002C7A">
        <w:rPr>
          <w:lang w:val="en-GB"/>
        </w:rPr>
        <w:t xml:space="preserve"> investments compared to the WACC for copper networks was </w:t>
      </w:r>
      <w:r w:rsidR="008A43F6" w:rsidRPr="00002C7A">
        <w:rPr>
          <w:lang w:val="en-GB"/>
        </w:rPr>
        <w:t xml:space="preserve">further </w:t>
      </w:r>
      <w:r w:rsidR="00A04A5B" w:rsidRPr="00002C7A">
        <w:rPr>
          <w:lang w:val="en-GB"/>
        </w:rPr>
        <w:t>anal</w:t>
      </w:r>
      <w:r w:rsidR="008A43F6" w:rsidRPr="00002C7A">
        <w:rPr>
          <w:lang w:val="en-GB"/>
        </w:rPr>
        <w:t>y</w:t>
      </w:r>
      <w:r w:rsidR="000E64E8">
        <w:rPr>
          <w:lang w:val="en-GB"/>
        </w:rPr>
        <w:t>s</w:t>
      </w:r>
      <w:r w:rsidR="00A04A5B" w:rsidRPr="00002C7A">
        <w:rPr>
          <w:lang w:val="en-GB"/>
        </w:rPr>
        <w:t xml:space="preserve">ed </w:t>
      </w:r>
      <w:r w:rsidRPr="00002C7A">
        <w:rPr>
          <w:lang w:val="en-GB"/>
        </w:rPr>
        <w:t xml:space="preserve">in </w:t>
      </w:r>
      <w:r w:rsidR="00A04A5B" w:rsidRPr="00002C7A">
        <w:rPr>
          <w:lang w:val="en-GB"/>
        </w:rPr>
        <w:t>our 2016</w:t>
      </w:r>
      <w:r w:rsidRPr="00002C7A">
        <w:rPr>
          <w:lang w:val="en-GB"/>
        </w:rPr>
        <w:t xml:space="preserve"> study commissioned by the European </w:t>
      </w:r>
      <w:r w:rsidRPr="00002C7A">
        <w:rPr>
          <w:lang w:val="en-GB"/>
        </w:rPr>
        <w:lastRenderedPageBreak/>
        <w:t>Commission at the start of the process of harmonizing WACC calculation methodologies.</w:t>
      </w:r>
      <w:r w:rsidR="00A04A5B" w:rsidRPr="00002C7A">
        <w:rPr>
          <w:rStyle w:val="FootnoteReference"/>
          <w:lang w:val="en-GB"/>
        </w:rPr>
        <w:footnoteReference w:id="59"/>
      </w:r>
      <w:r w:rsidRPr="00002C7A">
        <w:rPr>
          <w:lang w:val="en-GB"/>
        </w:rPr>
        <w:t xml:space="preserve"> The study identifie</w:t>
      </w:r>
      <w:r w:rsidR="00A04A5B" w:rsidRPr="00002C7A">
        <w:rPr>
          <w:lang w:val="en-GB"/>
        </w:rPr>
        <w:t>d</w:t>
      </w:r>
      <w:r w:rsidRPr="00002C7A">
        <w:rPr>
          <w:lang w:val="en-GB"/>
        </w:rPr>
        <w:t xml:space="preserve"> three main reasons why the WACC for NGA networks </w:t>
      </w:r>
      <w:r w:rsidR="00B16DC8" w:rsidRPr="00002C7A">
        <w:rPr>
          <w:lang w:val="en-GB"/>
        </w:rPr>
        <w:t>c</w:t>
      </w:r>
      <w:r w:rsidRPr="00002C7A">
        <w:rPr>
          <w:lang w:val="en-GB"/>
        </w:rPr>
        <w:t>ould be higher than the WACC for copper networks:</w:t>
      </w:r>
    </w:p>
    <w:p w14:paraId="7B944183" w14:textId="56834AF4" w:rsidR="00A4315B" w:rsidRPr="00002C7A" w:rsidRDefault="008A43F6">
      <w:pPr>
        <w:pStyle w:val="ParagraphNumbered2"/>
        <w:rPr>
          <w:lang w:val="en-GB"/>
        </w:rPr>
      </w:pPr>
      <w:r w:rsidRPr="00002C7A">
        <w:rPr>
          <w:lang w:val="en-GB"/>
        </w:rPr>
        <w:t>Capital</w:t>
      </w:r>
      <w:r w:rsidR="00A4315B" w:rsidRPr="00002C7A">
        <w:rPr>
          <w:lang w:val="en-GB"/>
        </w:rPr>
        <w:t xml:space="preserve"> leverage</w:t>
      </w:r>
      <w:r w:rsidR="002B6958" w:rsidRPr="00002C7A">
        <w:rPr>
          <w:lang w:val="en-GB"/>
        </w:rPr>
        <w:t>:</w:t>
      </w:r>
      <w:r w:rsidR="00A4315B" w:rsidRPr="00002C7A">
        <w:rPr>
          <w:lang w:val="en-GB"/>
        </w:rPr>
        <w:t xml:space="preserve"> The </w:t>
      </w:r>
      <w:r w:rsidR="00F274F1" w:rsidRPr="00002C7A">
        <w:rPr>
          <w:lang w:val="en-GB"/>
        </w:rPr>
        <w:t>fiber</w:t>
      </w:r>
      <w:r w:rsidR="00A4315B" w:rsidRPr="00002C7A">
        <w:rPr>
          <w:lang w:val="en-GB"/>
        </w:rPr>
        <w:t xml:space="preserve"> business requires large investments to build </w:t>
      </w:r>
      <w:r w:rsidR="00F274F1" w:rsidRPr="00002C7A">
        <w:rPr>
          <w:lang w:val="en-GB"/>
        </w:rPr>
        <w:t>fiber</w:t>
      </w:r>
      <w:r w:rsidR="00A4315B" w:rsidRPr="00002C7A">
        <w:rPr>
          <w:lang w:val="en-GB"/>
        </w:rPr>
        <w:t xml:space="preserve"> networks. </w:t>
      </w:r>
      <w:r w:rsidR="00B16DC8" w:rsidRPr="00002C7A">
        <w:rPr>
          <w:lang w:val="en-GB"/>
        </w:rPr>
        <w:t xml:space="preserve">Commitments to make large </w:t>
      </w:r>
      <w:r w:rsidR="00A4315B" w:rsidRPr="00002C7A">
        <w:rPr>
          <w:lang w:val="en-GB"/>
        </w:rPr>
        <w:t xml:space="preserve">investment </w:t>
      </w:r>
      <w:r w:rsidR="00B16DC8" w:rsidRPr="00002C7A">
        <w:rPr>
          <w:lang w:val="en-GB"/>
        </w:rPr>
        <w:t xml:space="preserve">may </w:t>
      </w:r>
      <w:r w:rsidR="00A4315B" w:rsidRPr="00002C7A">
        <w:rPr>
          <w:lang w:val="en-GB"/>
        </w:rPr>
        <w:t xml:space="preserve">increase beta, since they are a commitment for cash flows, and </w:t>
      </w:r>
      <w:r w:rsidR="00923D29" w:rsidRPr="00002C7A">
        <w:rPr>
          <w:lang w:val="en-GB"/>
        </w:rPr>
        <w:t>increase the volatility of returns</w:t>
      </w:r>
      <w:r w:rsidR="00A4315B" w:rsidRPr="00002C7A">
        <w:rPr>
          <w:lang w:val="en-GB"/>
        </w:rPr>
        <w:t xml:space="preserve">. </w:t>
      </w:r>
    </w:p>
    <w:p w14:paraId="2D0CB063" w14:textId="17107098" w:rsidR="00A4315B" w:rsidRPr="00002C7A" w:rsidRDefault="00A4315B">
      <w:pPr>
        <w:pStyle w:val="ParagraphNumbered2"/>
        <w:rPr>
          <w:lang w:val="en-GB"/>
        </w:rPr>
      </w:pPr>
      <w:r w:rsidRPr="00002C7A">
        <w:rPr>
          <w:lang w:val="en-GB"/>
        </w:rPr>
        <w:t>Demand uncertainty</w:t>
      </w:r>
      <w:r w:rsidR="002B6958" w:rsidRPr="00002C7A">
        <w:rPr>
          <w:lang w:val="en-GB"/>
        </w:rPr>
        <w:t>:</w:t>
      </w:r>
      <w:r w:rsidRPr="00002C7A">
        <w:rPr>
          <w:lang w:val="en-GB"/>
        </w:rPr>
        <w:t xml:space="preserve"> </w:t>
      </w:r>
      <w:r w:rsidR="000565F0" w:rsidRPr="00002C7A">
        <w:rPr>
          <w:lang w:val="en-GB"/>
        </w:rPr>
        <w:t>d</w:t>
      </w:r>
      <w:r w:rsidRPr="00002C7A">
        <w:rPr>
          <w:lang w:val="en-GB"/>
        </w:rPr>
        <w:t xml:space="preserve">emand for </w:t>
      </w:r>
      <w:r w:rsidR="00F274F1" w:rsidRPr="00002C7A">
        <w:rPr>
          <w:lang w:val="en-GB"/>
        </w:rPr>
        <w:t>fiber</w:t>
      </w:r>
      <w:r w:rsidRPr="00002C7A">
        <w:rPr>
          <w:lang w:val="en-GB"/>
        </w:rPr>
        <w:t xml:space="preserve"> </w:t>
      </w:r>
      <w:r w:rsidR="000565F0" w:rsidRPr="00002C7A">
        <w:rPr>
          <w:lang w:val="en-GB"/>
        </w:rPr>
        <w:t xml:space="preserve">services </w:t>
      </w:r>
      <w:r w:rsidRPr="00002C7A">
        <w:rPr>
          <w:lang w:val="en-GB"/>
        </w:rPr>
        <w:t xml:space="preserve">may be more sensitive to changes in economic performance and income. This could be the case, for example, if </w:t>
      </w:r>
      <w:r w:rsidR="00F274F1" w:rsidRPr="00002C7A">
        <w:rPr>
          <w:lang w:val="en-GB"/>
        </w:rPr>
        <w:t>fiber</w:t>
      </w:r>
      <w:r w:rsidRPr="00002C7A">
        <w:rPr>
          <w:lang w:val="en-GB"/>
        </w:rPr>
        <w:t xml:space="preserve"> demand could be seen as a premium product. </w:t>
      </w:r>
    </w:p>
    <w:p w14:paraId="4E523418" w14:textId="08F58964" w:rsidR="00A4315B" w:rsidRPr="00002C7A" w:rsidRDefault="00A4315B">
      <w:pPr>
        <w:pStyle w:val="ParagraphNumbered2"/>
        <w:rPr>
          <w:lang w:val="en-GB"/>
        </w:rPr>
      </w:pPr>
      <w:r w:rsidRPr="00002C7A">
        <w:rPr>
          <w:lang w:val="en-GB"/>
        </w:rPr>
        <w:t>Long-lived assets</w:t>
      </w:r>
      <w:r w:rsidR="002B6958" w:rsidRPr="00002C7A">
        <w:rPr>
          <w:lang w:val="en-GB"/>
        </w:rPr>
        <w:t>:</w:t>
      </w:r>
      <w:r w:rsidRPr="00002C7A">
        <w:rPr>
          <w:lang w:val="en-GB"/>
        </w:rPr>
        <w:t xml:space="preserve"> </w:t>
      </w:r>
      <w:r w:rsidR="00532673" w:rsidRPr="00002C7A">
        <w:rPr>
          <w:lang w:val="en-GB"/>
        </w:rPr>
        <w:t>n</w:t>
      </w:r>
      <w:r w:rsidRPr="00002C7A">
        <w:rPr>
          <w:lang w:val="en-GB"/>
        </w:rPr>
        <w:t xml:space="preserve">ew </w:t>
      </w:r>
      <w:r w:rsidR="00F274F1" w:rsidRPr="00002C7A">
        <w:rPr>
          <w:lang w:val="en-GB"/>
        </w:rPr>
        <w:t>fiber</w:t>
      </w:r>
      <w:r w:rsidRPr="00002C7A">
        <w:rPr>
          <w:lang w:val="en-GB"/>
        </w:rPr>
        <w:t xml:space="preserve"> assets are long-lived, and so their value will be more sensitive to changes in macroeconomic conditions than a copper network, which has a shorter remaining lifetime.</w:t>
      </w:r>
    </w:p>
    <w:p w14:paraId="3CFF85D6" w14:textId="4D1020BD" w:rsidR="008A4031" w:rsidRPr="00002C7A" w:rsidRDefault="00D75539" w:rsidP="002254F5">
      <w:pPr>
        <w:pStyle w:val="ParagraphNumbered"/>
        <w:rPr>
          <w:lang w:val="en-GB"/>
        </w:rPr>
      </w:pPr>
      <w:r w:rsidRPr="00002C7A">
        <w:rPr>
          <w:lang w:val="en-GB"/>
        </w:rPr>
        <w:t xml:space="preserve">A further reason to </w:t>
      </w:r>
      <w:r w:rsidR="008B1E95" w:rsidRPr="00002C7A">
        <w:rPr>
          <w:lang w:val="en-GB"/>
        </w:rPr>
        <w:t xml:space="preserve">recognize a </w:t>
      </w:r>
      <w:r w:rsidR="00F274F1" w:rsidRPr="00002C7A">
        <w:rPr>
          <w:lang w:val="en-GB"/>
        </w:rPr>
        <w:t>fiber</w:t>
      </w:r>
      <w:r w:rsidR="008B1E95" w:rsidRPr="00002C7A">
        <w:rPr>
          <w:lang w:val="en-GB"/>
        </w:rPr>
        <w:t xml:space="preserve"> premium</w:t>
      </w:r>
      <w:r w:rsidRPr="00002C7A">
        <w:rPr>
          <w:lang w:val="en-GB"/>
        </w:rPr>
        <w:t xml:space="preserve">, attributable to </w:t>
      </w:r>
      <w:r w:rsidR="008B1E95" w:rsidRPr="00002C7A">
        <w:rPr>
          <w:lang w:val="en-GB"/>
        </w:rPr>
        <w:t xml:space="preserve">EC </w:t>
      </w:r>
      <w:r w:rsidRPr="00002C7A">
        <w:rPr>
          <w:lang w:val="en-GB"/>
        </w:rPr>
        <w:t xml:space="preserve">Recommendation 2010/572/EU and accepted in practice by some </w:t>
      </w:r>
      <w:r w:rsidR="009C077D" w:rsidRPr="00002C7A">
        <w:rPr>
          <w:lang w:val="en-GB"/>
        </w:rPr>
        <w:t xml:space="preserve">EU </w:t>
      </w:r>
      <w:r w:rsidRPr="00002C7A">
        <w:rPr>
          <w:lang w:val="en-GB"/>
        </w:rPr>
        <w:t xml:space="preserve">regulators, </w:t>
      </w:r>
      <w:r w:rsidR="005519C7" w:rsidRPr="00002C7A">
        <w:rPr>
          <w:lang w:val="en-GB"/>
        </w:rPr>
        <w:t xml:space="preserve">relates to </w:t>
      </w:r>
      <w:r w:rsidRPr="00002C7A">
        <w:rPr>
          <w:lang w:val="en-GB"/>
        </w:rPr>
        <w:t xml:space="preserve">the irreversible nature of investments in </w:t>
      </w:r>
      <w:r w:rsidR="00F274F1" w:rsidRPr="00002C7A">
        <w:rPr>
          <w:lang w:val="en-GB"/>
        </w:rPr>
        <w:t>fiber</w:t>
      </w:r>
      <w:r w:rsidRPr="00002C7A">
        <w:rPr>
          <w:lang w:val="en-GB"/>
        </w:rPr>
        <w:t xml:space="preserve">, whereby the </w:t>
      </w:r>
      <w:r w:rsidR="005519C7" w:rsidRPr="00002C7A">
        <w:rPr>
          <w:lang w:val="en-GB"/>
        </w:rPr>
        <w:t>SMP</w:t>
      </w:r>
      <w:r w:rsidRPr="00002C7A">
        <w:rPr>
          <w:lang w:val="en-GB"/>
        </w:rPr>
        <w:t xml:space="preserve"> operator making the investment in </w:t>
      </w:r>
      <w:r w:rsidR="00F274F1" w:rsidRPr="00002C7A">
        <w:rPr>
          <w:lang w:val="en-GB"/>
        </w:rPr>
        <w:t>fiber</w:t>
      </w:r>
      <w:r w:rsidRPr="00002C7A">
        <w:rPr>
          <w:lang w:val="en-GB"/>
        </w:rPr>
        <w:t xml:space="preserve"> </w:t>
      </w:r>
      <w:r w:rsidR="005519C7" w:rsidRPr="00002C7A">
        <w:rPr>
          <w:lang w:val="en-GB"/>
        </w:rPr>
        <w:t xml:space="preserve">effectively </w:t>
      </w:r>
      <w:r w:rsidR="00090837" w:rsidRPr="00002C7A">
        <w:rPr>
          <w:lang w:val="en-GB"/>
        </w:rPr>
        <w:t>foregoes</w:t>
      </w:r>
      <w:r w:rsidRPr="00002C7A">
        <w:rPr>
          <w:lang w:val="en-GB"/>
        </w:rPr>
        <w:t xml:space="preserve"> the value of the option to postpone the investment decision to a later date, and for this it must be remunerated.</w:t>
      </w:r>
    </w:p>
    <w:p w14:paraId="105D69B8" w14:textId="63914842" w:rsidR="00382DF3" w:rsidRPr="00002C7A" w:rsidRDefault="00382DF3" w:rsidP="00382DF3">
      <w:pPr>
        <w:pStyle w:val="ParagraphNumbered"/>
        <w:rPr>
          <w:lang w:val="en-GB" w:eastAsia="en-GB"/>
        </w:rPr>
      </w:pPr>
      <w:r w:rsidRPr="00002C7A">
        <w:rPr>
          <w:lang w:val="en-GB" w:eastAsia="en-GB"/>
        </w:rPr>
        <w:t>Consistent with the recommendations of EC Recommendation 2010/572/EU, several NRAs have analy</w:t>
      </w:r>
      <w:r w:rsidR="000E64E8">
        <w:rPr>
          <w:lang w:val="en-GB" w:eastAsia="en-GB"/>
        </w:rPr>
        <w:t>s</w:t>
      </w:r>
      <w:r w:rsidRPr="00002C7A">
        <w:rPr>
          <w:lang w:val="en-GB" w:eastAsia="en-GB"/>
        </w:rPr>
        <w:t xml:space="preserve">ed the relative risk of </w:t>
      </w:r>
      <w:r w:rsidR="00F274F1" w:rsidRPr="00002C7A">
        <w:rPr>
          <w:lang w:val="en-GB" w:eastAsia="en-GB"/>
        </w:rPr>
        <w:t>fiber</w:t>
      </w:r>
      <w:r w:rsidRPr="00002C7A">
        <w:rPr>
          <w:lang w:val="en-GB" w:eastAsia="en-GB"/>
        </w:rPr>
        <w:t xml:space="preserve"> investments compared to copper networks. These analyses identified the need to include a </w:t>
      </w:r>
      <w:r w:rsidR="00F274F1" w:rsidRPr="00002C7A">
        <w:rPr>
          <w:lang w:val="en-GB" w:eastAsia="en-GB"/>
        </w:rPr>
        <w:t>Fiber</w:t>
      </w:r>
      <w:r w:rsidRPr="00002C7A">
        <w:rPr>
          <w:lang w:val="en-GB" w:eastAsia="en-GB"/>
        </w:rPr>
        <w:t xml:space="preserve"> Premium to compensate for the increased risk of new investments in </w:t>
      </w:r>
      <w:r w:rsidR="00F274F1" w:rsidRPr="00002C7A">
        <w:rPr>
          <w:lang w:val="en-GB" w:eastAsia="en-GB"/>
        </w:rPr>
        <w:t>fiber</w:t>
      </w:r>
      <w:r w:rsidRPr="00002C7A">
        <w:rPr>
          <w:lang w:val="en-GB" w:eastAsia="en-GB"/>
        </w:rPr>
        <w:t>, noting, however, that the increased risk of such investments</w:t>
      </w:r>
      <w:r w:rsidR="002700CF" w:rsidRPr="00002C7A">
        <w:rPr>
          <w:lang w:val="en-GB" w:eastAsia="en-GB"/>
        </w:rPr>
        <w:t>,</w:t>
      </w:r>
      <w:r w:rsidRPr="00002C7A">
        <w:rPr>
          <w:lang w:val="en-GB" w:eastAsia="en-GB"/>
        </w:rPr>
        <w:t xml:space="preserve"> and the associated additional remuneration required</w:t>
      </w:r>
      <w:r w:rsidR="002700CF" w:rsidRPr="00002C7A">
        <w:rPr>
          <w:lang w:val="en-GB" w:eastAsia="en-GB"/>
        </w:rPr>
        <w:t>,</w:t>
      </w:r>
      <w:r w:rsidRPr="00002C7A">
        <w:rPr>
          <w:lang w:val="en-GB" w:eastAsia="en-GB"/>
        </w:rPr>
        <w:t xml:space="preserve"> </w:t>
      </w:r>
      <w:r w:rsidR="003A15CE" w:rsidRPr="00002C7A">
        <w:rPr>
          <w:lang w:val="en-GB" w:eastAsia="en-GB"/>
        </w:rPr>
        <w:t>shoul</w:t>
      </w:r>
      <w:r w:rsidRPr="00002C7A">
        <w:rPr>
          <w:lang w:val="en-GB" w:eastAsia="en-GB"/>
        </w:rPr>
        <w:t xml:space="preserve">d decrease with the rollout of the network. In subsequent market analyses, several regulators have reduced the </w:t>
      </w:r>
      <w:r w:rsidR="0060086C" w:rsidRPr="00002C7A">
        <w:rPr>
          <w:lang w:val="en-GB" w:eastAsia="en-GB"/>
        </w:rPr>
        <w:t>f</w:t>
      </w:r>
      <w:r w:rsidR="00F274F1" w:rsidRPr="00002C7A">
        <w:rPr>
          <w:lang w:val="en-GB" w:eastAsia="en-GB"/>
        </w:rPr>
        <w:t>iber</w:t>
      </w:r>
      <w:r w:rsidRPr="00002C7A">
        <w:rPr>
          <w:lang w:val="en-GB" w:eastAsia="en-GB"/>
        </w:rPr>
        <w:t xml:space="preserve"> </w:t>
      </w:r>
      <w:r w:rsidR="0060086C" w:rsidRPr="00002C7A">
        <w:rPr>
          <w:lang w:val="en-GB" w:eastAsia="en-GB"/>
        </w:rPr>
        <w:t>p</w:t>
      </w:r>
      <w:r w:rsidRPr="00002C7A">
        <w:rPr>
          <w:lang w:val="en-GB" w:eastAsia="en-GB"/>
        </w:rPr>
        <w:t xml:space="preserve">remium to account for the lower risk of </w:t>
      </w:r>
      <w:r w:rsidR="00F274F1" w:rsidRPr="00002C7A">
        <w:rPr>
          <w:lang w:val="en-GB" w:eastAsia="en-GB"/>
        </w:rPr>
        <w:t>fiber</w:t>
      </w:r>
      <w:r w:rsidRPr="00002C7A">
        <w:rPr>
          <w:lang w:val="en-GB" w:eastAsia="en-GB"/>
        </w:rPr>
        <w:t xml:space="preserve"> investments due to the increased coverage of the new NGA network. In some cases, regulators have removed the regulation of NGA network access altogether, having determined that the basis for </w:t>
      </w:r>
      <w:r w:rsidR="00292B03" w:rsidRPr="00002C7A">
        <w:rPr>
          <w:lang w:val="en-GB" w:eastAsia="en-GB"/>
        </w:rPr>
        <w:t xml:space="preserve">ex ante </w:t>
      </w:r>
      <w:r w:rsidRPr="00002C7A">
        <w:rPr>
          <w:lang w:val="en-GB" w:eastAsia="en-GB"/>
        </w:rPr>
        <w:t xml:space="preserve">regulation </w:t>
      </w:r>
      <w:r w:rsidR="00323B70" w:rsidRPr="00002C7A">
        <w:rPr>
          <w:lang w:val="en-GB" w:eastAsia="en-GB"/>
        </w:rPr>
        <w:t xml:space="preserve">was </w:t>
      </w:r>
      <w:r w:rsidRPr="00002C7A">
        <w:rPr>
          <w:lang w:val="en-GB" w:eastAsia="en-GB"/>
        </w:rPr>
        <w:t xml:space="preserve">no longer </w:t>
      </w:r>
      <w:r w:rsidR="00323B70" w:rsidRPr="00002C7A">
        <w:rPr>
          <w:lang w:val="en-GB" w:eastAsia="en-GB"/>
        </w:rPr>
        <w:t>present</w:t>
      </w:r>
      <w:r w:rsidRPr="00002C7A">
        <w:rPr>
          <w:lang w:val="en-GB" w:eastAsia="en-GB"/>
        </w:rPr>
        <w:t>.</w:t>
      </w:r>
      <w:r w:rsidR="003A15CE" w:rsidRPr="00002C7A">
        <w:rPr>
          <w:lang w:val="en-GB" w:eastAsia="en-GB"/>
        </w:rPr>
        <w:t xml:space="preserve"> </w:t>
      </w:r>
    </w:p>
    <w:p w14:paraId="6D5D3672" w14:textId="3844EB1A" w:rsidR="004A355E" w:rsidRPr="00002C7A" w:rsidRDefault="004A355E" w:rsidP="004A355E">
      <w:pPr>
        <w:pStyle w:val="ParagraphNumbered"/>
        <w:rPr>
          <w:lang w:val="en-GB" w:eastAsia="en-GB"/>
        </w:rPr>
      </w:pPr>
      <w:r w:rsidRPr="00002C7A">
        <w:rPr>
          <w:lang w:val="en-GB" w:eastAsia="en-GB"/>
        </w:rPr>
        <w:t xml:space="preserve">In Spain, for example, in 2013 the CNMC introduced a 4.81% premium on the WACC for broadband services with speeds above 30 Mbps. The CNMC calculated the premium based on a financial model, equal to the difference between the internal rate of return (IRR) of a </w:t>
      </w:r>
      <w:r w:rsidR="00F274F1" w:rsidRPr="00002C7A">
        <w:rPr>
          <w:lang w:val="en-GB" w:eastAsia="en-GB"/>
        </w:rPr>
        <w:t>fiber</w:t>
      </w:r>
      <w:r w:rsidRPr="00002C7A">
        <w:rPr>
          <w:lang w:val="en-GB" w:eastAsia="en-GB"/>
        </w:rPr>
        <w:t xml:space="preserve"> investment and the IRR of a copper investment.</w:t>
      </w:r>
      <w:r w:rsidR="00DE4C16" w:rsidRPr="00002C7A">
        <w:rPr>
          <w:rStyle w:val="FootnoteReference"/>
          <w:lang w:val="en-GB" w:eastAsia="en-GB"/>
        </w:rPr>
        <w:footnoteReference w:id="60"/>
      </w:r>
      <w:r w:rsidRPr="00002C7A">
        <w:rPr>
          <w:lang w:val="en-GB" w:eastAsia="en-GB"/>
        </w:rPr>
        <w:t xml:space="preserve"> Subsequently, starting in 2016, the </w:t>
      </w:r>
      <w:r w:rsidRPr="00002C7A">
        <w:rPr>
          <w:lang w:val="en-GB" w:eastAsia="en-GB"/>
        </w:rPr>
        <w:lastRenderedPageBreak/>
        <w:t xml:space="preserve">CNMC removed ex-ante regulation of </w:t>
      </w:r>
      <w:r w:rsidR="00F274F1" w:rsidRPr="00002C7A">
        <w:rPr>
          <w:lang w:val="en-GB" w:eastAsia="en-GB"/>
        </w:rPr>
        <w:t>fiber</w:t>
      </w:r>
      <w:r w:rsidRPr="00002C7A">
        <w:rPr>
          <w:lang w:val="en-GB" w:eastAsia="en-GB"/>
        </w:rPr>
        <w:t xml:space="preserve"> service, limiting the </w:t>
      </w:r>
      <w:r w:rsidR="00EA26D6" w:rsidRPr="00002C7A">
        <w:rPr>
          <w:lang w:val="en-GB" w:eastAsia="en-GB"/>
        </w:rPr>
        <w:t>SMP</w:t>
      </w:r>
      <w:r w:rsidRPr="00002C7A">
        <w:rPr>
          <w:lang w:val="en-GB" w:eastAsia="en-GB"/>
        </w:rPr>
        <w:t xml:space="preserve"> operator's price control to replicability tests.</w:t>
      </w:r>
      <w:r w:rsidR="00EA26D6" w:rsidRPr="00002C7A">
        <w:rPr>
          <w:rStyle w:val="FootnoteReference"/>
          <w:lang w:val="en-GB" w:eastAsia="en-GB"/>
        </w:rPr>
        <w:footnoteReference w:id="61"/>
      </w:r>
    </w:p>
    <w:p w14:paraId="3EEC8A47" w14:textId="370DED23" w:rsidR="00176C55" w:rsidRPr="00002C7A" w:rsidRDefault="00176C55" w:rsidP="00176C55">
      <w:pPr>
        <w:pStyle w:val="ParagraphNumbered"/>
        <w:rPr>
          <w:lang w:val="en-GB" w:eastAsia="en-GB"/>
        </w:rPr>
      </w:pPr>
      <w:r w:rsidRPr="00002C7A">
        <w:rPr>
          <w:lang w:val="en-GB" w:eastAsia="en-GB"/>
        </w:rPr>
        <w:t xml:space="preserve">In the UK, Ofcom introduced a 2.2% WACC premium for </w:t>
      </w:r>
      <w:r w:rsidR="00F274F1" w:rsidRPr="00002C7A">
        <w:rPr>
          <w:lang w:val="en-GB" w:eastAsia="en-GB"/>
        </w:rPr>
        <w:t>fiber</w:t>
      </w:r>
      <w:r w:rsidRPr="00002C7A">
        <w:rPr>
          <w:lang w:val="en-GB" w:eastAsia="en-GB"/>
        </w:rPr>
        <w:t xml:space="preserve"> network services over copper in 2014, giving </w:t>
      </w:r>
      <w:r w:rsidR="00F274F1" w:rsidRPr="00002C7A">
        <w:rPr>
          <w:lang w:val="en-GB" w:eastAsia="en-GB"/>
        </w:rPr>
        <w:t>fiber</w:t>
      </w:r>
      <w:r w:rsidRPr="00002C7A">
        <w:rPr>
          <w:lang w:val="en-GB" w:eastAsia="en-GB"/>
        </w:rPr>
        <w:t xml:space="preserve"> investments a higher asset beta (0.83) than copper investments (0.50).</w:t>
      </w:r>
      <w:r w:rsidR="00DF5A45" w:rsidRPr="00002C7A">
        <w:rPr>
          <w:rStyle w:val="FootnoteReference"/>
          <w:lang w:val="en-GB" w:eastAsia="en-GB"/>
        </w:rPr>
        <w:footnoteReference w:id="62"/>
      </w:r>
      <w:r w:rsidRPr="00002C7A">
        <w:rPr>
          <w:lang w:val="en-GB" w:eastAsia="en-GB"/>
        </w:rPr>
        <w:t xml:space="preserve"> Specifically, in calculating the WACC for incumbent operator BT's </w:t>
      </w:r>
      <w:r w:rsidR="00F274F1" w:rsidRPr="00002C7A">
        <w:rPr>
          <w:lang w:val="en-GB" w:eastAsia="en-GB"/>
        </w:rPr>
        <w:t>fiber</w:t>
      </w:r>
      <w:r w:rsidRPr="00002C7A">
        <w:rPr>
          <w:lang w:val="en-GB" w:eastAsia="en-GB"/>
        </w:rPr>
        <w:t xml:space="preserve"> services, Ofcom decomposed BT's beta into the beta of the various regulated activities. Ofcom estimated two separate asset betas, one for access to Openreach's copper network and one for all other regulated </w:t>
      </w:r>
      <w:r w:rsidR="00A63623" w:rsidRPr="00002C7A">
        <w:rPr>
          <w:lang w:val="en-GB" w:eastAsia="en-GB"/>
        </w:rPr>
        <w:t xml:space="preserve">telecoms </w:t>
      </w:r>
      <w:r w:rsidRPr="00002C7A">
        <w:rPr>
          <w:lang w:val="en-GB" w:eastAsia="en-GB"/>
        </w:rPr>
        <w:t xml:space="preserve">services, including </w:t>
      </w:r>
      <w:r w:rsidR="00F274F1" w:rsidRPr="00002C7A">
        <w:rPr>
          <w:lang w:val="en-GB" w:eastAsia="en-GB"/>
        </w:rPr>
        <w:t>fiber</w:t>
      </w:r>
      <w:r w:rsidRPr="00002C7A">
        <w:rPr>
          <w:lang w:val="en-GB" w:eastAsia="en-GB"/>
        </w:rPr>
        <w:t xml:space="preserve">, believing that the systematic risk for </w:t>
      </w:r>
      <w:r w:rsidR="00F274F1" w:rsidRPr="00002C7A">
        <w:rPr>
          <w:lang w:val="en-GB" w:eastAsia="en-GB"/>
        </w:rPr>
        <w:t>fiber</w:t>
      </w:r>
      <w:r w:rsidRPr="00002C7A">
        <w:rPr>
          <w:lang w:val="en-GB" w:eastAsia="en-GB"/>
        </w:rPr>
        <w:t xml:space="preserve"> was similar to the systematic risk for other mobile and broadband telecommunications services, both retail and wholesale.</w:t>
      </w:r>
      <w:r w:rsidR="000F20C0" w:rsidRPr="00002C7A">
        <w:rPr>
          <w:rStyle w:val="FootnoteReference"/>
          <w:lang w:val="en-GB" w:eastAsia="en-GB"/>
        </w:rPr>
        <w:footnoteReference w:id="63"/>
      </w:r>
      <w:r w:rsidRPr="00002C7A">
        <w:rPr>
          <w:lang w:val="en-GB" w:eastAsia="en-GB"/>
        </w:rPr>
        <w:t xml:space="preserve"> The </w:t>
      </w:r>
      <w:r w:rsidR="00F274F1" w:rsidRPr="00002C7A">
        <w:rPr>
          <w:lang w:val="en-GB" w:eastAsia="en-GB"/>
        </w:rPr>
        <w:t>Fiber</w:t>
      </w:r>
      <w:r w:rsidRPr="00002C7A">
        <w:rPr>
          <w:lang w:val="en-GB" w:eastAsia="en-GB"/>
        </w:rPr>
        <w:t xml:space="preserve"> Premium was subsequently reduced to 0.9% in 2018 and 0.8% in 2021.</w:t>
      </w:r>
      <w:r w:rsidR="00C26382" w:rsidRPr="00002C7A">
        <w:rPr>
          <w:rStyle w:val="FootnoteReference"/>
          <w:lang w:val="en-GB" w:eastAsia="en-GB"/>
        </w:rPr>
        <w:footnoteReference w:id="64"/>
      </w:r>
    </w:p>
    <w:p w14:paraId="76E3BB69" w14:textId="73A48869" w:rsidR="00DA2526" w:rsidRPr="00002C7A" w:rsidRDefault="009C52C6" w:rsidP="009706DE">
      <w:pPr>
        <w:pStyle w:val="ParagraphNumbered"/>
        <w:rPr>
          <w:lang w:val="en-GB"/>
        </w:rPr>
      </w:pPr>
      <w:r w:rsidRPr="00002C7A">
        <w:rPr>
          <w:lang w:val="en-GB"/>
        </w:rPr>
        <w:t>In the Netherlands, the regulator ACM set a Fiber Premium of 2% in 2015, which it subsequently reduced to 0.8% in 2020, noting that this reduction was justified by a reduction in demand uncertainty, due to increased penetration and take-up of the new network, and by a reduction in investment costs.</w:t>
      </w:r>
      <w:r w:rsidR="007F1F26" w:rsidRPr="00002C7A">
        <w:rPr>
          <w:rStyle w:val="FootnoteReference"/>
          <w:lang w:val="en-GB"/>
        </w:rPr>
        <w:footnoteReference w:id="65"/>
      </w:r>
    </w:p>
    <w:p w14:paraId="5D4D3A9D" w14:textId="079A13BE" w:rsidR="0010034B" w:rsidRPr="00002C7A" w:rsidRDefault="00CA79B7" w:rsidP="0010034B">
      <w:pPr>
        <w:pStyle w:val="ParagraphNumbered"/>
        <w:rPr>
          <w:lang w:val="en-GB"/>
        </w:rPr>
      </w:pPr>
      <w:r w:rsidRPr="00002C7A">
        <w:rPr>
          <w:lang w:val="en-GB"/>
        </w:rPr>
        <w:t>In France,</w:t>
      </w:r>
      <w:r w:rsidR="0010034B" w:rsidRPr="00002C7A">
        <w:rPr>
          <w:lang w:val="en-GB"/>
        </w:rPr>
        <w:t xml:space="preserve"> in 2015, ARCEP adopted symmetric regulation for fiber networks – that is, </w:t>
      </w:r>
      <w:r w:rsidR="009C411A" w:rsidRPr="00002C7A">
        <w:rPr>
          <w:lang w:val="en-GB"/>
        </w:rPr>
        <w:t xml:space="preserve">regulation that would apply to any operator, and not </w:t>
      </w:r>
      <w:r w:rsidR="00F541BF" w:rsidRPr="00002C7A">
        <w:rPr>
          <w:lang w:val="en-GB"/>
        </w:rPr>
        <w:t xml:space="preserve">only </w:t>
      </w:r>
      <w:r w:rsidR="009C411A" w:rsidRPr="00002C7A">
        <w:rPr>
          <w:lang w:val="en-GB"/>
        </w:rPr>
        <w:t xml:space="preserve">to </w:t>
      </w:r>
      <w:r w:rsidR="0010034B" w:rsidRPr="00002C7A">
        <w:rPr>
          <w:lang w:val="en-GB"/>
        </w:rPr>
        <w:t xml:space="preserve">the SMP operator </w:t>
      </w:r>
      <w:r w:rsidR="00F541BF" w:rsidRPr="00002C7A">
        <w:rPr>
          <w:lang w:val="en-GB"/>
        </w:rPr>
        <w:t xml:space="preserve">– </w:t>
      </w:r>
      <w:r w:rsidR="0010034B" w:rsidRPr="00002C7A">
        <w:rPr>
          <w:lang w:val="en-GB"/>
        </w:rPr>
        <w:t>and</w:t>
      </w:r>
      <w:r w:rsidR="00F541BF" w:rsidRPr="00002C7A">
        <w:rPr>
          <w:lang w:val="en-GB"/>
        </w:rPr>
        <w:t xml:space="preserve"> </w:t>
      </w:r>
      <w:r w:rsidR="0010034B" w:rsidRPr="00002C7A">
        <w:rPr>
          <w:lang w:val="en-GB"/>
        </w:rPr>
        <w:t xml:space="preserve">developed a reference financial model to be used as a tool for calculating </w:t>
      </w:r>
      <w:r w:rsidR="00F274F1" w:rsidRPr="00002C7A">
        <w:rPr>
          <w:lang w:val="en-GB"/>
        </w:rPr>
        <w:t>fiber</w:t>
      </w:r>
      <w:r w:rsidR="0010034B" w:rsidRPr="00002C7A">
        <w:rPr>
          <w:lang w:val="en-GB"/>
        </w:rPr>
        <w:t xml:space="preserve"> network tariffs. The financial model approved by ARCEP used an indicative duration of 25 years and identified a </w:t>
      </w:r>
      <w:r w:rsidR="00F274F1" w:rsidRPr="00002C7A">
        <w:rPr>
          <w:lang w:val="en-GB"/>
        </w:rPr>
        <w:t>fiber</w:t>
      </w:r>
      <w:r w:rsidR="0010034B" w:rsidRPr="00002C7A">
        <w:rPr>
          <w:lang w:val="en-GB"/>
        </w:rPr>
        <w:t xml:space="preserve"> </w:t>
      </w:r>
      <w:r w:rsidR="00F274F1" w:rsidRPr="00002C7A">
        <w:rPr>
          <w:lang w:val="en-GB"/>
        </w:rPr>
        <w:t>p</w:t>
      </w:r>
      <w:r w:rsidR="0010034B" w:rsidRPr="00002C7A">
        <w:rPr>
          <w:lang w:val="en-GB"/>
        </w:rPr>
        <w:t xml:space="preserve">remium in the form of a 5% increase in the WACC compared to the copper network. The </w:t>
      </w:r>
      <w:r w:rsidR="005F0C84" w:rsidRPr="00002C7A">
        <w:rPr>
          <w:lang w:val="en-GB"/>
        </w:rPr>
        <w:t>f</w:t>
      </w:r>
      <w:r w:rsidR="00F274F1" w:rsidRPr="00002C7A">
        <w:rPr>
          <w:lang w:val="en-GB"/>
        </w:rPr>
        <w:t>iber</w:t>
      </w:r>
      <w:r w:rsidR="0010034B" w:rsidRPr="00002C7A">
        <w:rPr>
          <w:lang w:val="en-GB"/>
        </w:rPr>
        <w:t xml:space="preserve"> </w:t>
      </w:r>
      <w:r w:rsidR="005F0C84" w:rsidRPr="00002C7A">
        <w:rPr>
          <w:lang w:val="en-GB"/>
        </w:rPr>
        <w:t>p</w:t>
      </w:r>
      <w:r w:rsidR="0010034B" w:rsidRPr="00002C7A">
        <w:rPr>
          <w:lang w:val="en-GB"/>
        </w:rPr>
        <w:t xml:space="preserve">remium was defined as the difference between the regulated WACC used for the copper network and the project IRR expected for a broadband network. However, the </w:t>
      </w:r>
      <w:r w:rsidR="00F274F1" w:rsidRPr="00002C7A">
        <w:rPr>
          <w:lang w:val="en-GB"/>
        </w:rPr>
        <w:t>Fiber</w:t>
      </w:r>
      <w:r w:rsidR="0010034B" w:rsidRPr="00002C7A">
        <w:rPr>
          <w:lang w:val="en-GB"/>
        </w:rPr>
        <w:t xml:space="preserve"> Premium to be applied to the tariffs of each project was not defined </w:t>
      </w:r>
      <w:r w:rsidR="0010034B" w:rsidRPr="00002C7A">
        <w:rPr>
          <w:i/>
          <w:lang w:val="en-GB"/>
        </w:rPr>
        <w:t xml:space="preserve">ex </w:t>
      </w:r>
      <w:r w:rsidR="0010034B" w:rsidRPr="00002C7A">
        <w:rPr>
          <w:i/>
          <w:lang w:val="en-GB"/>
        </w:rPr>
        <w:lastRenderedPageBreak/>
        <w:t>ante</w:t>
      </w:r>
      <w:r w:rsidR="0010034B" w:rsidRPr="00002C7A">
        <w:rPr>
          <w:lang w:val="en-GB"/>
        </w:rPr>
        <w:t xml:space="preserve"> but had to be assessed on a case-by-case basis using the model developed by ARCEP, adapted to the technical and financial specifics of each project. The </w:t>
      </w:r>
      <w:r w:rsidR="00F274F1" w:rsidRPr="00002C7A">
        <w:rPr>
          <w:lang w:val="en-GB"/>
        </w:rPr>
        <w:t>fiber</w:t>
      </w:r>
      <w:r w:rsidR="0010034B" w:rsidRPr="00002C7A">
        <w:rPr>
          <w:lang w:val="en-GB"/>
        </w:rPr>
        <w:t xml:space="preserve"> network service was subsequently deregulated</w:t>
      </w:r>
      <w:r w:rsidR="0046085E" w:rsidRPr="00002C7A">
        <w:rPr>
          <w:lang w:val="en-GB"/>
        </w:rPr>
        <w:t>, making the application of a fiber premium irrelevant</w:t>
      </w:r>
      <w:r w:rsidR="0010034B" w:rsidRPr="00002C7A">
        <w:rPr>
          <w:lang w:val="en-GB"/>
        </w:rPr>
        <w:t>.</w:t>
      </w:r>
    </w:p>
    <w:p w14:paraId="39C05536" w14:textId="2BD42006" w:rsidR="00DA2526" w:rsidRPr="00002C7A" w:rsidRDefault="00215245">
      <w:pPr>
        <w:pStyle w:val="ParagraphNumbered"/>
        <w:rPr>
          <w:lang w:val="en-GB"/>
        </w:rPr>
      </w:pPr>
      <w:r w:rsidRPr="00002C7A">
        <w:rPr>
          <w:lang w:val="en-GB" w:eastAsia="en-GB"/>
        </w:rPr>
        <w:t xml:space="preserve">In Italy, AGCOM first calculated a </w:t>
      </w:r>
      <w:r w:rsidR="00150327" w:rsidRPr="00002C7A">
        <w:rPr>
          <w:lang w:val="en-GB" w:eastAsia="en-GB"/>
        </w:rPr>
        <w:t>f</w:t>
      </w:r>
      <w:r w:rsidRPr="00002C7A">
        <w:rPr>
          <w:lang w:val="en-GB" w:eastAsia="en-GB"/>
        </w:rPr>
        <w:t xml:space="preserve">iber </w:t>
      </w:r>
      <w:r w:rsidR="00150327" w:rsidRPr="00002C7A">
        <w:rPr>
          <w:lang w:val="en-GB" w:eastAsia="en-GB"/>
        </w:rPr>
        <w:t>p</w:t>
      </w:r>
      <w:r w:rsidRPr="00002C7A">
        <w:rPr>
          <w:lang w:val="en-GB" w:eastAsia="en-GB"/>
        </w:rPr>
        <w:t>remium of 3.2% in 2015</w:t>
      </w:r>
      <w:r w:rsidR="007309A1" w:rsidRPr="00002C7A">
        <w:rPr>
          <w:lang w:val="en-GB" w:eastAsia="en-GB"/>
        </w:rPr>
        <w:t xml:space="preserve"> </w:t>
      </w:r>
      <w:r w:rsidR="003739FC" w:rsidRPr="00002C7A">
        <w:rPr>
          <w:lang w:val="en-GB" w:eastAsia="en-GB"/>
        </w:rPr>
        <w:t xml:space="preserve">using </w:t>
      </w:r>
      <w:r w:rsidR="00B61C84" w:rsidRPr="00002C7A">
        <w:rPr>
          <w:lang w:val="en-GB" w:eastAsia="en-GB"/>
        </w:rPr>
        <w:t xml:space="preserve">an </w:t>
      </w:r>
      <w:r w:rsidR="00FC1425" w:rsidRPr="00002C7A">
        <w:rPr>
          <w:lang w:val="en-GB" w:eastAsia="en-GB"/>
        </w:rPr>
        <w:t xml:space="preserve">option pricing model to </w:t>
      </w:r>
      <w:r w:rsidR="008554B8" w:rsidRPr="00002C7A">
        <w:rPr>
          <w:lang w:val="en-GB" w:eastAsia="en-GB"/>
        </w:rPr>
        <w:t>estimate</w:t>
      </w:r>
      <w:r w:rsidR="00E4407C" w:rsidRPr="00002C7A">
        <w:rPr>
          <w:lang w:val="en-GB" w:eastAsia="en-GB"/>
        </w:rPr>
        <w:t xml:space="preserve"> </w:t>
      </w:r>
      <w:r w:rsidR="00BE2D29" w:rsidRPr="00002C7A">
        <w:rPr>
          <w:lang w:val="en-GB" w:eastAsia="en-GB"/>
        </w:rPr>
        <w:t xml:space="preserve">the option </w:t>
      </w:r>
      <w:r w:rsidR="009B5115" w:rsidRPr="00002C7A">
        <w:rPr>
          <w:lang w:val="en-GB" w:eastAsia="en-GB"/>
        </w:rPr>
        <w:t>value of</w:t>
      </w:r>
      <w:r w:rsidR="009523C3" w:rsidRPr="00002C7A">
        <w:rPr>
          <w:lang w:val="en-GB" w:eastAsia="en-GB"/>
        </w:rPr>
        <w:t xml:space="preserve"> </w:t>
      </w:r>
      <w:r w:rsidR="00210468" w:rsidRPr="00002C7A">
        <w:rPr>
          <w:lang w:val="en-GB" w:eastAsia="en-GB"/>
        </w:rPr>
        <w:t xml:space="preserve">waiting instead of making </w:t>
      </w:r>
      <w:r w:rsidR="009523C3" w:rsidRPr="00002C7A">
        <w:rPr>
          <w:lang w:val="en-GB" w:eastAsia="en-GB"/>
        </w:rPr>
        <w:t xml:space="preserve">an investment in the </w:t>
      </w:r>
      <w:r w:rsidR="00797BAE" w:rsidRPr="00002C7A">
        <w:rPr>
          <w:lang w:val="en-GB" w:eastAsia="en-GB"/>
        </w:rPr>
        <w:t>NGA</w:t>
      </w:r>
      <w:r w:rsidR="009523C3" w:rsidRPr="00002C7A">
        <w:rPr>
          <w:lang w:val="en-GB" w:eastAsia="en-GB"/>
        </w:rPr>
        <w:t xml:space="preserve"> network</w:t>
      </w:r>
      <w:r w:rsidR="003D0E8F" w:rsidRPr="00002C7A">
        <w:rPr>
          <w:lang w:val="en-GB" w:eastAsia="en-GB"/>
        </w:rPr>
        <w:t xml:space="preserve"> today</w:t>
      </w:r>
      <w:r w:rsidRPr="00002C7A">
        <w:rPr>
          <w:lang w:val="en-GB" w:eastAsia="en-GB"/>
        </w:rPr>
        <w:t>.</w:t>
      </w:r>
      <w:r w:rsidR="00B21E99" w:rsidRPr="00002C7A">
        <w:rPr>
          <w:rStyle w:val="FootnoteReference"/>
          <w:lang w:val="en-GB" w:eastAsia="en-GB"/>
        </w:rPr>
        <w:footnoteReference w:id="66"/>
      </w:r>
      <w:r w:rsidR="00D763A5" w:rsidRPr="00002C7A">
        <w:rPr>
          <w:lang w:val="en-GB" w:eastAsia="en-GB"/>
        </w:rPr>
        <w:t xml:space="preserve"> </w:t>
      </w:r>
      <w:r w:rsidRPr="00002C7A">
        <w:rPr>
          <w:lang w:val="en-GB" w:eastAsia="en-GB"/>
        </w:rPr>
        <w:t>This figure was confirmed in the subsequent market analysis and remained unchanged until 2021.</w:t>
      </w:r>
      <w:r w:rsidR="00826651" w:rsidRPr="00002C7A">
        <w:rPr>
          <w:rStyle w:val="FootnoteReference"/>
          <w:lang w:val="en-GB" w:eastAsia="en-GB"/>
        </w:rPr>
        <w:footnoteReference w:id="67"/>
      </w:r>
      <w:r w:rsidR="003E678E" w:rsidRPr="00002C7A">
        <w:rPr>
          <w:lang w:val="en-GB" w:eastAsia="en-GB"/>
        </w:rPr>
        <w:t xml:space="preserve"> The fiber premium was then reduced</w:t>
      </w:r>
      <w:r w:rsidR="00CA79B7" w:rsidRPr="00002C7A">
        <w:rPr>
          <w:lang w:val="en-GB"/>
        </w:rPr>
        <w:t xml:space="preserve"> </w:t>
      </w:r>
      <w:r w:rsidR="00020929" w:rsidRPr="00002C7A">
        <w:rPr>
          <w:lang w:val="en-GB"/>
        </w:rPr>
        <w:t>to 1.92% in 2022</w:t>
      </w:r>
      <w:r w:rsidR="00A37FCD" w:rsidRPr="00002C7A">
        <w:rPr>
          <w:lang w:val="en-GB"/>
        </w:rPr>
        <w:t xml:space="preserve"> and 1.36% in 2023.</w:t>
      </w:r>
      <w:r w:rsidR="00A37FCD" w:rsidRPr="00002C7A">
        <w:rPr>
          <w:rStyle w:val="FootnoteReference"/>
          <w:lang w:val="en-GB"/>
        </w:rPr>
        <w:footnoteReference w:id="68"/>
      </w:r>
      <w:r w:rsidR="00E82D33" w:rsidRPr="00002C7A">
        <w:rPr>
          <w:lang w:val="en-GB"/>
        </w:rPr>
        <w:t xml:space="preserve"> For the regulatory period from 2024 to 2028</w:t>
      </w:r>
      <w:r w:rsidR="006C1293" w:rsidRPr="00002C7A">
        <w:rPr>
          <w:lang w:val="en-GB"/>
        </w:rPr>
        <w:t xml:space="preserve">, </w:t>
      </w:r>
      <w:r w:rsidR="0081223A" w:rsidRPr="00002C7A">
        <w:rPr>
          <w:lang w:val="en-GB"/>
        </w:rPr>
        <w:t xml:space="preserve">AGCOM </w:t>
      </w:r>
      <w:r w:rsidR="0094532D" w:rsidRPr="00002C7A">
        <w:rPr>
          <w:lang w:val="en-GB"/>
        </w:rPr>
        <w:t xml:space="preserve">has decided </w:t>
      </w:r>
      <w:r w:rsidR="0081223A" w:rsidRPr="00002C7A">
        <w:rPr>
          <w:lang w:val="en-GB"/>
        </w:rPr>
        <w:t xml:space="preserve">that </w:t>
      </w:r>
      <w:r w:rsidR="0094532D" w:rsidRPr="00002C7A">
        <w:rPr>
          <w:lang w:val="en-GB"/>
        </w:rPr>
        <w:t xml:space="preserve">the </w:t>
      </w:r>
      <w:r w:rsidR="003E4383" w:rsidRPr="00002C7A">
        <w:rPr>
          <w:lang w:val="en-GB"/>
        </w:rPr>
        <w:t xml:space="preserve">application of </w:t>
      </w:r>
      <w:r w:rsidR="0081223A" w:rsidRPr="00002C7A">
        <w:rPr>
          <w:lang w:val="en-GB"/>
        </w:rPr>
        <w:t>a</w:t>
      </w:r>
      <w:r w:rsidR="0094532D" w:rsidRPr="00002C7A">
        <w:rPr>
          <w:lang w:val="en-GB"/>
        </w:rPr>
        <w:t>n</w:t>
      </w:r>
      <w:r w:rsidR="00736C23" w:rsidRPr="00002C7A">
        <w:rPr>
          <w:lang w:val="en-GB"/>
        </w:rPr>
        <w:t xml:space="preserve"> NGA premium </w:t>
      </w:r>
      <w:r w:rsidR="00E10B00" w:rsidRPr="00002C7A">
        <w:rPr>
          <w:lang w:val="en-GB"/>
        </w:rPr>
        <w:t>is no longer justified</w:t>
      </w:r>
      <w:r w:rsidR="0081223A" w:rsidRPr="00002C7A">
        <w:rPr>
          <w:lang w:val="en-GB"/>
        </w:rPr>
        <w:t xml:space="preserve"> </w:t>
      </w:r>
      <w:r w:rsidR="003E4383" w:rsidRPr="00002C7A">
        <w:rPr>
          <w:lang w:val="en-GB"/>
        </w:rPr>
        <w:t xml:space="preserve">because </w:t>
      </w:r>
      <w:r w:rsidR="004F1BC8" w:rsidRPr="00002C7A">
        <w:rPr>
          <w:lang w:val="en-GB"/>
        </w:rPr>
        <w:t xml:space="preserve">it expects </w:t>
      </w:r>
      <w:r w:rsidR="00931E2C" w:rsidRPr="00002C7A">
        <w:rPr>
          <w:lang w:val="en-GB"/>
        </w:rPr>
        <w:t>FTTH coverage will be reasonably complete by 2028</w:t>
      </w:r>
      <w:r w:rsidR="00290B56" w:rsidRPr="00002C7A">
        <w:rPr>
          <w:lang w:val="en-GB"/>
        </w:rPr>
        <w:t xml:space="preserve">, </w:t>
      </w:r>
      <w:r w:rsidR="0059776E" w:rsidRPr="00002C7A">
        <w:rPr>
          <w:lang w:val="en-GB"/>
        </w:rPr>
        <w:t xml:space="preserve">eliminating </w:t>
      </w:r>
      <w:r w:rsidR="00290B56" w:rsidRPr="00002C7A">
        <w:rPr>
          <w:lang w:val="en-GB"/>
        </w:rPr>
        <w:t xml:space="preserve">the uncertainty </w:t>
      </w:r>
      <w:r w:rsidR="00700BD8" w:rsidRPr="00002C7A">
        <w:rPr>
          <w:lang w:val="en-GB"/>
        </w:rPr>
        <w:t>that gave rise to the option premiums.</w:t>
      </w:r>
      <w:r w:rsidR="008D27BC" w:rsidRPr="00002C7A">
        <w:rPr>
          <w:rStyle w:val="FootnoteReference"/>
          <w:lang w:val="en-GB"/>
        </w:rPr>
        <w:footnoteReference w:id="69"/>
      </w:r>
      <w:r w:rsidR="006C721D" w:rsidRPr="00002C7A">
        <w:rPr>
          <w:lang w:val="en-GB"/>
        </w:rPr>
        <w:t xml:space="preserve"> During the ongoing market consultation, AGCOM has proposed to remove the price control obligation altogether</w:t>
      </w:r>
      <w:r w:rsidR="00401E70" w:rsidRPr="00002C7A">
        <w:rPr>
          <w:lang w:val="en-GB"/>
        </w:rPr>
        <w:t>.</w:t>
      </w:r>
      <w:r w:rsidR="00D60B5F" w:rsidRPr="00002C7A">
        <w:rPr>
          <w:rStyle w:val="FootnoteReference"/>
          <w:lang w:val="en-GB"/>
        </w:rPr>
        <w:footnoteReference w:id="70"/>
      </w:r>
    </w:p>
    <w:p w14:paraId="7054DDEC" w14:textId="0E83F741" w:rsidR="00037FB2" w:rsidRPr="00002C7A" w:rsidRDefault="00037FB2" w:rsidP="00037FB2">
      <w:pPr>
        <w:pStyle w:val="ParagraphNumbered"/>
        <w:rPr>
          <w:lang w:val="en-GB" w:eastAsia="en-GB"/>
        </w:rPr>
      </w:pPr>
      <w:r w:rsidRPr="00002C7A">
        <w:rPr>
          <w:lang w:val="en-GB" w:eastAsia="en-GB"/>
        </w:rPr>
        <w:fldChar w:fldCharType="begin"/>
      </w:r>
      <w:r w:rsidRPr="00002C7A">
        <w:rPr>
          <w:lang w:val="en-GB" w:eastAsia="en-GB"/>
        </w:rPr>
        <w:instrText xml:space="preserve"> REF _Ref215026910 \h </w:instrText>
      </w:r>
      <w:r w:rsidRPr="00002C7A">
        <w:rPr>
          <w:lang w:val="en-GB" w:eastAsia="en-GB"/>
        </w:rPr>
      </w:r>
      <w:r w:rsidRPr="00002C7A">
        <w:rPr>
          <w:lang w:val="en-GB" w:eastAsia="en-GB"/>
        </w:rPr>
        <w:fldChar w:fldCharType="separate"/>
      </w:r>
      <w:r w:rsidR="007F093A">
        <w:t xml:space="preserve">Figure </w:t>
      </w:r>
      <w:r w:rsidR="007F093A">
        <w:rPr>
          <w:noProof/>
        </w:rPr>
        <w:t>6</w:t>
      </w:r>
      <w:r w:rsidRPr="00002C7A">
        <w:rPr>
          <w:lang w:val="en-GB" w:eastAsia="en-GB"/>
        </w:rPr>
        <w:fldChar w:fldCharType="end"/>
      </w:r>
      <w:r w:rsidRPr="00002C7A">
        <w:rPr>
          <w:lang w:val="en-GB" w:eastAsia="en-GB"/>
        </w:rPr>
        <w:t xml:space="preserve">, below, </w:t>
      </w:r>
      <w:r w:rsidR="002B58DE" w:rsidRPr="00002C7A">
        <w:rPr>
          <w:lang w:val="en-GB" w:eastAsia="en-GB"/>
        </w:rPr>
        <w:t xml:space="preserve">illustrates the values of the fiber premiums </w:t>
      </w:r>
      <w:r w:rsidRPr="00002C7A">
        <w:rPr>
          <w:lang w:val="en-GB" w:eastAsia="en-GB"/>
        </w:rPr>
        <w:t xml:space="preserve">​​currently in effect in </w:t>
      </w:r>
      <w:r w:rsidR="0051470D" w:rsidRPr="00002C7A">
        <w:rPr>
          <w:lang w:val="en-GB" w:eastAsia="en-GB"/>
        </w:rPr>
        <w:t xml:space="preserve">in the </w:t>
      </w:r>
      <w:r w:rsidRPr="00002C7A">
        <w:rPr>
          <w:lang w:val="en-GB" w:eastAsia="en-GB"/>
        </w:rPr>
        <w:t xml:space="preserve">European Union and the United Kingdom, and identifies countries that do not apply a </w:t>
      </w:r>
      <w:r w:rsidR="00D661EC" w:rsidRPr="00002C7A">
        <w:rPr>
          <w:lang w:val="en-GB" w:eastAsia="en-GB"/>
        </w:rPr>
        <w:t>f</w:t>
      </w:r>
      <w:r w:rsidRPr="00002C7A">
        <w:rPr>
          <w:lang w:val="en-GB" w:eastAsia="en-GB"/>
        </w:rPr>
        <w:t xml:space="preserve">iber </w:t>
      </w:r>
      <w:r w:rsidR="00D661EC" w:rsidRPr="00002C7A">
        <w:rPr>
          <w:lang w:val="en-GB" w:eastAsia="en-GB"/>
        </w:rPr>
        <w:t>p</w:t>
      </w:r>
      <w:r w:rsidRPr="00002C7A">
        <w:rPr>
          <w:lang w:val="en-GB" w:eastAsia="en-GB"/>
        </w:rPr>
        <w:t>remium or where fiber services are unregulated.</w:t>
      </w:r>
      <w:r w:rsidR="00401E70" w:rsidRPr="00002C7A">
        <w:rPr>
          <w:lang w:val="en-GB" w:eastAsia="en-GB"/>
        </w:rPr>
        <w:t xml:space="preserve"> Overall, only 7 NRAs currently maintain a Fiber Premium in the WACC for fiber networks</w:t>
      </w:r>
      <w:r w:rsidR="0051470D" w:rsidRPr="00002C7A">
        <w:rPr>
          <w:lang w:val="en-GB" w:eastAsia="en-GB"/>
        </w:rPr>
        <w:t>, with an aver</w:t>
      </w:r>
      <w:r w:rsidR="008A71AC" w:rsidRPr="00002C7A">
        <w:rPr>
          <w:lang w:val="en-GB" w:eastAsia="en-GB"/>
        </w:rPr>
        <w:t xml:space="preserve">age premium of </w:t>
      </w:r>
      <w:r w:rsidR="008D7AF5" w:rsidRPr="00002C7A">
        <w:rPr>
          <w:lang w:val="en-GB" w:eastAsia="en-GB"/>
        </w:rPr>
        <w:t>1.45</w:t>
      </w:r>
      <w:r w:rsidR="008A71AC" w:rsidRPr="00002C7A">
        <w:rPr>
          <w:lang w:val="en-GB" w:eastAsia="en-GB"/>
        </w:rPr>
        <w:t>%</w:t>
      </w:r>
      <w:r w:rsidR="00401E70" w:rsidRPr="00002C7A">
        <w:rPr>
          <w:lang w:val="en-GB" w:eastAsia="en-GB"/>
        </w:rPr>
        <w:t>. The other NRAs, including those in countries with the highest FTTH coverage, initially regulated FTTH services and then decided that regulation was no longer necessary, or do not apply a fiber premium even though the service is regulated. The NRAs that apply a fiber premium have estimated this premium either based on a financial model (France, Italy and Spain), based on an asset beta differential (United Kingdom, Belgium, Netherlands), or as an average of the premiums adopted by other countries (Poland, Slovenia, Croatia, Czech Republic).</w:t>
      </w:r>
    </w:p>
    <w:p w14:paraId="572DF4CF" w14:textId="21488A63" w:rsidR="00C672B7" w:rsidRDefault="00C672B7" w:rsidP="00C672B7">
      <w:pPr>
        <w:pStyle w:val="Caption"/>
      </w:pPr>
      <w:bookmarkStart w:id="314" w:name="_Ref215026910"/>
      <w:bookmarkStart w:id="315" w:name="_Toc219739816"/>
      <w:bookmarkStart w:id="316" w:name="_Toc217060099"/>
      <w:r>
        <w:lastRenderedPageBreak/>
        <w:t xml:space="preserve">Figure </w:t>
      </w:r>
      <w:fldSimple w:instr=" SEQ Figure \* ARABIC ">
        <w:r w:rsidR="007F093A">
          <w:rPr>
            <w:noProof/>
          </w:rPr>
          <w:t>6</w:t>
        </w:r>
      </w:fldSimple>
      <w:bookmarkEnd w:id="314"/>
      <w:r>
        <w:t xml:space="preserve">: </w:t>
      </w:r>
      <w:r w:rsidR="009E4EA1">
        <w:t xml:space="preserve">Current </w:t>
      </w:r>
      <w:r>
        <w:t>Fiber Premiums Selected by European Telecom</w:t>
      </w:r>
      <w:r w:rsidR="004328AE">
        <w:t>s</w:t>
      </w:r>
      <w:r>
        <w:t xml:space="preserve"> Regulators</w:t>
      </w:r>
      <w:bookmarkEnd w:id="315"/>
      <w:bookmarkEnd w:id="316"/>
    </w:p>
    <w:p w14:paraId="0E0CAD5F" w14:textId="6D24EAD8" w:rsidR="002808E4" w:rsidRDefault="009A4C23" w:rsidP="00C672B7">
      <w:pPr>
        <w:pStyle w:val="Caption"/>
      </w:pPr>
      <w:r>
        <w:rPr>
          <w:noProof/>
        </w:rPr>
        <w:drawing>
          <wp:inline distT="0" distB="0" distL="0" distR="0" wp14:anchorId="59C9FD33" wp14:editId="33FF8883">
            <wp:extent cx="5731510" cy="4164965"/>
            <wp:effectExtent l="0" t="0" r="2540" b="6985"/>
            <wp:docPr id="1855752600" name="Picture 1" descr="A graph of fiber premi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52600" name="Picture 1" descr="A graph of fiber premiums&#10;&#10;AI-generated content may be incorrect."/>
                    <pic:cNvPicPr/>
                  </pic:nvPicPr>
                  <pic:blipFill>
                    <a:blip r:embed="rId41"/>
                    <a:stretch>
                      <a:fillRect/>
                    </a:stretch>
                  </pic:blipFill>
                  <pic:spPr>
                    <a:xfrm>
                      <a:off x="0" y="0"/>
                      <a:ext cx="5731510" cy="4164965"/>
                    </a:xfrm>
                    <a:prstGeom prst="rect">
                      <a:avLst/>
                    </a:prstGeom>
                  </pic:spPr>
                </pic:pic>
              </a:graphicData>
            </a:graphic>
          </wp:inline>
        </w:drawing>
      </w:r>
    </w:p>
    <w:p w14:paraId="43D10A93" w14:textId="0959A602" w:rsidR="00D661EC" w:rsidRPr="00002C7A" w:rsidRDefault="00401E70" w:rsidP="00D661EC">
      <w:pPr>
        <w:pStyle w:val="ParagraphNumbered"/>
        <w:rPr>
          <w:lang w:val="en-GB" w:eastAsia="en-GB"/>
        </w:rPr>
      </w:pPr>
      <w:r w:rsidRPr="00002C7A">
        <w:rPr>
          <w:lang w:val="en-GB"/>
        </w:rPr>
        <w:t xml:space="preserve">In </w:t>
      </w:r>
      <w:r w:rsidRPr="00002C7A">
        <w:rPr>
          <w:lang w:val="en-GB"/>
        </w:rPr>
        <w:fldChar w:fldCharType="begin"/>
      </w:r>
      <w:r w:rsidRPr="00002C7A">
        <w:rPr>
          <w:lang w:val="en-GB"/>
        </w:rPr>
        <w:instrText xml:space="preserve"> REF _Ref215077817 \h </w:instrText>
      </w:r>
      <w:r w:rsidR="0055268E" w:rsidRPr="00002C7A">
        <w:rPr>
          <w:lang w:val="en-GB"/>
        </w:rPr>
        <w:instrText xml:space="preserve"> \* MERGEFORMAT </w:instrText>
      </w:r>
      <w:r w:rsidRPr="00002C7A">
        <w:rPr>
          <w:lang w:val="en-GB"/>
        </w:rPr>
      </w:r>
      <w:r w:rsidRPr="00002C7A">
        <w:rPr>
          <w:lang w:val="en-GB"/>
        </w:rPr>
        <w:fldChar w:fldCharType="separate"/>
      </w:r>
      <w:r w:rsidR="007F093A" w:rsidRPr="007F093A">
        <w:rPr>
          <w:lang w:val="en-GB"/>
        </w:rPr>
        <w:t>Figure 7</w:t>
      </w:r>
      <w:r w:rsidRPr="00002C7A">
        <w:rPr>
          <w:lang w:val="en-GB"/>
        </w:rPr>
        <w:fldChar w:fldCharType="end"/>
      </w:r>
      <w:r w:rsidR="00FE4C44" w:rsidRPr="00002C7A">
        <w:rPr>
          <w:lang w:val="en-GB"/>
        </w:rPr>
        <w:t xml:space="preserve"> below, we further illustrate the fiber premiums which were initially selected by the regulators at the time they were introduced. </w:t>
      </w:r>
      <w:r w:rsidR="003C56C2" w:rsidRPr="00002C7A">
        <w:rPr>
          <w:lang w:val="en-GB" w:eastAsia="en-GB"/>
        </w:rPr>
        <w:t xml:space="preserve">Overall, </w:t>
      </w:r>
      <w:r w:rsidR="0055268E" w:rsidRPr="00002C7A">
        <w:rPr>
          <w:lang w:val="en-GB" w:eastAsia="en-GB"/>
        </w:rPr>
        <w:t xml:space="preserve">these initial </w:t>
      </w:r>
      <w:r w:rsidR="003C56C2" w:rsidRPr="00002C7A">
        <w:rPr>
          <w:lang w:val="en-GB" w:eastAsia="en-GB"/>
        </w:rPr>
        <w:t xml:space="preserve">fiber premiums </w:t>
      </w:r>
      <w:r w:rsidR="00735650" w:rsidRPr="00002C7A">
        <w:rPr>
          <w:lang w:val="en-GB" w:eastAsia="en-GB"/>
        </w:rPr>
        <w:t xml:space="preserve">ranged between </w:t>
      </w:r>
      <w:r w:rsidR="00EF1C01" w:rsidRPr="00002C7A">
        <w:rPr>
          <w:lang w:val="en-GB" w:eastAsia="en-GB"/>
        </w:rPr>
        <w:t>0.61</w:t>
      </w:r>
      <w:r w:rsidR="00735650" w:rsidRPr="00002C7A">
        <w:rPr>
          <w:lang w:val="en-GB" w:eastAsia="en-GB"/>
        </w:rPr>
        <w:t xml:space="preserve">% </w:t>
      </w:r>
      <w:r w:rsidR="004C6AF0" w:rsidRPr="00002C7A">
        <w:rPr>
          <w:lang w:val="en-GB" w:eastAsia="en-GB"/>
        </w:rPr>
        <w:t>in Slovenia</w:t>
      </w:r>
      <w:r w:rsidR="00A42E43" w:rsidRPr="00002C7A">
        <w:rPr>
          <w:lang w:val="en-GB" w:eastAsia="en-GB"/>
        </w:rPr>
        <w:t xml:space="preserve"> and Luxembourg</w:t>
      </w:r>
      <w:r w:rsidR="00735650" w:rsidRPr="00002C7A">
        <w:rPr>
          <w:lang w:val="en-GB" w:eastAsia="en-GB"/>
        </w:rPr>
        <w:t xml:space="preserve"> and </w:t>
      </w:r>
      <w:r w:rsidR="008F42F3" w:rsidRPr="00002C7A">
        <w:rPr>
          <w:lang w:val="en-GB" w:eastAsia="en-GB"/>
        </w:rPr>
        <w:t>4</w:t>
      </w:r>
      <w:r w:rsidR="00EF1C01" w:rsidRPr="00002C7A">
        <w:rPr>
          <w:lang w:val="en-GB" w:eastAsia="en-GB"/>
        </w:rPr>
        <w:t>.</w:t>
      </w:r>
      <w:r w:rsidR="008F42F3" w:rsidRPr="00002C7A">
        <w:rPr>
          <w:lang w:val="en-GB" w:eastAsia="en-GB"/>
        </w:rPr>
        <w:t xml:space="preserve">81% in Spain, with an average of </w:t>
      </w:r>
      <w:r w:rsidR="00EA1EC6" w:rsidRPr="00002C7A">
        <w:rPr>
          <w:lang w:val="en-GB" w:eastAsia="en-GB"/>
        </w:rPr>
        <w:t>2.</w:t>
      </w:r>
      <w:r w:rsidR="00A42E43" w:rsidRPr="00002C7A">
        <w:rPr>
          <w:lang w:val="en-GB" w:eastAsia="en-GB"/>
        </w:rPr>
        <w:t>3</w:t>
      </w:r>
      <w:r w:rsidR="00EA1EC6" w:rsidRPr="00002C7A">
        <w:rPr>
          <w:lang w:val="en-GB" w:eastAsia="en-GB"/>
        </w:rPr>
        <w:t>9</w:t>
      </w:r>
      <w:r w:rsidR="008F42F3" w:rsidRPr="00002C7A">
        <w:rPr>
          <w:lang w:val="en-GB" w:eastAsia="en-GB"/>
        </w:rPr>
        <w:t>%.</w:t>
      </w:r>
      <w:r w:rsidR="002605C9" w:rsidRPr="00002C7A">
        <w:rPr>
          <w:rStyle w:val="FootnoteReference"/>
          <w:lang w:val="en-GB" w:eastAsia="en-GB"/>
        </w:rPr>
        <w:footnoteReference w:id="71"/>
      </w:r>
    </w:p>
    <w:p w14:paraId="6211A45F" w14:textId="335A6A4D" w:rsidR="003E7D48" w:rsidRDefault="004328AE" w:rsidP="004328AE">
      <w:pPr>
        <w:pStyle w:val="Caption"/>
      </w:pPr>
      <w:bookmarkStart w:id="317" w:name="_Ref215077817"/>
      <w:bookmarkStart w:id="318" w:name="_Toc219739817"/>
      <w:bookmarkStart w:id="319" w:name="_Toc217060100"/>
      <w:r>
        <w:lastRenderedPageBreak/>
        <w:t xml:space="preserve">Figure </w:t>
      </w:r>
      <w:fldSimple w:instr=" SEQ Figure \* ARABIC ">
        <w:r w:rsidR="007F093A">
          <w:rPr>
            <w:noProof/>
          </w:rPr>
          <w:t>7</w:t>
        </w:r>
      </w:fldSimple>
      <w:bookmarkEnd w:id="317"/>
      <w:r w:rsidR="009E4721">
        <w:t>:</w:t>
      </w:r>
      <w:r w:rsidR="004B1E2B">
        <w:t xml:space="preserve"> </w:t>
      </w:r>
      <w:r w:rsidR="00A21AFC">
        <w:t xml:space="preserve">Initial </w:t>
      </w:r>
      <w:r w:rsidR="004B1E2B">
        <w:t>Fiber premiums selected by European Telecoms Regulators</w:t>
      </w:r>
      <w:bookmarkEnd w:id="318"/>
      <w:bookmarkEnd w:id="319"/>
    </w:p>
    <w:p w14:paraId="5C73615A" w14:textId="0D452AD8" w:rsidR="004B1E2B" w:rsidRDefault="000C3B33" w:rsidP="004328AE">
      <w:pPr>
        <w:pStyle w:val="Caption"/>
      </w:pPr>
      <w:r w:rsidRPr="000C3B33">
        <w:rPr>
          <w:noProof/>
        </w:rPr>
        <w:drawing>
          <wp:inline distT="0" distB="0" distL="0" distR="0" wp14:anchorId="48E10DFB" wp14:editId="5F3E67FB">
            <wp:extent cx="5731510" cy="4154170"/>
            <wp:effectExtent l="0" t="0" r="2540" b="0"/>
            <wp:docPr id="287963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1510" cy="4154170"/>
                    </a:xfrm>
                    <a:prstGeom prst="rect">
                      <a:avLst/>
                    </a:prstGeom>
                    <a:noFill/>
                    <a:ln>
                      <a:noFill/>
                    </a:ln>
                  </pic:spPr>
                </pic:pic>
              </a:graphicData>
            </a:graphic>
          </wp:inline>
        </w:drawing>
      </w:r>
    </w:p>
    <w:p w14:paraId="6CCBBEBC" w14:textId="77777777" w:rsidR="004328AE" w:rsidRDefault="004328AE" w:rsidP="004328AE">
      <w:pPr>
        <w:pStyle w:val="Caption"/>
      </w:pPr>
    </w:p>
    <w:p w14:paraId="21AA0469" w14:textId="0A71DA30" w:rsidR="009706DE" w:rsidRPr="00002C7A" w:rsidRDefault="003F2346">
      <w:pPr>
        <w:pStyle w:val="ParagraphNumbered"/>
        <w:rPr>
          <w:lang w:val="en-GB"/>
        </w:rPr>
      </w:pPr>
      <w:r w:rsidRPr="00002C7A">
        <w:rPr>
          <w:lang w:val="en-GB"/>
        </w:rPr>
        <w:t xml:space="preserve">Evidence on the decline </w:t>
      </w:r>
      <w:r w:rsidR="00373F51" w:rsidRPr="00002C7A">
        <w:rPr>
          <w:lang w:val="en-GB"/>
        </w:rPr>
        <w:t xml:space="preserve">over time </w:t>
      </w:r>
      <w:r w:rsidRPr="00002C7A">
        <w:rPr>
          <w:lang w:val="en-GB"/>
        </w:rPr>
        <w:t>of the higher risk of investments in fiber</w:t>
      </w:r>
      <w:r w:rsidR="00E67771" w:rsidRPr="00002C7A">
        <w:rPr>
          <w:lang w:val="en-GB"/>
        </w:rPr>
        <w:t>, due to the combination of increased coverage</w:t>
      </w:r>
      <w:r w:rsidR="00444A82" w:rsidRPr="00002C7A">
        <w:rPr>
          <w:lang w:val="en-GB"/>
        </w:rPr>
        <w:t xml:space="preserve">, reduced demand uncertainty and a matured technology, </w:t>
      </w:r>
      <w:r w:rsidR="009F00E4" w:rsidRPr="00002C7A">
        <w:rPr>
          <w:lang w:val="en-GB"/>
        </w:rPr>
        <w:t xml:space="preserve">is also provided by the analyses </w:t>
      </w:r>
      <w:r w:rsidR="00421331" w:rsidRPr="00002C7A">
        <w:rPr>
          <w:lang w:val="en-GB"/>
        </w:rPr>
        <w:t xml:space="preserve">we have performed in </w:t>
      </w:r>
      <w:r w:rsidR="00FE4E84" w:rsidRPr="00002C7A">
        <w:rPr>
          <w:lang w:val="en-GB"/>
        </w:rPr>
        <w:t xml:space="preserve">prior reports </w:t>
      </w:r>
      <w:r w:rsidR="00691A99" w:rsidRPr="00002C7A">
        <w:rPr>
          <w:lang w:val="en-GB"/>
        </w:rPr>
        <w:t xml:space="preserve">prepared </w:t>
      </w:r>
      <w:r w:rsidR="00FE4E84" w:rsidRPr="00002C7A">
        <w:rPr>
          <w:lang w:val="en-GB"/>
        </w:rPr>
        <w:t>for</w:t>
      </w:r>
      <w:r w:rsidR="00691A99" w:rsidRPr="00002C7A">
        <w:rPr>
          <w:lang w:val="en-GB"/>
        </w:rPr>
        <w:t xml:space="preserve"> the Dutch regulator </w:t>
      </w:r>
      <w:r w:rsidR="00FE4E84" w:rsidRPr="00002C7A">
        <w:rPr>
          <w:lang w:val="en-GB"/>
        </w:rPr>
        <w:t>ACM</w:t>
      </w:r>
      <w:r w:rsidR="00691A99" w:rsidRPr="00002C7A">
        <w:rPr>
          <w:rStyle w:val="FootnoteReference"/>
          <w:lang w:val="en-GB"/>
        </w:rPr>
        <w:footnoteReference w:id="72"/>
      </w:r>
      <w:r w:rsidR="00FE4E84" w:rsidRPr="00002C7A">
        <w:rPr>
          <w:lang w:val="en-GB"/>
        </w:rPr>
        <w:t xml:space="preserve"> and </w:t>
      </w:r>
      <w:r w:rsidR="00691A99" w:rsidRPr="00002C7A">
        <w:rPr>
          <w:lang w:val="en-GB"/>
        </w:rPr>
        <w:t xml:space="preserve">the UK regulator </w:t>
      </w:r>
      <w:r w:rsidR="00FE4E84" w:rsidRPr="00002C7A">
        <w:rPr>
          <w:lang w:val="en-GB"/>
        </w:rPr>
        <w:t>Ofcom</w:t>
      </w:r>
      <w:r w:rsidR="00534D17" w:rsidRPr="00002C7A">
        <w:rPr>
          <w:lang w:val="en-GB"/>
        </w:rPr>
        <w:t>, which the regulators used as a basis for updating the value of the fiber premium</w:t>
      </w:r>
      <w:r w:rsidR="00421331" w:rsidRPr="00002C7A">
        <w:rPr>
          <w:lang w:val="en-GB"/>
        </w:rPr>
        <w:t>.</w:t>
      </w:r>
      <w:r w:rsidR="00691A99" w:rsidRPr="00002C7A">
        <w:rPr>
          <w:rStyle w:val="FootnoteReference"/>
          <w:lang w:val="en-GB"/>
        </w:rPr>
        <w:footnoteReference w:id="73"/>
      </w:r>
      <w:r w:rsidR="00FE4E84" w:rsidRPr="00002C7A">
        <w:rPr>
          <w:lang w:val="en-GB"/>
        </w:rPr>
        <w:t xml:space="preserve"> </w:t>
      </w:r>
      <w:r w:rsidR="00421331" w:rsidRPr="00002C7A">
        <w:rPr>
          <w:lang w:val="en-GB"/>
        </w:rPr>
        <w:t xml:space="preserve">In these reports, </w:t>
      </w:r>
      <w:r w:rsidR="00FE4E84" w:rsidRPr="00002C7A">
        <w:rPr>
          <w:lang w:val="en-GB"/>
        </w:rPr>
        <w:t xml:space="preserve">we </w:t>
      </w:r>
      <w:r w:rsidR="00DB0BDB" w:rsidRPr="00002C7A">
        <w:rPr>
          <w:lang w:val="en-GB"/>
        </w:rPr>
        <w:t xml:space="preserve">suggested that the higher systematic risk of investments in </w:t>
      </w:r>
      <w:r w:rsidR="00F274F1" w:rsidRPr="00002C7A">
        <w:rPr>
          <w:lang w:val="en-GB"/>
        </w:rPr>
        <w:t>fiber</w:t>
      </w:r>
      <w:r w:rsidR="00DB0BDB" w:rsidRPr="00002C7A">
        <w:rPr>
          <w:lang w:val="en-GB"/>
        </w:rPr>
        <w:t xml:space="preserve"> could be captured </w:t>
      </w:r>
      <w:r w:rsidR="00691A99" w:rsidRPr="00002C7A">
        <w:rPr>
          <w:lang w:val="en-GB"/>
        </w:rPr>
        <w:t xml:space="preserve">directly, </w:t>
      </w:r>
      <w:r w:rsidR="00DB0BDB" w:rsidRPr="00002C7A">
        <w:rPr>
          <w:lang w:val="en-GB"/>
        </w:rPr>
        <w:t>by looking at the difference between</w:t>
      </w:r>
      <w:r w:rsidR="00691A99" w:rsidRPr="00002C7A">
        <w:rPr>
          <w:lang w:val="en-GB"/>
        </w:rPr>
        <w:t xml:space="preserve"> the asset betas of</w:t>
      </w:r>
      <w:r w:rsidR="00DB0BDB" w:rsidRPr="00002C7A">
        <w:rPr>
          <w:lang w:val="en-GB"/>
        </w:rPr>
        <w:t xml:space="preserve"> </w:t>
      </w:r>
      <w:r w:rsidR="00144D2B" w:rsidRPr="00002C7A">
        <w:rPr>
          <w:lang w:val="en-GB"/>
        </w:rPr>
        <w:t>“</w:t>
      </w:r>
      <w:r w:rsidR="00DB0BDB" w:rsidRPr="00002C7A">
        <w:rPr>
          <w:lang w:val="en-GB"/>
        </w:rPr>
        <w:t>incumbent</w:t>
      </w:r>
      <w:r w:rsidR="007F27EE" w:rsidRPr="00002C7A">
        <w:rPr>
          <w:lang w:val="en-GB"/>
        </w:rPr>
        <w:t xml:space="preserve"> </w:t>
      </w:r>
      <w:r w:rsidR="009606B9" w:rsidRPr="00002C7A">
        <w:rPr>
          <w:lang w:val="en-GB"/>
        </w:rPr>
        <w:t>operators</w:t>
      </w:r>
      <w:r w:rsidR="00F71D96" w:rsidRPr="00002C7A">
        <w:rPr>
          <w:lang w:val="en-GB"/>
        </w:rPr>
        <w:t>”</w:t>
      </w:r>
      <w:r w:rsidR="009606B9" w:rsidRPr="00002C7A">
        <w:rPr>
          <w:lang w:val="en-GB"/>
        </w:rPr>
        <w:t>, which are</w:t>
      </w:r>
      <w:r w:rsidR="00DB0BDB" w:rsidRPr="00002C7A">
        <w:rPr>
          <w:lang w:val="en-GB"/>
        </w:rPr>
        <w:t xml:space="preserve"> </w:t>
      </w:r>
      <w:r w:rsidR="00726071" w:rsidRPr="00002C7A">
        <w:rPr>
          <w:lang w:val="en-GB"/>
        </w:rPr>
        <w:t>the owner</w:t>
      </w:r>
      <w:r w:rsidR="00F3670E" w:rsidRPr="00002C7A">
        <w:rPr>
          <w:lang w:val="en-GB"/>
        </w:rPr>
        <w:t>s</w:t>
      </w:r>
      <w:r w:rsidR="00726071" w:rsidRPr="00002C7A">
        <w:rPr>
          <w:lang w:val="en-GB"/>
        </w:rPr>
        <w:t xml:space="preserve"> of the legacy copper network in at least one of the countries in which t</w:t>
      </w:r>
      <w:r w:rsidR="00F3670E" w:rsidRPr="00002C7A">
        <w:rPr>
          <w:lang w:val="en-GB"/>
        </w:rPr>
        <w:t>he</w:t>
      </w:r>
      <w:r w:rsidR="003471FC" w:rsidRPr="00002C7A">
        <w:rPr>
          <w:lang w:val="en-GB"/>
        </w:rPr>
        <w:t>y</w:t>
      </w:r>
      <w:r w:rsidR="00726071" w:rsidRPr="00002C7A">
        <w:rPr>
          <w:lang w:val="en-GB"/>
        </w:rPr>
        <w:t xml:space="preserve"> operate, </w:t>
      </w:r>
      <w:r w:rsidR="007F27EE" w:rsidRPr="00002C7A">
        <w:rPr>
          <w:lang w:val="en-GB"/>
        </w:rPr>
        <w:t xml:space="preserve">and </w:t>
      </w:r>
      <w:r w:rsidR="00F71D96" w:rsidRPr="00002C7A">
        <w:rPr>
          <w:lang w:val="en-GB"/>
        </w:rPr>
        <w:t>“</w:t>
      </w:r>
      <w:r w:rsidR="007F27EE" w:rsidRPr="00002C7A">
        <w:rPr>
          <w:lang w:val="en-GB"/>
        </w:rPr>
        <w:t>alternative operators</w:t>
      </w:r>
      <w:r w:rsidR="00F71D96" w:rsidRPr="00002C7A">
        <w:rPr>
          <w:lang w:val="en-GB"/>
        </w:rPr>
        <w:t>”</w:t>
      </w:r>
      <w:r w:rsidR="00726071" w:rsidRPr="00002C7A">
        <w:rPr>
          <w:lang w:val="en-GB"/>
        </w:rPr>
        <w:t xml:space="preserve"> of </w:t>
      </w:r>
      <w:r w:rsidR="00144D2B" w:rsidRPr="00002C7A">
        <w:rPr>
          <w:lang w:val="en-GB"/>
        </w:rPr>
        <w:t xml:space="preserve">a fixed telecom or cable network competing with the national </w:t>
      </w:r>
      <w:r w:rsidR="00144D2B" w:rsidRPr="00002C7A">
        <w:rPr>
          <w:lang w:val="en-GB"/>
        </w:rPr>
        <w:lastRenderedPageBreak/>
        <w:t>incumbents.</w:t>
      </w:r>
      <w:r w:rsidR="006837E1" w:rsidRPr="00002C7A">
        <w:rPr>
          <w:lang w:val="en-GB"/>
        </w:rPr>
        <w:t xml:space="preserve"> We have replicated that analysis recently, in </w:t>
      </w:r>
      <w:r w:rsidR="00B36806" w:rsidRPr="00002C7A">
        <w:rPr>
          <w:lang w:val="en-GB"/>
        </w:rPr>
        <w:t>the context of calculating the WACC for heating networks in the Netherlands</w:t>
      </w:r>
      <w:r w:rsidR="00B36806" w:rsidRPr="00002C7A">
        <w:rPr>
          <w:rStyle w:val="FootnoteReference"/>
          <w:lang w:val="en-GB"/>
        </w:rPr>
        <w:footnoteReference w:id="74"/>
      </w:r>
      <w:r w:rsidR="00B36806" w:rsidRPr="00002C7A">
        <w:rPr>
          <w:lang w:val="en-GB"/>
        </w:rPr>
        <w:t xml:space="preserve"> and in preparing </w:t>
      </w:r>
      <w:r w:rsidR="00E95855" w:rsidRPr="00002C7A">
        <w:rPr>
          <w:lang w:val="en-GB"/>
        </w:rPr>
        <w:t>this report for ComCom.</w:t>
      </w:r>
    </w:p>
    <w:p w14:paraId="769AB934" w14:textId="4DF3BC40" w:rsidR="00FE4E84" w:rsidRPr="00002C7A" w:rsidRDefault="00AA3257" w:rsidP="00063BB0">
      <w:pPr>
        <w:pStyle w:val="ParagraphNumbered"/>
        <w:rPr>
          <w:lang w:val="en-GB"/>
        </w:rPr>
      </w:pPr>
      <w:r w:rsidRPr="00002C7A">
        <w:rPr>
          <w:lang w:val="en-GB"/>
        </w:rPr>
        <w:t xml:space="preserve">In </w:t>
      </w:r>
      <w:r w:rsidR="00EC5918" w:rsidRPr="00002C7A">
        <w:rPr>
          <w:lang w:val="en-GB"/>
        </w:rPr>
        <w:fldChar w:fldCharType="begin"/>
      </w:r>
      <w:r w:rsidR="00EC5918" w:rsidRPr="00002C7A">
        <w:rPr>
          <w:lang w:val="en-GB"/>
        </w:rPr>
        <w:instrText xml:space="preserve"> REF _Ref217036035 \h </w:instrText>
      </w:r>
      <w:r w:rsidR="00EC5918" w:rsidRPr="00002C7A">
        <w:rPr>
          <w:lang w:val="en-GB"/>
        </w:rPr>
      </w:r>
      <w:r w:rsidR="00EC5918" w:rsidRPr="00002C7A">
        <w:rPr>
          <w:lang w:val="en-GB"/>
        </w:rPr>
        <w:fldChar w:fldCharType="separate"/>
      </w:r>
      <w:r w:rsidR="007F093A" w:rsidRPr="002A0656">
        <w:t xml:space="preserve">Table </w:t>
      </w:r>
      <w:r w:rsidR="007F093A">
        <w:rPr>
          <w:noProof/>
        </w:rPr>
        <w:t>17</w:t>
      </w:r>
      <w:r w:rsidR="00EC5918" w:rsidRPr="00002C7A">
        <w:rPr>
          <w:lang w:val="en-GB"/>
        </w:rPr>
        <w:fldChar w:fldCharType="end"/>
      </w:r>
      <w:r w:rsidRPr="00002C7A">
        <w:rPr>
          <w:lang w:val="en-GB"/>
        </w:rPr>
        <w:t>, below, we summarize the results of the comparison between the betas of incumbent operators and the betas of alternative operators at four different points in time</w:t>
      </w:r>
      <w:r w:rsidR="00FA0394" w:rsidRPr="00002C7A">
        <w:rPr>
          <w:lang w:val="en-GB"/>
        </w:rPr>
        <w:t>, corresponding to the measurement dates we used in the above mentioned reports for the ACM and Ofcom</w:t>
      </w:r>
      <w:r w:rsidR="005C1BB3" w:rsidRPr="00002C7A">
        <w:rPr>
          <w:lang w:val="en-GB"/>
        </w:rPr>
        <w:t xml:space="preserve"> and in this report. In more detail, the </w:t>
      </w:r>
      <w:r w:rsidR="00DF61ED" w:rsidRPr="00002C7A">
        <w:rPr>
          <w:lang w:val="en-GB"/>
        </w:rPr>
        <w:t>t</w:t>
      </w:r>
      <w:r w:rsidR="005C1BB3" w:rsidRPr="00002C7A">
        <w:rPr>
          <w:lang w:val="en-GB"/>
        </w:rPr>
        <w:t>able reports the median asset beta of incumbents and alternative operators</w:t>
      </w:r>
      <w:r w:rsidR="00277C4F" w:rsidRPr="00002C7A">
        <w:rPr>
          <w:lang w:val="en-GB"/>
        </w:rPr>
        <w:t xml:space="preserve"> and the difference between the two. The </w:t>
      </w:r>
      <w:r w:rsidR="00E672EB" w:rsidRPr="00002C7A">
        <w:rPr>
          <w:lang w:val="en-GB"/>
        </w:rPr>
        <w:t>t</w:t>
      </w:r>
      <w:r w:rsidR="00277C4F" w:rsidRPr="00002C7A">
        <w:rPr>
          <w:lang w:val="en-GB"/>
        </w:rPr>
        <w:t>able further reports the measurement dat</w:t>
      </w:r>
      <w:r w:rsidR="0033353F" w:rsidRPr="00002C7A">
        <w:rPr>
          <w:lang w:val="en-GB"/>
        </w:rPr>
        <w:t>e</w:t>
      </w:r>
      <w:r w:rsidR="00277C4F" w:rsidRPr="00002C7A">
        <w:rPr>
          <w:lang w:val="en-GB"/>
        </w:rPr>
        <w:t xml:space="preserve"> and </w:t>
      </w:r>
      <w:r w:rsidR="0033577A" w:rsidRPr="00002C7A">
        <w:rPr>
          <w:lang w:val="en-GB"/>
        </w:rPr>
        <w:t>the methodology applied for the analysis.</w:t>
      </w:r>
      <w:r w:rsidR="005C1BB3" w:rsidRPr="00002C7A">
        <w:rPr>
          <w:lang w:val="en-GB"/>
        </w:rPr>
        <w:t xml:space="preserve"> </w:t>
      </w:r>
      <w:r w:rsidR="0033577A" w:rsidRPr="00002C7A">
        <w:rPr>
          <w:lang w:val="en-GB"/>
        </w:rPr>
        <w:t xml:space="preserve">Overall, we find </w:t>
      </w:r>
      <w:r w:rsidR="00B17B2F" w:rsidRPr="00002C7A">
        <w:rPr>
          <w:lang w:val="en-GB"/>
        </w:rPr>
        <w:t>evidence of a decline over time in the differential of the beta between incumbents and alternative operators</w:t>
      </w:r>
      <w:r w:rsidR="00063BB0" w:rsidRPr="00002C7A">
        <w:rPr>
          <w:lang w:val="en-GB"/>
        </w:rPr>
        <w:t>, from more than 0.10 in 2019-2020</w:t>
      </w:r>
      <w:r w:rsidR="009B2D01" w:rsidRPr="00002C7A">
        <w:rPr>
          <w:lang w:val="en-GB"/>
        </w:rPr>
        <w:t xml:space="preserve"> to as low as 0.01 in 2025</w:t>
      </w:r>
      <w:r w:rsidR="00063BB0" w:rsidRPr="00002C7A">
        <w:rPr>
          <w:lang w:val="en-GB"/>
        </w:rPr>
        <w:t>.</w:t>
      </w:r>
      <w:r w:rsidR="009B2D01" w:rsidRPr="00002C7A">
        <w:rPr>
          <w:lang w:val="en-GB"/>
        </w:rPr>
        <w:t xml:space="preserve"> The differential, however, appears volatile, and we cannot exclude that investments in fiber still </w:t>
      </w:r>
      <w:r w:rsidR="00672397" w:rsidRPr="00002C7A">
        <w:rPr>
          <w:lang w:val="en-GB"/>
        </w:rPr>
        <w:t xml:space="preserve">involve a higher systematic risk than operating the copper network. </w:t>
      </w:r>
      <w:r w:rsidR="00063BB0" w:rsidRPr="00002C7A">
        <w:rPr>
          <w:lang w:val="en-GB"/>
        </w:rPr>
        <w:t xml:space="preserve"> </w:t>
      </w:r>
    </w:p>
    <w:p w14:paraId="54621764" w14:textId="5EF2083E" w:rsidR="000C527D" w:rsidRPr="002A0656" w:rsidRDefault="000C527D" w:rsidP="000C527D">
      <w:pPr>
        <w:pStyle w:val="Caption"/>
      </w:pPr>
      <w:bookmarkStart w:id="320" w:name="_Ref217036035"/>
      <w:bookmarkStart w:id="321" w:name="_Toc219739809"/>
      <w:bookmarkStart w:id="322" w:name="_Toc217060092"/>
      <w:r w:rsidRPr="002A0656">
        <w:t xml:space="preserve">Table </w:t>
      </w:r>
      <w:r>
        <w:fldChar w:fldCharType="begin"/>
      </w:r>
      <w:r w:rsidRPr="002A0656">
        <w:instrText xml:space="preserve"> SEQ Table \* ARABIC </w:instrText>
      </w:r>
      <w:r>
        <w:fldChar w:fldCharType="separate"/>
      </w:r>
      <w:r w:rsidR="007F093A">
        <w:rPr>
          <w:noProof/>
        </w:rPr>
        <w:t>17</w:t>
      </w:r>
      <w:r>
        <w:fldChar w:fldCharType="end"/>
      </w:r>
      <w:bookmarkEnd w:id="320"/>
      <w:r w:rsidRPr="002A0656">
        <w:t>: Media</w:t>
      </w:r>
      <w:r w:rsidR="00EC5918" w:rsidRPr="002A0656">
        <w:t>n</w:t>
      </w:r>
      <w:r w:rsidRPr="002A0656">
        <w:t xml:space="preserve"> asset betas of incumbent and alternative operators</w:t>
      </w:r>
      <w:bookmarkEnd w:id="321"/>
      <w:bookmarkEnd w:id="322"/>
    </w:p>
    <w:p w14:paraId="232D01D0" w14:textId="68B5CB66" w:rsidR="00FC3172" w:rsidRDefault="001B5126" w:rsidP="00CC7170">
      <w:pPr>
        <w:pStyle w:val="Caption"/>
      </w:pPr>
      <w:r w:rsidRPr="001B5126">
        <w:rPr>
          <w:noProof/>
        </w:rPr>
        <w:drawing>
          <wp:inline distT="0" distB="0" distL="0" distR="0" wp14:anchorId="02E6AA43" wp14:editId="56A1DFCD">
            <wp:extent cx="5731510" cy="3165475"/>
            <wp:effectExtent l="0" t="0" r="2540" b="0"/>
            <wp:docPr id="9724711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165475"/>
                    </a:xfrm>
                    <a:prstGeom prst="rect">
                      <a:avLst/>
                    </a:prstGeom>
                    <a:noFill/>
                    <a:ln>
                      <a:noFill/>
                    </a:ln>
                  </pic:spPr>
                </pic:pic>
              </a:graphicData>
            </a:graphic>
          </wp:inline>
        </w:drawing>
      </w:r>
    </w:p>
    <w:p w14:paraId="1275BCAF" w14:textId="6FEB2672" w:rsidR="003010B7" w:rsidRPr="00002C7A" w:rsidRDefault="004901D5" w:rsidP="00E849B8">
      <w:pPr>
        <w:pStyle w:val="ParagraphNumbered"/>
        <w:rPr>
          <w:lang w:val="en-GB"/>
        </w:rPr>
      </w:pPr>
      <w:r w:rsidRPr="00002C7A">
        <w:rPr>
          <w:lang w:val="en-GB"/>
        </w:rPr>
        <w:t>The re</w:t>
      </w:r>
      <w:r w:rsidR="002A4860" w:rsidRPr="00002C7A">
        <w:rPr>
          <w:lang w:val="en-GB"/>
        </w:rPr>
        <w:t>commendations of EC Recommendation 2010/572/EU</w:t>
      </w:r>
      <w:r w:rsidR="00F73F6F" w:rsidRPr="00002C7A">
        <w:rPr>
          <w:lang w:val="en-GB"/>
        </w:rPr>
        <w:t xml:space="preserve"> regarding the applicability of a fiber premium </w:t>
      </w:r>
      <w:r w:rsidR="003D4BAC" w:rsidRPr="00002C7A">
        <w:rPr>
          <w:lang w:val="en-GB"/>
        </w:rPr>
        <w:t>a</w:t>
      </w:r>
      <w:r w:rsidR="00F73F6F" w:rsidRPr="00002C7A">
        <w:rPr>
          <w:lang w:val="en-GB"/>
        </w:rPr>
        <w:t xml:space="preserve">re </w:t>
      </w:r>
      <w:r w:rsidR="003D4BAC" w:rsidRPr="00002C7A">
        <w:rPr>
          <w:lang w:val="en-GB"/>
        </w:rPr>
        <w:t xml:space="preserve">still relevant </w:t>
      </w:r>
      <w:r w:rsidR="00327ABB" w:rsidRPr="00002C7A">
        <w:rPr>
          <w:lang w:val="en-GB"/>
        </w:rPr>
        <w:t xml:space="preserve">in the current regulatory framework. </w:t>
      </w:r>
      <w:r w:rsidR="001071E7" w:rsidRPr="00002C7A">
        <w:rPr>
          <w:lang w:val="en-GB"/>
        </w:rPr>
        <w:t xml:space="preserve">However, </w:t>
      </w:r>
      <w:r w:rsidR="0042470A" w:rsidRPr="00002C7A">
        <w:rPr>
          <w:lang w:val="en-GB"/>
        </w:rPr>
        <w:t xml:space="preserve">recent </w:t>
      </w:r>
      <w:r w:rsidR="00644694" w:rsidRPr="00002C7A">
        <w:rPr>
          <w:lang w:val="en-GB"/>
        </w:rPr>
        <w:t>developments</w:t>
      </w:r>
      <w:r w:rsidR="0042470A" w:rsidRPr="00002C7A">
        <w:rPr>
          <w:lang w:val="en-GB"/>
        </w:rPr>
        <w:t xml:space="preserve"> seem to </w:t>
      </w:r>
      <w:r w:rsidR="00644694" w:rsidRPr="00002C7A">
        <w:rPr>
          <w:lang w:val="en-GB"/>
        </w:rPr>
        <w:t>stress the importance of</w:t>
      </w:r>
      <w:r w:rsidR="0042470A" w:rsidRPr="00002C7A">
        <w:rPr>
          <w:lang w:val="en-GB"/>
        </w:rPr>
        <w:t xml:space="preserve"> a project-specific, case by case determination of </w:t>
      </w:r>
      <w:r w:rsidR="00FE01D5" w:rsidRPr="00002C7A">
        <w:rPr>
          <w:lang w:val="en-GB"/>
        </w:rPr>
        <w:t xml:space="preserve">the WACC premium which may be </w:t>
      </w:r>
      <w:r w:rsidR="008F4429" w:rsidRPr="00002C7A">
        <w:rPr>
          <w:lang w:val="en-GB"/>
        </w:rPr>
        <w:t xml:space="preserve">recognized for the development of </w:t>
      </w:r>
      <w:r w:rsidR="00BA7057" w:rsidRPr="00002C7A">
        <w:rPr>
          <w:lang w:val="en-GB"/>
        </w:rPr>
        <w:t>very high capacity</w:t>
      </w:r>
      <w:r w:rsidR="00E375D1" w:rsidRPr="00002C7A">
        <w:rPr>
          <w:lang w:val="en-GB"/>
        </w:rPr>
        <w:t xml:space="preserve"> networks (VHCN)</w:t>
      </w:r>
      <w:r w:rsidR="00EB7888" w:rsidRPr="00002C7A">
        <w:rPr>
          <w:lang w:val="en-GB"/>
        </w:rPr>
        <w:t xml:space="preserve">, </w:t>
      </w:r>
      <w:r w:rsidR="00160620" w:rsidRPr="00002C7A">
        <w:rPr>
          <w:lang w:val="en-GB"/>
        </w:rPr>
        <w:t xml:space="preserve">but only in the presence of </w:t>
      </w:r>
      <w:r w:rsidR="00E26EEE" w:rsidRPr="00002C7A">
        <w:rPr>
          <w:lang w:val="en-GB"/>
        </w:rPr>
        <w:t>quantifiable risk</w:t>
      </w:r>
      <w:r w:rsidR="00E375D1" w:rsidRPr="00002C7A">
        <w:rPr>
          <w:lang w:val="en-GB"/>
        </w:rPr>
        <w:t xml:space="preserve">. </w:t>
      </w:r>
      <w:r w:rsidR="00451A9D" w:rsidRPr="00002C7A">
        <w:rPr>
          <w:lang w:val="en-GB"/>
        </w:rPr>
        <w:t>In particular, t</w:t>
      </w:r>
      <w:r w:rsidR="00327ABB" w:rsidRPr="00002C7A">
        <w:rPr>
          <w:lang w:val="en-GB"/>
        </w:rPr>
        <w:t xml:space="preserve">he 2019 Commission WACC Notice explicitly refers back to the 2010 NGA Recommendation, which remains the primary reference for assessing whether additional </w:t>
      </w:r>
      <w:r w:rsidR="00327ABB" w:rsidRPr="00002C7A">
        <w:rPr>
          <w:lang w:val="en-GB"/>
        </w:rPr>
        <w:lastRenderedPageBreak/>
        <w:t xml:space="preserve">remuneration is justified for </w:t>
      </w:r>
      <w:r w:rsidR="000F694D" w:rsidRPr="00002C7A">
        <w:rPr>
          <w:lang w:val="en-GB"/>
        </w:rPr>
        <w:t>fiber</w:t>
      </w:r>
      <w:r w:rsidR="00327ABB" w:rsidRPr="00002C7A">
        <w:rPr>
          <w:lang w:val="en-GB"/>
        </w:rPr>
        <w:t xml:space="preserve"> roll-outs.</w:t>
      </w:r>
      <w:r w:rsidR="003A6A8E" w:rsidRPr="00002C7A">
        <w:rPr>
          <w:rStyle w:val="FootnoteReference"/>
          <w:lang w:val="en-GB"/>
        </w:rPr>
        <w:footnoteReference w:id="75"/>
      </w:r>
      <w:r w:rsidR="00327ABB" w:rsidRPr="00002C7A">
        <w:rPr>
          <w:lang w:val="en-GB"/>
        </w:rPr>
        <w:t xml:space="preserve"> </w:t>
      </w:r>
      <w:r w:rsidR="00E31643" w:rsidRPr="00002C7A">
        <w:rPr>
          <w:lang w:val="en-GB"/>
        </w:rPr>
        <w:t>Furthermore</w:t>
      </w:r>
      <w:r w:rsidR="00327ABB" w:rsidRPr="00002C7A">
        <w:rPr>
          <w:lang w:val="en-GB"/>
        </w:rPr>
        <w:t>, both the BEREC</w:t>
      </w:r>
      <w:r w:rsidR="002F6F33" w:rsidRPr="00002C7A">
        <w:rPr>
          <w:lang w:val="en-GB"/>
        </w:rPr>
        <w:t>’s</w:t>
      </w:r>
      <w:r w:rsidR="00327ABB" w:rsidRPr="00002C7A">
        <w:rPr>
          <w:lang w:val="en-GB"/>
        </w:rPr>
        <w:t xml:space="preserve"> </w:t>
      </w:r>
      <w:r w:rsidR="002F6F33" w:rsidRPr="00002C7A">
        <w:rPr>
          <w:lang w:val="en-GB"/>
        </w:rPr>
        <w:t>2025</w:t>
      </w:r>
      <w:r w:rsidR="00327ABB" w:rsidRPr="00002C7A">
        <w:rPr>
          <w:lang w:val="en-GB"/>
        </w:rPr>
        <w:t xml:space="preserve"> Report and the 2024 Gigabit Recommendation </w:t>
      </w:r>
      <w:r w:rsidR="00686744" w:rsidRPr="00002C7A">
        <w:rPr>
          <w:lang w:val="en-GB"/>
        </w:rPr>
        <w:t xml:space="preserve">of the European Commission </w:t>
      </w:r>
      <w:r w:rsidR="00830FA2" w:rsidRPr="00002C7A">
        <w:rPr>
          <w:lang w:val="en-GB"/>
        </w:rPr>
        <w:t xml:space="preserve">continue </w:t>
      </w:r>
      <w:r w:rsidR="002934CC" w:rsidRPr="00002C7A">
        <w:rPr>
          <w:lang w:val="en-GB"/>
        </w:rPr>
        <w:t>t</w:t>
      </w:r>
      <w:r w:rsidR="00DF07D0" w:rsidRPr="00002C7A">
        <w:rPr>
          <w:lang w:val="en-GB"/>
        </w:rPr>
        <w:t xml:space="preserve">o </w:t>
      </w:r>
      <w:r w:rsidR="00327ABB" w:rsidRPr="00002C7A">
        <w:rPr>
          <w:lang w:val="en-GB"/>
        </w:rPr>
        <w:t xml:space="preserve">distinguish between the WACC </w:t>
      </w:r>
      <w:r w:rsidR="00992D4A" w:rsidRPr="00002C7A">
        <w:rPr>
          <w:lang w:val="en-GB"/>
        </w:rPr>
        <w:t>applicable t</w:t>
      </w:r>
      <w:r w:rsidR="00327ABB" w:rsidRPr="00002C7A">
        <w:rPr>
          <w:lang w:val="en-GB"/>
        </w:rPr>
        <w:t>o</w:t>
      </w:r>
      <w:r w:rsidR="001F3ABC" w:rsidRPr="00002C7A">
        <w:rPr>
          <w:lang w:val="en-GB"/>
        </w:rPr>
        <w:t xml:space="preserve"> the</w:t>
      </w:r>
      <w:r w:rsidR="00327ABB" w:rsidRPr="00002C7A">
        <w:rPr>
          <w:lang w:val="en-GB"/>
        </w:rPr>
        <w:t xml:space="preserve"> le</w:t>
      </w:r>
      <w:r w:rsidR="001F3ABC" w:rsidRPr="00002C7A">
        <w:rPr>
          <w:lang w:val="en-GB"/>
        </w:rPr>
        <w:t>ga</w:t>
      </w:r>
      <w:r w:rsidR="00327ABB" w:rsidRPr="00002C7A">
        <w:rPr>
          <w:lang w:val="en-GB"/>
        </w:rPr>
        <w:t>cy infrastructure</w:t>
      </w:r>
      <w:r w:rsidR="008C3ACC" w:rsidRPr="00002C7A">
        <w:rPr>
          <w:lang w:val="en-GB"/>
        </w:rPr>
        <w:t xml:space="preserve"> – which must be </w:t>
      </w:r>
      <w:r w:rsidR="00327ABB" w:rsidRPr="00002C7A">
        <w:rPr>
          <w:lang w:val="en-GB"/>
        </w:rPr>
        <w:t xml:space="preserve">calculated according to the </w:t>
      </w:r>
      <w:r w:rsidR="008C3ACC" w:rsidRPr="00002C7A">
        <w:rPr>
          <w:lang w:val="en-GB"/>
        </w:rPr>
        <w:t xml:space="preserve">WACC Guidelines </w:t>
      </w:r>
      <w:r w:rsidR="00B3635B">
        <w:rPr>
          <w:lang w:val="en-GB"/>
        </w:rPr>
        <w:t>–</w:t>
      </w:r>
      <w:r w:rsidR="008C3ACC" w:rsidRPr="00002C7A">
        <w:rPr>
          <w:lang w:val="en-GB"/>
        </w:rPr>
        <w:t xml:space="preserve"> </w:t>
      </w:r>
      <w:r w:rsidR="00327ABB" w:rsidRPr="00002C7A">
        <w:rPr>
          <w:lang w:val="en-GB"/>
        </w:rPr>
        <w:t xml:space="preserve">and </w:t>
      </w:r>
      <w:r w:rsidR="00D378C9" w:rsidRPr="00002C7A">
        <w:rPr>
          <w:lang w:val="en-GB"/>
        </w:rPr>
        <w:t>the</w:t>
      </w:r>
      <w:r w:rsidR="00327ABB" w:rsidRPr="00002C7A">
        <w:rPr>
          <w:lang w:val="en-GB"/>
        </w:rPr>
        <w:t xml:space="preserve"> additional, project-specific risk premium that NRAs may apply on top of the baseline WACC where the deployment of new VHCNs entails additional and quantifiable risks.</w:t>
      </w:r>
      <w:r w:rsidR="00B93C28" w:rsidRPr="00002C7A">
        <w:rPr>
          <w:rStyle w:val="FootnoteReference"/>
          <w:lang w:val="en-GB"/>
        </w:rPr>
        <w:footnoteReference w:id="76"/>
      </w:r>
      <w:r w:rsidR="00B21E4B" w:rsidRPr="00002C7A">
        <w:rPr>
          <w:lang w:val="en-GB"/>
        </w:rPr>
        <w:t xml:space="preserve"> </w:t>
      </w:r>
      <w:r w:rsidR="00C7712A" w:rsidRPr="00002C7A">
        <w:rPr>
          <w:lang w:val="en-GB"/>
        </w:rPr>
        <w:t xml:space="preserve">Therefore, consistently with </w:t>
      </w:r>
      <w:r w:rsidR="000A667F" w:rsidRPr="00002C7A">
        <w:rPr>
          <w:lang w:val="en-GB"/>
        </w:rPr>
        <w:t xml:space="preserve">the 2010 </w:t>
      </w:r>
      <w:r w:rsidR="003C6827" w:rsidRPr="00002C7A">
        <w:rPr>
          <w:lang w:val="en-GB"/>
        </w:rPr>
        <w:t>EC Recommendation</w:t>
      </w:r>
      <w:r w:rsidR="000A667F" w:rsidRPr="00002C7A">
        <w:rPr>
          <w:lang w:val="en-GB"/>
        </w:rPr>
        <w:t xml:space="preserve">, </w:t>
      </w:r>
      <w:r w:rsidR="003C6827" w:rsidRPr="00002C7A">
        <w:rPr>
          <w:lang w:val="en-GB"/>
        </w:rPr>
        <w:t xml:space="preserve">the current </w:t>
      </w:r>
      <w:r w:rsidR="000A667F" w:rsidRPr="00002C7A">
        <w:rPr>
          <w:lang w:val="en-GB"/>
        </w:rPr>
        <w:t>framework</w:t>
      </w:r>
      <w:r w:rsidR="003C6827" w:rsidRPr="00002C7A">
        <w:rPr>
          <w:lang w:val="en-GB"/>
        </w:rPr>
        <w:t xml:space="preserve"> </w:t>
      </w:r>
      <w:r w:rsidR="000A667F" w:rsidRPr="00002C7A">
        <w:rPr>
          <w:lang w:val="en-GB"/>
        </w:rPr>
        <w:t>confirm</w:t>
      </w:r>
      <w:r w:rsidR="003C6827" w:rsidRPr="00002C7A">
        <w:rPr>
          <w:lang w:val="en-GB"/>
        </w:rPr>
        <w:t>s</w:t>
      </w:r>
      <w:r w:rsidR="000A667F" w:rsidRPr="00002C7A">
        <w:rPr>
          <w:lang w:val="en-GB"/>
        </w:rPr>
        <w:t xml:space="preserve"> that such a premium remains appropriate for specific </w:t>
      </w:r>
      <w:r w:rsidR="000F694D" w:rsidRPr="00002C7A">
        <w:rPr>
          <w:lang w:val="en-GB"/>
        </w:rPr>
        <w:t>fiber</w:t>
      </w:r>
      <w:r w:rsidR="000A667F" w:rsidRPr="00002C7A">
        <w:rPr>
          <w:lang w:val="en-GB"/>
        </w:rPr>
        <w:t xml:space="preserve"> investment projects, should </w:t>
      </w:r>
      <w:r w:rsidR="00B21E4B" w:rsidRPr="00002C7A">
        <w:rPr>
          <w:lang w:val="en-GB"/>
        </w:rPr>
        <w:t xml:space="preserve">they </w:t>
      </w:r>
      <w:r w:rsidR="000A667F" w:rsidRPr="00002C7A">
        <w:rPr>
          <w:lang w:val="en-GB"/>
        </w:rPr>
        <w:t>transparently reflect incremental risk</w:t>
      </w:r>
      <w:r w:rsidR="00B21E4B" w:rsidRPr="00002C7A">
        <w:rPr>
          <w:lang w:val="en-GB"/>
        </w:rPr>
        <w:t>.</w:t>
      </w:r>
    </w:p>
    <w:p w14:paraId="794D8CA5" w14:textId="2A088616" w:rsidR="003010B7" w:rsidRDefault="004F70F2" w:rsidP="00150F84">
      <w:pPr>
        <w:pStyle w:val="Heading2"/>
      </w:pPr>
      <w:bookmarkStart w:id="323" w:name="_Ref215029007"/>
      <w:bookmarkStart w:id="324" w:name="_Toc219739790"/>
      <w:bookmarkStart w:id="325" w:name="_Toc217060074"/>
      <w:r>
        <w:t>Recommendation on the relevance of a WACC premium for investments in next-generation networks in Georgia</w:t>
      </w:r>
      <w:bookmarkEnd w:id="323"/>
      <w:bookmarkEnd w:id="324"/>
      <w:bookmarkEnd w:id="325"/>
    </w:p>
    <w:p w14:paraId="42E23492" w14:textId="158BE70A" w:rsidR="006932D8" w:rsidRPr="00002C7A" w:rsidRDefault="003750CE" w:rsidP="00A76587">
      <w:pPr>
        <w:pStyle w:val="ParagraphNumbered"/>
        <w:rPr>
          <w:lang w:val="en-GB"/>
        </w:rPr>
      </w:pPr>
      <w:r w:rsidRPr="00002C7A">
        <w:rPr>
          <w:lang w:val="en-GB"/>
        </w:rPr>
        <w:t xml:space="preserve">As explained in the previous section, </w:t>
      </w:r>
      <w:r w:rsidR="00BC29CE" w:rsidRPr="00002C7A">
        <w:rPr>
          <w:lang w:val="en-GB"/>
        </w:rPr>
        <w:t>the capital leverage</w:t>
      </w:r>
      <w:r w:rsidR="00FB6120" w:rsidRPr="00002C7A">
        <w:rPr>
          <w:lang w:val="en-GB"/>
        </w:rPr>
        <w:t xml:space="preserve">, demand uncertainty and </w:t>
      </w:r>
      <w:r w:rsidR="0093264E" w:rsidRPr="00002C7A">
        <w:rPr>
          <w:lang w:val="en-GB"/>
        </w:rPr>
        <w:t xml:space="preserve">long-lived nature of </w:t>
      </w:r>
      <w:r w:rsidR="00534364" w:rsidRPr="00002C7A">
        <w:rPr>
          <w:lang w:val="en-GB"/>
        </w:rPr>
        <w:t>investments in new fiber assets may justify the provision of a WACC premium</w:t>
      </w:r>
      <w:r w:rsidR="00165D65" w:rsidRPr="00002C7A">
        <w:rPr>
          <w:lang w:val="en-GB"/>
        </w:rPr>
        <w:t xml:space="preserve">, particularly in the early years of the investments. However, the case for allowing a premium reduces over time, and no premium should be applied when </w:t>
      </w:r>
      <w:r w:rsidR="00747516" w:rsidRPr="00002C7A">
        <w:rPr>
          <w:lang w:val="en-GB"/>
        </w:rPr>
        <w:t xml:space="preserve">the investments have </w:t>
      </w:r>
      <w:r w:rsidR="00512672" w:rsidRPr="00002C7A">
        <w:rPr>
          <w:lang w:val="en-GB"/>
        </w:rPr>
        <w:t>been completed and demand uncertainty is resolved.</w:t>
      </w:r>
    </w:p>
    <w:p w14:paraId="6AF4967D" w14:textId="7AA86C61" w:rsidR="00DE0AC1" w:rsidRPr="00002C7A" w:rsidRDefault="006B2AB5">
      <w:pPr>
        <w:pStyle w:val="ParagraphNumbered"/>
        <w:rPr>
          <w:lang w:val="en-GB"/>
        </w:rPr>
      </w:pPr>
      <w:r w:rsidRPr="00002C7A">
        <w:rPr>
          <w:lang w:val="en-GB"/>
        </w:rPr>
        <w:t xml:space="preserve">In </w:t>
      </w:r>
      <w:r w:rsidR="002C5B94" w:rsidRPr="00002C7A">
        <w:rPr>
          <w:lang w:val="en-GB"/>
        </w:rPr>
        <w:fldChar w:fldCharType="begin"/>
      </w:r>
      <w:r w:rsidR="002C5B94" w:rsidRPr="00002C7A">
        <w:rPr>
          <w:lang w:val="en-GB"/>
        </w:rPr>
        <w:instrText xml:space="preserve"> REF _Ref215086667 \h </w:instrText>
      </w:r>
      <w:r w:rsidR="002C5B94" w:rsidRPr="00002C7A">
        <w:rPr>
          <w:lang w:val="en-GB"/>
        </w:rPr>
      </w:r>
      <w:r w:rsidR="002C5B94" w:rsidRPr="00002C7A">
        <w:rPr>
          <w:lang w:val="en-GB"/>
        </w:rPr>
        <w:fldChar w:fldCharType="separate"/>
      </w:r>
      <w:r w:rsidR="007F093A">
        <w:t xml:space="preserve">Figure </w:t>
      </w:r>
      <w:r w:rsidR="007F093A">
        <w:rPr>
          <w:noProof/>
        </w:rPr>
        <w:t>8</w:t>
      </w:r>
      <w:r w:rsidR="002C5B94" w:rsidRPr="00002C7A">
        <w:rPr>
          <w:lang w:val="en-GB"/>
        </w:rPr>
        <w:fldChar w:fldCharType="end"/>
      </w:r>
      <w:r w:rsidRPr="00002C7A">
        <w:rPr>
          <w:lang w:val="en-GB"/>
        </w:rPr>
        <w:t xml:space="preserve"> below, we illustrate the evolution </w:t>
      </w:r>
      <w:r w:rsidR="003349C2" w:rsidRPr="00002C7A">
        <w:rPr>
          <w:lang w:val="en-GB"/>
        </w:rPr>
        <w:t xml:space="preserve">of the share </w:t>
      </w:r>
      <w:r w:rsidR="00D36EE0" w:rsidRPr="00002C7A">
        <w:rPr>
          <w:lang w:val="en-GB"/>
        </w:rPr>
        <w:t>of</w:t>
      </w:r>
      <w:r w:rsidR="00CF4120" w:rsidRPr="00002C7A">
        <w:rPr>
          <w:lang w:val="en-GB"/>
        </w:rPr>
        <w:t xml:space="preserve"> </w:t>
      </w:r>
      <w:r w:rsidR="008B3637" w:rsidRPr="00002C7A">
        <w:rPr>
          <w:lang w:val="en-GB"/>
        </w:rPr>
        <w:t xml:space="preserve">subscribers </w:t>
      </w:r>
      <w:r w:rsidR="0088609D" w:rsidRPr="00002C7A">
        <w:rPr>
          <w:lang w:val="en-GB"/>
        </w:rPr>
        <w:t xml:space="preserve">by </w:t>
      </w:r>
      <w:r w:rsidR="008B3637" w:rsidRPr="00002C7A">
        <w:rPr>
          <w:lang w:val="en-GB"/>
        </w:rPr>
        <w:t>technolog</w:t>
      </w:r>
      <w:r w:rsidR="00DE0AC1" w:rsidRPr="00002C7A">
        <w:rPr>
          <w:lang w:val="en-GB"/>
        </w:rPr>
        <w:t>y in Georgia</w:t>
      </w:r>
      <w:r w:rsidR="00190E0B" w:rsidRPr="00002C7A">
        <w:rPr>
          <w:lang w:val="en-GB"/>
        </w:rPr>
        <w:t xml:space="preserve"> over the last </w:t>
      </w:r>
      <w:r w:rsidR="00D91F58" w:rsidRPr="00002C7A">
        <w:rPr>
          <w:lang w:val="en-GB"/>
        </w:rPr>
        <w:t>10 years</w:t>
      </w:r>
      <w:r w:rsidR="002E24B2" w:rsidRPr="00002C7A">
        <w:rPr>
          <w:lang w:val="en-GB"/>
        </w:rPr>
        <w:t>.</w:t>
      </w:r>
      <w:r w:rsidR="001D05E7" w:rsidRPr="00002C7A">
        <w:rPr>
          <w:lang w:val="en-GB"/>
        </w:rPr>
        <w:t xml:space="preserve"> </w:t>
      </w:r>
      <w:r w:rsidR="00DE0AC1" w:rsidRPr="00002C7A">
        <w:rPr>
          <w:lang w:val="en-GB"/>
        </w:rPr>
        <w:t>The Figure clearly shows that</w:t>
      </w:r>
      <w:r w:rsidR="00D91F58" w:rsidRPr="00002C7A">
        <w:rPr>
          <w:lang w:val="en-GB"/>
        </w:rPr>
        <w:t xml:space="preserve"> the s</w:t>
      </w:r>
      <w:r w:rsidR="009F1D50" w:rsidRPr="00002C7A">
        <w:rPr>
          <w:lang w:val="en-GB"/>
        </w:rPr>
        <w:t>ha</w:t>
      </w:r>
      <w:r w:rsidR="00D91F58" w:rsidRPr="00002C7A">
        <w:rPr>
          <w:lang w:val="en-GB"/>
        </w:rPr>
        <w:t>re of fiber subscriptions has steadily increased</w:t>
      </w:r>
      <w:r w:rsidR="0037153D" w:rsidRPr="00002C7A">
        <w:rPr>
          <w:lang w:val="en-GB"/>
        </w:rPr>
        <w:t xml:space="preserve"> to </w:t>
      </w:r>
      <w:r w:rsidR="006321F2" w:rsidRPr="00002C7A">
        <w:rPr>
          <w:lang w:val="en-GB"/>
        </w:rPr>
        <w:t>a</w:t>
      </w:r>
      <w:r w:rsidR="00C169D0" w:rsidRPr="00002C7A">
        <w:rPr>
          <w:lang w:val="en-GB"/>
        </w:rPr>
        <w:t>lmost</w:t>
      </w:r>
      <w:r w:rsidR="00C76C25" w:rsidRPr="00002C7A">
        <w:rPr>
          <w:lang w:val="en-GB"/>
        </w:rPr>
        <w:t xml:space="preserve"> 90</w:t>
      </w:r>
      <w:r w:rsidR="006321F2" w:rsidRPr="00002C7A">
        <w:rPr>
          <w:lang w:val="en-GB"/>
        </w:rPr>
        <w:t xml:space="preserve">% in </w:t>
      </w:r>
      <w:r w:rsidR="00C76C25" w:rsidRPr="00002C7A">
        <w:rPr>
          <w:lang w:val="en-GB"/>
        </w:rPr>
        <w:t>2025</w:t>
      </w:r>
      <w:r w:rsidR="006321F2" w:rsidRPr="00002C7A">
        <w:rPr>
          <w:lang w:val="en-GB"/>
        </w:rPr>
        <w:t>. Importantly, the share</w:t>
      </w:r>
      <w:r w:rsidR="004A4517" w:rsidRPr="00002C7A">
        <w:rPr>
          <w:lang w:val="en-GB"/>
        </w:rPr>
        <w:t xml:space="preserve"> attributable to the legacy copper networks has sh</w:t>
      </w:r>
      <w:r w:rsidR="00C07609" w:rsidRPr="00002C7A">
        <w:rPr>
          <w:lang w:val="en-GB"/>
        </w:rPr>
        <w:t>r</w:t>
      </w:r>
      <w:r w:rsidR="004A4517" w:rsidRPr="00002C7A">
        <w:rPr>
          <w:lang w:val="en-GB"/>
        </w:rPr>
        <w:t>u</w:t>
      </w:r>
      <w:r w:rsidR="00C07609" w:rsidRPr="00002C7A">
        <w:rPr>
          <w:lang w:val="en-GB"/>
        </w:rPr>
        <w:t>n</w:t>
      </w:r>
      <w:r w:rsidR="004A4517" w:rsidRPr="00002C7A">
        <w:rPr>
          <w:lang w:val="en-GB"/>
        </w:rPr>
        <w:t>k</w:t>
      </w:r>
      <w:r w:rsidR="00C07609" w:rsidRPr="00002C7A">
        <w:rPr>
          <w:lang w:val="en-GB"/>
        </w:rPr>
        <w:t xml:space="preserve"> to low single digits</w:t>
      </w:r>
      <w:r w:rsidR="00951BC5" w:rsidRPr="00002C7A">
        <w:rPr>
          <w:lang w:val="en-GB"/>
        </w:rPr>
        <w:t xml:space="preserve"> since </w:t>
      </w:r>
      <w:r w:rsidR="008827B3" w:rsidRPr="00002C7A">
        <w:rPr>
          <w:lang w:val="en-GB"/>
        </w:rPr>
        <w:t xml:space="preserve">2020. </w:t>
      </w:r>
      <w:r w:rsidR="00DE0AC1" w:rsidRPr="00002C7A">
        <w:rPr>
          <w:lang w:val="en-GB"/>
        </w:rPr>
        <w:t xml:space="preserve"> </w:t>
      </w:r>
    </w:p>
    <w:p w14:paraId="7CCD96DF" w14:textId="0696E1BF" w:rsidR="00A76587" w:rsidRPr="004A790E" w:rsidRDefault="003C3263" w:rsidP="005A18EC">
      <w:pPr>
        <w:pStyle w:val="Caption"/>
      </w:pPr>
      <w:bookmarkStart w:id="326" w:name="_Ref215086667"/>
      <w:bookmarkStart w:id="327" w:name="_Ref215086678"/>
      <w:bookmarkStart w:id="328" w:name="_Toc219739818"/>
      <w:bookmarkStart w:id="329" w:name="_Toc217060101"/>
      <w:r>
        <w:lastRenderedPageBreak/>
        <w:t xml:space="preserve">Figure </w:t>
      </w:r>
      <w:fldSimple w:instr=" SEQ Figure \* ARABIC ">
        <w:r w:rsidR="007F093A">
          <w:rPr>
            <w:noProof/>
          </w:rPr>
          <w:t>8</w:t>
        </w:r>
      </w:fldSimple>
      <w:bookmarkEnd w:id="326"/>
      <w:r w:rsidR="009E4721">
        <w:rPr>
          <w:noProof/>
        </w:rPr>
        <w:t>:</w:t>
      </w:r>
      <w:r>
        <w:t xml:space="preserve"> </w:t>
      </w:r>
      <w:r w:rsidR="00F274F1">
        <w:t>Fiber</w:t>
      </w:r>
      <w:r>
        <w:t xml:space="preserve"> Penetration of </w:t>
      </w:r>
      <w:r w:rsidR="003B7138">
        <w:t>Georgian Internet Market</w:t>
      </w:r>
      <w:bookmarkEnd w:id="327"/>
      <w:bookmarkEnd w:id="328"/>
      <w:bookmarkEnd w:id="329"/>
    </w:p>
    <w:p w14:paraId="31319CA0" w14:textId="0CDF6A53" w:rsidR="003B7138" w:rsidRDefault="001B34F2" w:rsidP="003C3263">
      <w:pPr>
        <w:pStyle w:val="Caption"/>
      </w:pPr>
      <w:r>
        <w:rPr>
          <w:noProof/>
        </w:rPr>
        <w:drawing>
          <wp:inline distT="0" distB="0" distL="0" distR="0" wp14:anchorId="7CFF2644" wp14:editId="3D1A57B3">
            <wp:extent cx="5731510" cy="4164965"/>
            <wp:effectExtent l="0" t="0" r="2540" b="6985"/>
            <wp:docPr id="1548592491" name="Picture 1" descr="A blue and yel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92491" name="Picture 1" descr="A blue and yellow chart&#10;&#10;AI-generated content may be incorrect."/>
                    <pic:cNvPicPr/>
                  </pic:nvPicPr>
                  <pic:blipFill>
                    <a:blip r:embed="rId44"/>
                    <a:stretch>
                      <a:fillRect/>
                    </a:stretch>
                  </pic:blipFill>
                  <pic:spPr>
                    <a:xfrm>
                      <a:off x="0" y="0"/>
                      <a:ext cx="5731510" cy="4164965"/>
                    </a:xfrm>
                    <a:prstGeom prst="rect">
                      <a:avLst/>
                    </a:prstGeom>
                  </pic:spPr>
                </pic:pic>
              </a:graphicData>
            </a:graphic>
          </wp:inline>
        </w:drawing>
      </w:r>
    </w:p>
    <w:p w14:paraId="23816B3A" w14:textId="05E1FF19" w:rsidR="008E31CB" w:rsidRPr="00002C7A" w:rsidRDefault="00947B1D" w:rsidP="00837363">
      <w:pPr>
        <w:pStyle w:val="ParagraphNumbered"/>
        <w:rPr>
          <w:lang w:val="en-GB"/>
        </w:rPr>
      </w:pPr>
      <w:r w:rsidRPr="00002C7A">
        <w:rPr>
          <w:lang w:val="en-GB"/>
        </w:rPr>
        <w:t>Clearly, as the Figure above suggests, the depl</w:t>
      </w:r>
      <w:r w:rsidR="00CD3037" w:rsidRPr="00002C7A">
        <w:rPr>
          <w:lang w:val="en-GB"/>
        </w:rPr>
        <w:t>oyment and adoption of the fiber network is extremely high</w:t>
      </w:r>
      <w:r w:rsidR="0066421A" w:rsidRPr="00002C7A">
        <w:rPr>
          <w:lang w:val="en-GB"/>
        </w:rPr>
        <w:t xml:space="preserve"> in Georgia</w:t>
      </w:r>
      <w:r w:rsidR="00CD3037" w:rsidRPr="00002C7A">
        <w:rPr>
          <w:lang w:val="en-GB"/>
        </w:rPr>
        <w:t>, which makes</w:t>
      </w:r>
      <w:r w:rsidR="00B8796D" w:rsidRPr="00002C7A">
        <w:rPr>
          <w:lang w:val="en-GB"/>
        </w:rPr>
        <w:t xml:space="preserve"> the application of a general fiber premium</w:t>
      </w:r>
      <w:r w:rsidR="0073663C" w:rsidRPr="00002C7A">
        <w:rPr>
          <w:lang w:val="en-GB"/>
        </w:rPr>
        <w:t xml:space="preserve"> to the WACC for </w:t>
      </w:r>
      <w:r w:rsidR="00EE1781" w:rsidRPr="00002C7A">
        <w:rPr>
          <w:lang w:val="en-GB"/>
        </w:rPr>
        <w:t xml:space="preserve">existing </w:t>
      </w:r>
      <w:r w:rsidR="0073663C" w:rsidRPr="00002C7A">
        <w:rPr>
          <w:lang w:val="en-GB"/>
        </w:rPr>
        <w:t xml:space="preserve">fiber assets </w:t>
      </w:r>
      <w:r w:rsidR="008E31CB" w:rsidRPr="00002C7A">
        <w:rPr>
          <w:lang w:val="en-GB"/>
        </w:rPr>
        <w:t>no longer relevant.</w:t>
      </w:r>
      <w:r w:rsidR="00EE1781" w:rsidRPr="00002C7A">
        <w:rPr>
          <w:lang w:val="en-GB"/>
        </w:rPr>
        <w:t xml:space="preserve"> </w:t>
      </w:r>
      <w:r w:rsidR="002B0AA0">
        <w:rPr>
          <w:lang w:val="en-GB"/>
        </w:rPr>
        <w:t>F</w:t>
      </w:r>
      <w:r w:rsidR="003B4583" w:rsidRPr="00002C7A">
        <w:rPr>
          <w:lang w:val="en-GB"/>
        </w:rPr>
        <w:t xml:space="preserve">or existing assets investments have been made and demand uncertainty has been positively resolved. </w:t>
      </w:r>
      <w:r w:rsidR="008E31CB" w:rsidRPr="00002C7A">
        <w:rPr>
          <w:lang w:val="en-GB"/>
        </w:rPr>
        <w:t xml:space="preserve"> </w:t>
      </w:r>
    </w:p>
    <w:p w14:paraId="63086846" w14:textId="619EB7B8" w:rsidR="0033353F" w:rsidRPr="00002C7A" w:rsidRDefault="008E31CB" w:rsidP="0033353F">
      <w:pPr>
        <w:pStyle w:val="ParagraphNumbered"/>
        <w:rPr>
          <w:lang w:val="en-GB"/>
        </w:rPr>
      </w:pPr>
      <w:r w:rsidRPr="00002C7A">
        <w:rPr>
          <w:lang w:val="en-GB"/>
        </w:rPr>
        <w:t xml:space="preserve">However, </w:t>
      </w:r>
      <w:r w:rsidR="00436688" w:rsidRPr="00002C7A">
        <w:rPr>
          <w:lang w:val="en-GB"/>
        </w:rPr>
        <w:t>as of today m</w:t>
      </w:r>
      <w:r w:rsidR="0033353F" w:rsidRPr="00002C7A">
        <w:rPr>
          <w:lang w:val="en-GB"/>
        </w:rPr>
        <w:t>any</w:t>
      </w:r>
      <w:r w:rsidR="00436688" w:rsidRPr="00002C7A">
        <w:rPr>
          <w:lang w:val="en-GB"/>
        </w:rPr>
        <w:t xml:space="preserve"> fiber connections in Georgia are still </w:t>
      </w:r>
      <w:r w:rsidR="00436688" w:rsidRPr="00002C7A">
        <w:rPr>
          <w:i/>
          <w:lang w:val="en-GB"/>
        </w:rPr>
        <w:t>fiber-to-the-building</w:t>
      </w:r>
      <w:r w:rsidR="00436688" w:rsidRPr="00002C7A">
        <w:rPr>
          <w:lang w:val="en-GB"/>
        </w:rPr>
        <w:t xml:space="preserve"> (FTTB) </w:t>
      </w:r>
      <w:r w:rsidR="00236C10" w:rsidRPr="00002C7A">
        <w:rPr>
          <w:lang w:val="en-GB"/>
        </w:rPr>
        <w:t xml:space="preserve">and </w:t>
      </w:r>
      <w:r w:rsidR="0052264B" w:rsidRPr="00002C7A">
        <w:rPr>
          <w:lang w:val="en-GB"/>
        </w:rPr>
        <w:t>o</w:t>
      </w:r>
      <w:r w:rsidR="005705C0" w:rsidRPr="00002C7A">
        <w:rPr>
          <w:lang w:val="en-GB"/>
        </w:rPr>
        <w:t>ver 90%</w:t>
      </w:r>
      <w:r w:rsidR="00B65F89" w:rsidRPr="00002C7A">
        <w:rPr>
          <w:lang w:val="en-GB"/>
        </w:rPr>
        <w:t xml:space="preserve"> of subscri</w:t>
      </w:r>
      <w:r w:rsidR="0033353F" w:rsidRPr="00002C7A">
        <w:rPr>
          <w:lang w:val="en-GB"/>
        </w:rPr>
        <w:t>ptions have connection</w:t>
      </w:r>
      <w:r w:rsidR="00C72429" w:rsidRPr="00002C7A">
        <w:rPr>
          <w:lang w:val="en-GB"/>
        </w:rPr>
        <w:t xml:space="preserve"> speed</w:t>
      </w:r>
      <w:r w:rsidR="0033353F" w:rsidRPr="00002C7A">
        <w:rPr>
          <w:lang w:val="en-GB"/>
        </w:rPr>
        <w:t>s</w:t>
      </w:r>
      <w:r w:rsidR="00C72429" w:rsidRPr="00002C7A">
        <w:rPr>
          <w:lang w:val="en-GB"/>
        </w:rPr>
        <w:t xml:space="preserve"> of</w:t>
      </w:r>
      <w:r w:rsidR="00225FD0" w:rsidRPr="00002C7A">
        <w:rPr>
          <w:lang w:val="en-GB"/>
        </w:rPr>
        <w:t xml:space="preserve"> 70 Mbps or lower.</w:t>
      </w:r>
      <w:r w:rsidR="00225FD0" w:rsidRPr="00002C7A">
        <w:rPr>
          <w:rStyle w:val="FootnoteReference"/>
          <w:lang w:val="en-GB"/>
        </w:rPr>
        <w:footnoteReference w:id="77"/>
      </w:r>
      <w:r w:rsidR="00236C10" w:rsidRPr="00002C7A">
        <w:rPr>
          <w:lang w:val="en-GB"/>
        </w:rPr>
        <w:t xml:space="preserve"> </w:t>
      </w:r>
      <w:r w:rsidR="0041336C" w:rsidRPr="00002C7A">
        <w:rPr>
          <w:lang w:val="en-GB"/>
        </w:rPr>
        <w:t>Importantly</w:t>
      </w:r>
      <w:r w:rsidR="00CA3A60" w:rsidRPr="00002C7A">
        <w:rPr>
          <w:lang w:val="en-GB"/>
        </w:rPr>
        <w:t xml:space="preserve">, significant investments will need to be made to improve </w:t>
      </w:r>
      <w:r w:rsidR="00E10F6F">
        <w:rPr>
          <w:lang w:val="en-GB"/>
        </w:rPr>
        <w:t>connection speeds</w:t>
      </w:r>
      <w:r w:rsidR="00E10F6F" w:rsidRPr="00002C7A">
        <w:rPr>
          <w:lang w:val="en-GB"/>
        </w:rPr>
        <w:t xml:space="preserve"> </w:t>
      </w:r>
      <w:r w:rsidR="00CA3A60" w:rsidRPr="00002C7A">
        <w:rPr>
          <w:lang w:val="en-GB"/>
        </w:rPr>
        <w:t xml:space="preserve">across the country, </w:t>
      </w:r>
      <w:r w:rsidR="001907DC" w:rsidRPr="00002C7A">
        <w:rPr>
          <w:lang w:val="en-GB"/>
        </w:rPr>
        <w:t>in line with Georgia’s national broadband plan</w:t>
      </w:r>
      <w:r w:rsidR="00EC755F" w:rsidRPr="00002C7A">
        <w:rPr>
          <w:lang w:val="en-GB"/>
        </w:rPr>
        <w:t xml:space="preserve">, </w:t>
      </w:r>
      <w:r w:rsidR="0033353F" w:rsidRPr="00002C7A">
        <w:rPr>
          <w:lang w:val="en-GB"/>
        </w:rPr>
        <w:t xml:space="preserve">including </w:t>
      </w:r>
      <w:r w:rsidR="00CA3A60" w:rsidRPr="00002C7A">
        <w:rPr>
          <w:lang w:val="en-GB"/>
        </w:rPr>
        <w:t xml:space="preserve">for upgrading existing FTTB connections to </w:t>
      </w:r>
      <w:r w:rsidR="00CA3A60" w:rsidRPr="00002C7A">
        <w:rPr>
          <w:i/>
          <w:lang w:val="en-GB"/>
        </w:rPr>
        <w:t>fiber-to-the home</w:t>
      </w:r>
      <w:r w:rsidR="00661D7E" w:rsidRPr="00002C7A">
        <w:rPr>
          <w:lang w:val="en-GB"/>
        </w:rPr>
        <w:t xml:space="preserve"> (FTTH) and for deployment </w:t>
      </w:r>
      <w:r w:rsidR="00F637CB" w:rsidRPr="00002C7A">
        <w:rPr>
          <w:lang w:val="en-GB"/>
        </w:rPr>
        <w:t xml:space="preserve">of </w:t>
      </w:r>
      <w:r w:rsidR="00C852B7" w:rsidRPr="00002C7A">
        <w:rPr>
          <w:lang w:val="en-GB"/>
        </w:rPr>
        <w:t>the fiber network</w:t>
      </w:r>
      <w:r w:rsidR="00F637CB" w:rsidRPr="00002C7A">
        <w:rPr>
          <w:lang w:val="en-GB"/>
        </w:rPr>
        <w:t xml:space="preserve"> </w:t>
      </w:r>
      <w:r w:rsidR="00661D7E" w:rsidRPr="00002C7A">
        <w:rPr>
          <w:lang w:val="en-GB"/>
        </w:rPr>
        <w:t>in rural areas.</w:t>
      </w:r>
      <w:r w:rsidR="004C5642" w:rsidRPr="00002C7A">
        <w:rPr>
          <w:lang w:val="en-GB"/>
        </w:rPr>
        <w:t xml:space="preserve"> </w:t>
      </w:r>
      <w:r w:rsidR="003869CA" w:rsidRPr="00002C7A">
        <w:rPr>
          <w:lang w:val="en-GB"/>
        </w:rPr>
        <w:t>Also</w:t>
      </w:r>
      <w:r w:rsidR="00F637CB" w:rsidRPr="00002C7A">
        <w:rPr>
          <w:lang w:val="en-GB"/>
        </w:rPr>
        <w:t xml:space="preserve">, </w:t>
      </w:r>
      <w:r w:rsidR="0033353F" w:rsidRPr="00002C7A">
        <w:rPr>
          <w:lang w:val="en-GB"/>
        </w:rPr>
        <w:t>in the mobile market, all three operators have acquired 5G licenses over the period 2023–2025. However, only one operator has deployed 5G nationwide, while the other two still need to undertake significant investments to expand coverage and improve connectivity.</w:t>
      </w:r>
    </w:p>
    <w:p w14:paraId="754917BB" w14:textId="2145C984" w:rsidR="00511389" w:rsidRPr="00002C7A" w:rsidRDefault="00511389" w:rsidP="00511389">
      <w:pPr>
        <w:pStyle w:val="ParagraphNumbered"/>
        <w:rPr>
          <w:lang w:val="en-GB"/>
        </w:rPr>
      </w:pPr>
      <w:r w:rsidRPr="00002C7A">
        <w:rPr>
          <w:lang w:val="en-GB"/>
        </w:rPr>
        <w:t xml:space="preserve">We note that the above considerations </w:t>
      </w:r>
      <w:r w:rsidR="003A45EC" w:rsidRPr="00002C7A">
        <w:rPr>
          <w:lang w:val="en-GB"/>
        </w:rPr>
        <w:t xml:space="preserve">about the applicability of a fiber premium </w:t>
      </w:r>
      <w:r w:rsidRPr="00002C7A">
        <w:rPr>
          <w:lang w:val="en-GB"/>
        </w:rPr>
        <w:t xml:space="preserve">naturally extend to the deployment of the 5G network and, more broadly, to the undertaking of any significant investment project to upgrade or expand the existing fixed and mobile telecoms </w:t>
      </w:r>
      <w:r w:rsidRPr="00002C7A">
        <w:rPr>
          <w:lang w:val="en-GB"/>
        </w:rPr>
        <w:lastRenderedPageBreak/>
        <w:t xml:space="preserve">networks. This is because the capital leverage argument is generally true of any commitment to make large investments. Similarly, demand uncertainty is typical of any technology upgrade, where there is uncertainty about the </w:t>
      </w:r>
      <w:r w:rsidR="00495C4D" w:rsidRPr="00002C7A">
        <w:rPr>
          <w:lang w:val="en-GB"/>
        </w:rPr>
        <w:t>adoption</w:t>
      </w:r>
      <w:r w:rsidRPr="00002C7A">
        <w:rPr>
          <w:lang w:val="en-GB"/>
        </w:rPr>
        <w:t xml:space="preserve"> of the new technology from end users</w:t>
      </w:r>
      <w:r w:rsidR="00F11D99" w:rsidRPr="00002C7A">
        <w:rPr>
          <w:lang w:val="en-GB"/>
        </w:rPr>
        <w:t xml:space="preserve"> and their willingness to pay for the technology upgrade</w:t>
      </w:r>
      <w:r w:rsidRPr="00002C7A">
        <w:rPr>
          <w:lang w:val="en-GB"/>
        </w:rPr>
        <w:t xml:space="preserve">. </w:t>
      </w:r>
    </w:p>
    <w:p w14:paraId="5B916928" w14:textId="4E8D18F4" w:rsidR="00FC5D40" w:rsidRPr="00002C7A" w:rsidRDefault="00D03E9B" w:rsidP="00F75191">
      <w:pPr>
        <w:pStyle w:val="ParagraphNumbered"/>
        <w:rPr>
          <w:lang w:val="en-GB" w:eastAsia="en-GB"/>
        </w:rPr>
      </w:pPr>
      <w:r w:rsidRPr="00002C7A">
        <w:rPr>
          <w:lang w:val="en-GB"/>
        </w:rPr>
        <w:t xml:space="preserve">Accordingly, and consistent with the recent </w:t>
      </w:r>
      <w:r w:rsidR="00FA69A0" w:rsidRPr="00002C7A">
        <w:rPr>
          <w:lang w:val="en-GB"/>
        </w:rPr>
        <w:t xml:space="preserve">developments </w:t>
      </w:r>
      <w:r w:rsidR="00AC1B9F" w:rsidRPr="00002C7A">
        <w:rPr>
          <w:lang w:val="en-GB"/>
        </w:rPr>
        <w:t xml:space="preserve">of the regulatory framework in Europe, we recommend ComCom </w:t>
      </w:r>
      <w:r w:rsidR="005D34D0" w:rsidRPr="00002C7A">
        <w:rPr>
          <w:lang w:val="en-GB"/>
        </w:rPr>
        <w:t xml:space="preserve">to </w:t>
      </w:r>
      <w:r w:rsidR="009C6D51" w:rsidRPr="00002C7A">
        <w:rPr>
          <w:lang w:val="en-GB"/>
        </w:rPr>
        <w:t xml:space="preserve">apply a fiber premium </w:t>
      </w:r>
      <w:r w:rsidR="00014FE4" w:rsidRPr="00002C7A">
        <w:rPr>
          <w:lang w:val="en-GB"/>
        </w:rPr>
        <w:t>for:</w:t>
      </w:r>
    </w:p>
    <w:p w14:paraId="325E6914" w14:textId="77777777" w:rsidR="003229E0" w:rsidRPr="00002C7A" w:rsidRDefault="003229E0" w:rsidP="003229E0">
      <w:pPr>
        <w:pStyle w:val="ParagraphNumbered2"/>
        <w:rPr>
          <w:lang w:val="en-GB" w:eastAsia="en-GB"/>
        </w:rPr>
      </w:pPr>
      <w:r w:rsidRPr="00002C7A">
        <w:rPr>
          <w:b/>
          <w:lang w:val="en-GB" w:eastAsia="en-GB"/>
        </w:rPr>
        <w:t>Investments in network upgrades</w:t>
      </w:r>
      <w:r w:rsidRPr="00002C7A">
        <w:rPr>
          <w:lang w:val="en-GB" w:eastAsia="en-GB"/>
        </w:rPr>
        <w:t xml:space="preserve">. This shall include investments for upgrading of FTTB connections to FTTH and any related upgrade of the primary network and equipment. This may also include large network upgrades aimed at increasing the overall throughput capacity of the network and/or reduce the number of users per shared network element, ultimately resulting in the possibility to provide higher connection speeds for the end users. </w:t>
      </w:r>
    </w:p>
    <w:p w14:paraId="57688C81" w14:textId="188785A5" w:rsidR="00FC5D40" w:rsidRPr="00002C7A" w:rsidRDefault="00E11FF4" w:rsidP="0007466B">
      <w:pPr>
        <w:pStyle w:val="ParagraphNumbered2"/>
        <w:rPr>
          <w:lang w:val="en-GB" w:eastAsia="en-GB"/>
        </w:rPr>
      </w:pPr>
      <w:r w:rsidRPr="00002C7A">
        <w:rPr>
          <w:b/>
          <w:lang w:val="en-GB" w:eastAsia="en-GB"/>
        </w:rPr>
        <w:t xml:space="preserve">Investment </w:t>
      </w:r>
      <w:r w:rsidR="003E37A9" w:rsidRPr="00002C7A">
        <w:rPr>
          <w:b/>
          <w:lang w:val="en-GB" w:eastAsia="en-GB"/>
        </w:rPr>
        <w:t>in n</w:t>
      </w:r>
      <w:r w:rsidR="0007466B" w:rsidRPr="00002C7A">
        <w:rPr>
          <w:b/>
          <w:lang w:val="en-GB" w:eastAsia="en-GB"/>
        </w:rPr>
        <w:t>ew infrastructure development</w:t>
      </w:r>
      <w:r w:rsidR="008A3091" w:rsidRPr="00002C7A">
        <w:rPr>
          <w:lang w:val="en-GB" w:eastAsia="en-GB"/>
        </w:rPr>
        <w:t xml:space="preserve">, </w:t>
      </w:r>
      <w:r w:rsidR="0007466B" w:rsidRPr="00002C7A">
        <w:rPr>
          <w:lang w:val="en-GB" w:eastAsia="en-GB"/>
        </w:rPr>
        <w:t xml:space="preserve">such as </w:t>
      </w:r>
      <w:r w:rsidR="008A3091" w:rsidRPr="00002C7A">
        <w:rPr>
          <w:lang w:val="en-GB" w:eastAsia="en-GB"/>
        </w:rPr>
        <w:t xml:space="preserve">deployment in </w:t>
      </w:r>
      <w:r w:rsidR="0007466B" w:rsidRPr="00002C7A">
        <w:rPr>
          <w:lang w:val="en-GB" w:eastAsia="en-GB"/>
        </w:rPr>
        <w:t xml:space="preserve">rural </w:t>
      </w:r>
      <w:r w:rsidR="00D974CA" w:rsidRPr="00002C7A">
        <w:rPr>
          <w:lang w:val="en-GB" w:eastAsia="en-GB"/>
        </w:rPr>
        <w:t>areas</w:t>
      </w:r>
      <w:r w:rsidR="0007466B" w:rsidRPr="00002C7A">
        <w:rPr>
          <w:lang w:val="en-GB" w:eastAsia="en-GB"/>
        </w:rPr>
        <w:t xml:space="preserve">, where </w:t>
      </w:r>
      <w:r w:rsidR="00D974CA" w:rsidRPr="00002C7A">
        <w:rPr>
          <w:lang w:val="en-GB" w:eastAsia="en-GB"/>
        </w:rPr>
        <w:t xml:space="preserve">a </w:t>
      </w:r>
      <w:r w:rsidR="0007466B" w:rsidRPr="00002C7A">
        <w:rPr>
          <w:lang w:val="en-GB" w:eastAsia="en-GB"/>
        </w:rPr>
        <w:t xml:space="preserve">fiber </w:t>
      </w:r>
      <w:r w:rsidR="00D974CA" w:rsidRPr="00002C7A">
        <w:rPr>
          <w:lang w:val="en-GB" w:eastAsia="en-GB"/>
        </w:rPr>
        <w:t xml:space="preserve">network </w:t>
      </w:r>
      <w:r w:rsidR="0007466B" w:rsidRPr="00002C7A">
        <w:rPr>
          <w:lang w:val="en-GB" w:eastAsia="en-GB"/>
        </w:rPr>
        <w:t xml:space="preserve">does not yet exist </w:t>
      </w:r>
      <w:r w:rsidR="007B77F0" w:rsidRPr="00002C7A">
        <w:rPr>
          <w:lang w:val="en-GB" w:eastAsia="en-GB"/>
        </w:rPr>
        <w:t>and/</w:t>
      </w:r>
      <w:r w:rsidR="0007466B" w:rsidRPr="00002C7A">
        <w:rPr>
          <w:lang w:val="en-GB" w:eastAsia="en-GB"/>
        </w:rPr>
        <w:t>or where other technologies are currently in use.</w:t>
      </w:r>
    </w:p>
    <w:p w14:paraId="0437C95F" w14:textId="0BD3BD60" w:rsidR="00FC5D40" w:rsidRPr="00486534" w:rsidRDefault="003E37A9" w:rsidP="00D970A6">
      <w:pPr>
        <w:pStyle w:val="ParagraphNumbered2"/>
        <w:rPr>
          <w:lang w:val="en-GB" w:eastAsia="en-GB"/>
        </w:rPr>
      </w:pPr>
      <w:r w:rsidRPr="00002C7A">
        <w:rPr>
          <w:b/>
          <w:lang w:val="en-GB" w:eastAsia="en-GB"/>
        </w:rPr>
        <w:t xml:space="preserve">Investment in </w:t>
      </w:r>
      <w:r w:rsidR="00F269F6" w:rsidRPr="00002C7A">
        <w:rPr>
          <w:b/>
          <w:lang w:val="en-GB" w:eastAsia="en-GB"/>
        </w:rPr>
        <w:t>5G and future generation mobile</w:t>
      </w:r>
      <w:r w:rsidR="00CB0CB2" w:rsidRPr="00002C7A">
        <w:rPr>
          <w:b/>
          <w:lang w:val="en-GB" w:eastAsia="en-GB"/>
        </w:rPr>
        <w:t>.</w:t>
      </w:r>
    </w:p>
    <w:p w14:paraId="028F35FD" w14:textId="332C80FC" w:rsidR="006C166D" w:rsidRPr="00002C7A" w:rsidRDefault="006C166D">
      <w:pPr>
        <w:pStyle w:val="ParagraphNumbered"/>
        <w:rPr>
          <w:lang w:val="en-GB" w:eastAsia="en-GB"/>
        </w:rPr>
      </w:pPr>
      <w:r w:rsidRPr="00002C7A">
        <w:rPr>
          <w:lang w:val="en-GB" w:eastAsia="en-GB"/>
        </w:rPr>
        <w:t xml:space="preserve">For the investments falling under items a.-c. above, ComCom should apply the NGA premium in calculating tariffs in any relevant wholesale market which may be defined, analysed and regulated by the ComCom during the </w:t>
      </w:r>
      <w:r w:rsidR="0077055C">
        <w:rPr>
          <w:lang w:val="en-GB" w:eastAsia="en-GB"/>
        </w:rPr>
        <w:t xml:space="preserve">regulatory </w:t>
      </w:r>
      <w:r w:rsidRPr="00002C7A">
        <w:rPr>
          <w:lang w:val="en-GB" w:eastAsia="en-GB"/>
        </w:rPr>
        <w:t>period.</w:t>
      </w:r>
      <w:r w:rsidRPr="00002C7A">
        <w:rPr>
          <w:rStyle w:val="FootnoteReference"/>
          <w:lang w:val="en-GB" w:eastAsia="en-GB"/>
        </w:rPr>
        <w:footnoteReference w:id="78"/>
      </w:r>
      <w:r w:rsidRPr="00002C7A">
        <w:rPr>
          <w:lang w:val="en-GB" w:eastAsia="en-GB"/>
        </w:rPr>
        <w:t xml:space="preserve"> </w:t>
      </w:r>
    </w:p>
    <w:p w14:paraId="65154D62" w14:textId="77777777" w:rsidR="00FA2761" w:rsidRPr="00002C7A" w:rsidRDefault="00741DE0" w:rsidP="00FA2761">
      <w:pPr>
        <w:pStyle w:val="ParagraphNumbered"/>
        <w:rPr>
          <w:lang w:val="en-GB" w:eastAsia="en-GB"/>
        </w:rPr>
      </w:pPr>
      <w:r w:rsidRPr="00002C7A">
        <w:rPr>
          <w:lang w:val="en-GB"/>
        </w:rPr>
        <w:t xml:space="preserve">As regards the size of the applicable premium, </w:t>
      </w:r>
      <w:r w:rsidR="00C106CC" w:rsidRPr="00002C7A">
        <w:rPr>
          <w:lang w:val="en-GB"/>
        </w:rPr>
        <w:t xml:space="preserve">we recommend </w:t>
      </w:r>
      <w:r w:rsidR="002549E1" w:rsidRPr="00002C7A">
        <w:rPr>
          <w:lang w:val="en-GB"/>
        </w:rPr>
        <w:t xml:space="preserve">ComCom </w:t>
      </w:r>
      <w:r w:rsidR="00DF1C3A" w:rsidRPr="00002C7A">
        <w:rPr>
          <w:lang w:val="en-GB"/>
        </w:rPr>
        <w:t>to consider the range of values of the fiber premiums selected by European regulators</w:t>
      </w:r>
      <w:r w:rsidR="00FA2761" w:rsidRPr="00002C7A">
        <w:rPr>
          <w:lang w:val="en-GB"/>
        </w:rPr>
        <w:t xml:space="preserve">. </w:t>
      </w:r>
    </w:p>
    <w:p w14:paraId="744E061C" w14:textId="4D5D1033" w:rsidR="006C166D" w:rsidRPr="00002C7A" w:rsidRDefault="00FA2761" w:rsidP="00FA2761">
      <w:pPr>
        <w:pStyle w:val="ParagraphNumbered2"/>
        <w:rPr>
          <w:lang w:val="en-GB" w:eastAsia="en-GB"/>
        </w:rPr>
      </w:pPr>
      <w:r w:rsidRPr="00002C7A">
        <w:rPr>
          <w:lang w:val="en-GB"/>
        </w:rPr>
        <w:t>If we consider the values which were initially selected a</w:t>
      </w:r>
      <w:r w:rsidR="004B5086">
        <w:rPr>
          <w:lang w:val="en-GB"/>
        </w:rPr>
        <w:t>s</w:t>
      </w:r>
      <w:r w:rsidRPr="00002C7A">
        <w:rPr>
          <w:lang w:val="en-GB"/>
        </w:rPr>
        <w:t xml:space="preserve"> the fiber premia were introduced, we observe </w:t>
      </w:r>
      <w:r w:rsidR="00DF1C3A" w:rsidRPr="00002C7A">
        <w:rPr>
          <w:lang w:val="en-GB" w:eastAsia="en-GB"/>
        </w:rPr>
        <w:t xml:space="preserve">premiums </w:t>
      </w:r>
      <w:r w:rsidRPr="00002C7A">
        <w:rPr>
          <w:lang w:val="en-GB" w:eastAsia="en-GB"/>
        </w:rPr>
        <w:t xml:space="preserve">in the </w:t>
      </w:r>
      <w:r w:rsidR="00DF1C3A" w:rsidRPr="00002C7A">
        <w:rPr>
          <w:lang w:val="en-GB" w:eastAsia="en-GB"/>
        </w:rPr>
        <w:t>range 0.61%</w:t>
      </w:r>
      <w:r w:rsidRPr="00002C7A">
        <w:rPr>
          <w:lang w:val="en-GB" w:eastAsia="en-GB"/>
        </w:rPr>
        <w:t>-</w:t>
      </w:r>
      <w:r w:rsidR="00DF1C3A" w:rsidRPr="00002C7A">
        <w:rPr>
          <w:lang w:val="en-GB" w:eastAsia="en-GB"/>
        </w:rPr>
        <w:t>4.81%, with an average of 2.39%.</w:t>
      </w:r>
      <w:r w:rsidR="006C166D" w:rsidRPr="00002C7A">
        <w:rPr>
          <w:lang w:val="en-GB" w:eastAsia="en-GB"/>
        </w:rPr>
        <w:t xml:space="preserve"> We note, however, that relative to the period in which these premia were selected, fiber technology has matured and consumer demand for high</w:t>
      </w:r>
      <w:r w:rsidRPr="00002C7A">
        <w:rPr>
          <w:lang w:val="en-GB" w:eastAsia="en-GB"/>
        </w:rPr>
        <w:t>-</w:t>
      </w:r>
      <w:r w:rsidR="006C166D" w:rsidRPr="00002C7A">
        <w:rPr>
          <w:lang w:val="en-GB" w:eastAsia="en-GB"/>
        </w:rPr>
        <w:t xml:space="preserve">speed connectivity has increased substantially. </w:t>
      </w:r>
      <w:r w:rsidRPr="00002C7A">
        <w:rPr>
          <w:lang w:val="en-GB" w:eastAsia="en-GB"/>
        </w:rPr>
        <w:t xml:space="preserve">Therefore, the risk of investments in fiber has likely reduced. </w:t>
      </w:r>
    </w:p>
    <w:p w14:paraId="6229A39F" w14:textId="0C5D742F" w:rsidR="006C166D" w:rsidRPr="00002C7A" w:rsidRDefault="007326C0">
      <w:pPr>
        <w:pStyle w:val="ParagraphNumbered2"/>
        <w:rPr>
          <w:lang w:val="en-GB" w:eastAsia="en-GB"/>
        </w:rPr>
      </w:pPr>
      <w:r w:rsidRPr="00002C7A">
        <w:rPr>
          <w:lang w:val="en-GB" w:eastAsia="en-GB"/>
        </w:rPr>
        <w:t>I</w:t>
      </w:r>
      <w:r w:rsidR="00FA2761" w:rsidRPr="00002C7A">
        <w:rPr>
          <w:lang w:val="en-GB" w:eastAsia="en-GB"/>
        </w:rPr>
        <w:t xml:space="preserve">f we consider the values of the fiber premiums currently applied, </w:t>
      </w:r>
      <w:r w:rsidR="00FA2761" w:rsidRPr="00002C7A">
        <w:rPr>
          <w:lang w:val="en-GB"/>
        </w:rPr>
        <w:t xml:space="preserve">we observe values </w:t>
      </w:r>
      <w:r w:rsidR="00FA2761" w:rsidRPr="00002C7A">
        <w:rPr>
          <w:lang w:val="en-GB" w:eastAsia="en-GB"/>
        </w:rPr>
        <w:t>in the range 0.</w:t>
      </w:r>
      <w:r w:rsidRPr="00002C7A">
        <w:rPr>
          <w:lang w:val="en-GB" w:eastAsia="en-GB"/>
        </w:rPr>
        <w:t>80</w:t>
      </w:r>
      <w:r w:rsidR="00FA2761" w:rsidRPr="00002C7A">
        <w:rPr>
          <w:lang w:val="en-GB" w:eastAsia="en-GB"/>
        </w:rPr>
        <w:t>%-</w:t>
      </w:r>
      <w:r w:rsidRPr="00002C7A">
        <w:rPr>
          <w:lang w:val="en-GB" w:eastAsia="en-GB"/>
        </w:rPr>
        <w:t>1</w:t>
      </w:r>
      <w:r w:rsidR="00FA2761" w:rsidRPr="00002C7A">
        <w:rPr>
          <w:lang w:val="en-GB" w:eastAsia="en-GB"/>
        </w:rPr>
        <w:t>.</w:t>
      </w:r>
      <w:r w:rsidRPr="00002C7A">
        <w:rPr>
          <w:lang w:val="en-GB" w:eastAsia="en-GB"/>
        </w:rPr>
        <w:t>59</w:t>
      </w:r>
      <w:r w:rsidR="00FA2761" w:rsidRPr="00002C7A">
        <w:rPr>
          <w:lang w:val="en-GB" w:eastAsia="en-GB"/>
        </w:rPr>
        <w:t>%, with an average of 1.45%</w:t>
      </w:r>
      <w:r w:rsidRPr="00002C7A">
        <w:rPr>
          <w:lang w:val="en-GB" w:eastAsia="en-GB"/>
        </w:rPr>
        <w:t xml:space="preserve">. These premiums, however, are applied to all investments in fiber, including existing assets and new investments. </w:t>
      </w:r>
      <w:r w:rsidRPr="00002C7A">
        <w:rPr>
          <w:lang w:val="en-GB" w:eastAsia="en-GB"/>
        </w:rPr>
        <w:lastRenderedPageBreak/>
        <w:t xml:space="preserve">Therefore, these premiums may not adequately remunerate the additional risk of </w:t>
      </w:r>
      <w:r w:rsidRPr="00002C7A">
        <w:rPr>
          <w:i/>
          <w:lang w:val="en-GB" w:eastAsia="en-GB"/>
        </w:rPr>
        <w:t>new</w:t>
      </w:r>
      <w:r w:rsidRPr="00002C7A">
        <w:rPr>
          <w:lang w:val="en-GB" w:eastAsia="en-GB"/>
        </w:rPr>
        <w:t xml:space="preserve"> investments in fiber.</w:t>
      </w:r>
    </w:p>
    <w:p w14:paraId="44E3ADA5" w14:textId="21300A03" w:rsidR="003A17FA" w:rsidRPr="00002C7A" w:rsidRDefault="007326C0" w:rsidP="007326C0">
      <w:pPr>
        <w:pStyle w:val="ParagraphNumbered"/>
        <w:rPr>
          <w:lang w:val="en-GB" w:eastAsia="en-GB"/>
        </w:rPr>
      </w:pPr>
      <w:r w:rsidRPr="00002C7A">
        <w:rPr>
          <w:lang w:val="en-GB" w:eastAsia="en-GB"/>
        </w:rPr>
        <w:t xml:space="preserve">Based on the above considerations we would recommend ComCom to select a value of the fiber premium of 2%. This value is lower than the 2.39% average of the premiums initially selected by European regulators, reflecting the lower risk of investing in fiber today as the technology has matured and demand has increased. At the same time, this value is higher than the average premium of 1.45% currently applied in Europe to remunerate </w:t>
      </w:r>
      <w:r w:rsidRPr="00002C7A">
        <w:rPr>
          <w:i/>
          <w:lang w:val="en-GB" w:eastAsia="en-GB"/>
        </w:rPr>
        <w:t>new</w:t>
      </w:r>
      <w:r w:rsidRPr="00002C7A">
        <w:rPr>
          <w:lang w:val="en-GB" w:eastAsia="en-GB"/>
        </w:rPr>
        <w:t xml:space="preserve"> investments in fiber</w:t>
      </w:r>
      <w:r w:rsidR="00A61D8C">
        <w:rPr>
          <w:lang w:val="en-GB" w:eastAsia="en-GB"/>
        </w:rPr>
        <w:t xml:space="preserve"> and existing fiber assets</w:t>
      </w:r>
      <w:r w:rsidR="00B47696">
        <w:rPr>
          <w:lang w:val="en-GB" w:eastAsia="en-GB"/>
        </w:rPr>
        <w:t xml:space="preserve">, reflecting the need to provide a higher premium </w:t>
      </w:r>
      <w:r w:rsidR="00816508">
        <w:rPr>
          <w:lang w:val="en-GB" w:eastAsia="en-GB"/>
        </w:rPr>
        <w:t xml:space="preserve">in the remuneration of </w:t>
      </w:r>
      <w:r w:rsidR="009229FC">
        <w:rPr>
          <w:lang w:val="en-GB" w:eastAsia="en-GB"/>
        </w:rPr>
        <w:t>new investments</w:t>
      </w:r>
      <w:r w:rsidR="00374A79" w:rsidRPr="00002C7A">
        <w:rPr>
          <w:lang w:val="en-GB" w:eastAsia="en-GB"/>
        </w:rPr>
        <w:t>.</w:t>
      </w:r>
    </w:p>
    <w:p w14:paraId="06FD1858" w14:textId="5BB31A21" w:rsidR="00844CA8" w:rsidRPr="00002C7A" w:rsidRDefault="003451B9">
      <w:pPr>
        <w:pStyle w:val="ParagraphNumbered"/>
        <w:rPr>
          <w:lang w:val="en-GB" w:eastAsia="en-GB"/>
        </w:rPr>
      </w:pPr>
      <w:r w:rsidRPr="00002C7A">
        <w:rPr>
          <w:lang w:val="en-GB"/>
        </w:rPr>
        <w:t xml:space="preserve">We note that, as an alternative, ComCom could rely </w:t>
      </w:r>
      <w:r w:rsidR="002549E1" w:rsidRPr="00002C7A">
        <w:rPr>
          <w:lang w:val="en-GB"/>
        </w:rPr>
        <w:t>on a detailed financial model</w:t>
      </w:r>
      <w:r w:rsidR="007C73EF" w:rsidRPr="00002C7A">
        <w:rPr>
          <w:lang w:val="en-GB"/>
        </w:rPr>
        <w:t xml:space="preserve"> – as was done by the NRAs in France, Italy and Spain – </w:t>
      </w:r>
      <w:r w:rsidR="00AF76F5" w:rsidRPr="00002C7A">
        <w:rPr>
          <w:lang w:val="en-GB"/>
        </w:rPr>
        <w:t xml:space="preserve">to calculate the premium as the required premium that </w:t>
      </w:r>
      <w:r w:rsidR="000B5053" w:rsidRPr="00002C7A">
        <w:rPr>
          <w:lang w:val="en-GB"/>
        </w:rPr>
        <w:t xml:space="preserve">would compensate the operator </w:t>
      </w:r>
      <w:r w:rsidR="00AA360A" w:rsidRPr="00002C7A">
        <w:rPr>
          <w:lang w:val="en-GB"/>
        </w:rPr>
        <w:t>for the higher risk of investing in fiber</w:t>
      </w:r>
      <w:r w:rsidR="004053C8" w:rsidRPr="00002C7A">
        <w:rPr>
          <w:lang w:val="en-GB"/>
        </w:rPr>
        <w:t xml:space="preserve"> </w:t>
      </w:r>
      <w:r w:rsidR="00384FD9" w:rsidRPr="00002C7A">
        <w:rPr>
          <w:lang w:val="en-GB"/>
        </w:rPr>
        <w:t>now</w:t>
      </w:r>
      <w:r w:rsidR="00AA360A" w:rsidRPr="00002C7A">
        <w:rPr>
          <w:lang w:val="en-GB"/>
        </w:rPr>
        <w:t xml:space="preserve">. </w:t>
      </w:r>
      <w:r w:rsidR="00680922" w:rsidRPr="00002C7A">
        <w:rPr>
          <w:lang w:val="en-GB"/>
        </w:rPr>
        <w:t xml:space="preserve">However, developing </w:t>
      </w:r>
      <w:r w:rsidR="00150D98" w:rsidRPr="00002C7A">
        <w:rPr>
          <w:lang w:val="en-GB"/>
        </w:rPr>
        <w:t xml:space="preserve">such type of model can be complex, and the results would ultimately </w:t>
      </w:r>
      <w:r w:rsidR="00C52DF7" w:rsidRPr="00002C7A">
        <w:rPr>
          <w:lang w:val="en-GB"/>
        </w:rPr>
        <w:t xml:space="preserve">be driven by </w:t>
      </w:r>
      <w:r w:rsidR="00150D98" w:rsidRPr="00002C7A">
        <w:rPr>
          <w:lang w:val="en-GB"/>
        </w:rPr>
        <w:t xml:space="preserve">the underlying assumptions about </w:t>
      </w:r>
      <w:r w:rsidR="00630617" w:rsidRPr="00002C7A">
        <w:rPr>
          <w:lang w:val="en-GB"/>
        </w:rPr>
        <w:t xml:space="preserve">different take up scenarios and </w:t>
      </w:r>
      <w:r w:rsidR="00150D98" w:rsidRPr="00002C7A">
        <w:rPr>
          <w:lang w:val="en-GB"/>
        </w:rPr>
        <w:t>prices</w:t>
      </w:r>
      <w:r w:rsidR="00AF6A88" w:rsidRPr="00002C7A">
        <w:rPr>
          <w:lang w:val="en-GB"/>
        </w:rPr>
        <w:t>.</w:t>
      </w:r>
      <w:r w:rsidR="00074CBE" w:rsidRPr="00002C7A">
        <w:rPr>
          <w:lang w:val="en-GB"/>
        </w:rPr>
        <w:t xml:space="preserve"> Given the complexity and the </w:t>
      </w:r>
      <w:r w:rsidR="00CB325B" w:rsidRPr="00002C7A">
        <w:rPr>
          <w:lang w:val="en-GB"/>
        </w:rPr>
        <w:t xml:space="preserve">dependence </w:t>
      </w:r>
      <w:r w:rsidR="00572702" w:rsidRPr="00002C7A">
        <w:rPr>
          <w:lang w:val="en-GB"/>
        </w:rPr>
        <w:t xml:space="preserve">on assumptions, </w:t>
      </w:r>
      <w:r w:rsidR="00943734" w:rsidRPr="00002C7A">
        <w:rPr>
          <w:lang w:val="en-GB"/>
        </w:rPr>
        <w:t>we do not see any real advantage of</w:t>
      </w:r>
      <w:r w:rsidR="00C22E78" w:rsidRPr="00002C7A">
        <w:rPr>
          <w:lang w:val="en-GB"/>
        </w:rPr>
        <w:t xml:space="preserve"> ComCom</w:t>
      </w:r>
      <w:r w:rsidR="00943734" w:rsidRPr="00002C7A">
        <w:rPr>
          <w:lang w:val="en-GB"/>
        </w:rPr>
        <w:t xml:space="preserve"> developing a financial model relative to </w:t>
      </w:r>
      <w:r w:rsidR="00926E0A" w:rsidRPr="00002C7A">
        <w:rPr>
          <w:lang w:val="en-GB"/>
        </w:rPr>
        <w:t>selecting a value of the premium based on the benchmark</w:t>
      </w:r>
      <w:r w:rsidR="000A7F61" w:rsidRPr="00002C7A">
        <w:rPr>
          <w:lang w:val="en-GB"/>
        </w:rPr>
        <w:t xml:space="preserve"> at this time</w:t>
      </w:r>
      <w:r w:rsidR="00926E0A" w:rsidRPr="00002C7A">
        <w:rPr>
          <w:lang w:val="en-GB"/>
        </w:rPr>
        <w:t>.</w:t>
      </w:r>
      <w:r w:rsidR="00AD1168" w:rsidRPr="00002C7A">
        <w:rPr>
          <w:lang w:val="en-GB"/>
        </w:rPr>
        <w:t xml:space="preserve"> </w:t>
      </w:r>
      <w:r w:rsidR="00AF6A88" w:rsidRPr="00002C7A">
        <w:rPr>
          <w:lang w:val="en-GB"/>
        </w:rPr>
        <w:t xml:space="preserve"> </w:t>
      </w:r>
      <w:r w:rsidR="00F75191" w:rsidRPr="00002C7A">
        <w:rPr>
          <w:lang w:val="en-GB" w:eastAsia="en-GB"/>
        </w:rPr>
        <w:t xml:space="preserve"> </w:t>
      </w:r>
    </w:p>
    <w:p w14:paraId="523CC00B" w14:textId="77777777" w:rsidR="0087636E" w:rsidRDefault="0087636E" w:rsidP="00150F84">
      <w:pPr>
        <w:pStyle w:val="Heading1"/>
      </w:pPr>
      <w:bookmarkStart w:id="330" w:name="_Ref216379088"/>
      <w:bookmarkStart w:id="331" w:name="_Toc219739791"/>
      <w:bookmarkStart w:id="332" w:name="_Toc217060075"/>
      <w:r>
        <w:lastRenderedPageBreak/>
        <w:t>Application of a different WACC for mobile and fixed Telecommunications operators</w:t>
      </w:r>
      <w:bookmarkEnd w:id="330"/>
      <w:bookmarkEnd w:id="331"/>
      <w:bookmarkEnd w:id="332"/>
    </w:p>
    <w:p w14:paraId="7FA04155" w14:textId="77777777" w:rsidR="0087636E" w:rsidRPr="00002C7A" w:rsidRDefault="0087636E" w:rsidP="0087636E">
      <w:pPr>
        <w:pStyle w:val="ParagraphNumbered"/>
        <w:jc w:val="both"/>
        <w:rPr>
          <w:lang w:val="en-GB" w:eastAsia="en-US"/>
        </w:rPr>
      </w:pPr>
      <w:r w:rsidRPr="00002C7A">
        <w:rPr>
          <w:lang w:val="en-GB" w:eastAsia="en-US"/>
        </w:rPr>
        <w:t xml:space="preserve">ComCom has further asked us to assess whether </w:t>
      </w:r>
      <w:r w:rsidRPr="00002C7A">
        <w:rPr>
          <w:lang w:val="en-GB"/>
        </w:rPr>
        <w:t>the WACC should be differentiated or not for mobile and fixed telecoms services.</w:t>
      </w:r>
    </w:p>
    <w:p w14:paraId="41F743D4" w14:textId="77777777" w:rsidR="0087636E" w:rsidRPr="00002C7A" w:rsidRDefault="0087636E" w:rsidP="0087636E">
      <w:pPr>
        <w:pStyle w:val="ParagraphNumbered"/>
        <w:jc w:val="both"/>
        <w:rPr>
          <w:lang w:val="en-GB" w:eastAsia="en-US"/>
        </w:rPr>
      </w:pPr>
      <w:r w:rsidRPr="00002C7A">
        <w:rPr>
          <w:lang w:val="en-GB"/>
        </w:rPr>
        <w:t>Although the systematic risk of operating a fixed network may potentially differ from the systematic risks of operating a mobile network, there are three main reasons why a differentiation of the WACC may not be advisable nor feasible in practice.</w:t>
      </w:r>
    </w:p>
    <w:p w14:paraId="45F1EFDC" w14:textId="77777777" w:rsidR="0087636E" w:rsidRPr="00002C7A" w:rsidRDefault="0087636E" w:rsidP="0087636E">
      <w:pPr>
        <w:pStyle w:val="ParagraphNumbered"/>
        <w:jc w:val="both"/>
        <w:rPr>
          <w:lang w:val="en-GB" w:eastAsia="en-US"/>
        </w:rPr>
      </w:pPr>
      <w:r w:rsidRPr="00002C7A">
        <w:rPr>
          <w:i/>
          <w:lang w:val="en-GB" w:eastAsia="en-US"/>
        </w:rPr>
        <w:t>First</w:t>
      </w:r>
      <w:r w:rsidRPr="00002C7A">
        <w:rPr>
          <w:lang w:val="en-GB" w:eastAsia="en-US"/>
        </w:rPr>
        <w:t xml:space="preserve">, there is technological convergence. Fixed and mobile networks are increasingly substitutable from a demand side perspective and increasingly used for data traffic purposes. Also, on the supply side, mobile networks have become more similar to fixed networks in that they are now use higher frequency bands which require a significantly higher number of cells. Technological convergence is also expected to increase with the deployment of 5G, which supports unified fixed and mobile core networks. This implies that the potential difference in systematic risk, if any, is likely shrinking. </w:t>
      </w:r>
    </w:p>
    <w:p w14:paraId="6D8BAE93" w14:textId="06E6E733" w:rsidR="0087636E" w:rsidRPr="00002C7A" w:rsidRDefault="0087636E" w:rsidP="0087636E">
      <w:pPr>
        <w:pStyle w:val="ParagraphNumbered"/>
        <w:jc w:val="both"/>
        <w:rPr>
          <w:lang w:val="en-GB" w:eastAsia="en-US"/>
        </w:rPr>
      </w:pPr>
      <w:r w:rsidRPr="00002C7A">
        <w:rPr>
          <w:i/>
          <w:lang w:val="en-GB" w:eastAsia="en-US"/>
        </w:rPr>
        <w:t>Second</w:t>
      </w:r>
      <w:r w:rsidRPr="00002C7A">
        <w:rPr>
          <w:lang w:val="en-GB" w:eastAsia="en-US"/>
        </w:rPr>
        <w:t>, all telecoms firms in the sample of peers are integrated fixed and mobile operators, so that a separate beta for fixed and mobile cannot be estimated. In other words, the</w:t>
      </w:r>
      <w:r w:rsidR="00EA4F41">
        <w:rPr>
          <w:lang w:val="en-GB" w:eastAsia="en-US"/>
        </w:rPr>
        <w:t>re</w:t>
      </w:r>
      <w:r w:rsidRPr="00002C7A">
        <w:rPr>
          <w:lang w:val="en-GB" w:eastAsia="en-US"/>
        </w:rPr>
        <w:t xml:space="preserve"> are no “pure player” fixed and mobile operators based on which we could estimate the beta for fixed and mobile services.</w:t>
      </w:r>
    </w:p>
    <w:p w14:paraId="22B52D92" w14:textId="77777777" w:rsidR="0087636E" w:rsidRPr="00002C7A" w:rsidRDefault="0087636E" w:rsidP="0087636E">
      <w:pPr>
        <w:pStyle w:val="ParagraphNumbered"/>
        <w:jc w:val="both"/>
        <w:rPr>
          <w:lang w:val="en-GB" w:eastAsia="en-US"/>
        </w:rPr>
      </w:pPr>
      <w:r w:rsidRPr="00002C7A">
        <w:rPr>
          <w:i/>
          <w:lang w:val="en-GB" w:eastAsia="en-US"/>
        </w:rPr>
        <w:t>Third</w:t>
      </w:r>
      <w:r w:rsidRPr="00002C7A">
        <w:rPr>
          <w:lang w:val="en-GB" w:eastAsia="en-US"/>
        </w:rPr>
        <w:t>, we are not aware of any regulator applying a different WACC for mobile services. Effectively, regulators either apply a common WACC for fixed and mobile services or do not apply any WACC for mobile services because there is no price control for these services.</w:t>
      </w:r>
    </w:p>
    <w:p w14:paraId="1BA210BC" w14:textId="77777777" w:rsidR="0087636E" w:rsidRPr="00002C7A" w:rsidRDefault="0087636E" w:rsidP="0087636E">
      <w:pPr>
        <w:pStyle w:val="ParagraphNumbered"/>
        <w:jc w:val="both"/>
        <w:rPr>
          <w:lang w:val="en-GB" w:eastAsia="en-US"/>
        </w:rPr>
      </w:pPr>
      <w:r w:rsidRPr="00002C7A">
        <w:rPr>
          <w:lang w:val="en-GB" w:eastAsia="en-US"/>
        </w:rPr>
        <w:t>Based on the considerations above, we recommend ComCom to apply a common WACC to regulated fixed and mobile services.</w:t>
      </w:r>
    </w:p>
    <w:p w14:paraId="01387FD3" w14:textId="01AA067D" w:rsidR="00E17D1C" w:rsidRDefault="00E17D1C" w:rsidP="00500B2F">
      <w:pPr>
        <w:pStyle w:val="Heading1"/>
        <w:jc w:val="both"/>
      </w:pPr>
      <w:bookmarkStart w:id="333" w:name="_Toc219739792"/>
      <w:bookmarkStart w:id="334" w:name="_Toc217060076"/>
      <w:r w:rsidRPr="004D3571">
        <w:lastRenderedPageBreak/>
        <w:t>WACC</w:t>
      </w:r>
      <w:bookmarkEnd w:id="303"/>
      <w:bookmarkEnd w:id="304"/>
      <w:bookmarkEnd w:id="305"/>
      <w:bookmarkEnd w:id="306"/>
      <w:bookmarkEnd w:id="307"/>
      <w:bookmarkEnd w:id="308"/>
      <w:bookmarkEnd w:id="309"/>
      <w:bookmarkEnd w:id="310"/>
      <w:bookmarkEnd w:id="333"/>
      <w:bookmarkEnd w:id="334"/>
    </w:p>
    <w:p w14:paraId="6CEDBD44" w14:textId="7782D39C" w:rsidR="004D3571" w:rsidRPr="00002C7A" w:rsidRDefault="004D3571" w:rsidP="00500B2F">
      <w:pPr>
        <w:pStyle w:val="Heading1Separator"/>
        <w:jc w:val="both"/>
        <w:rPr>
          <w:lang w:val="en-GB" w:eastAsia="en-US"/>
        </w:rPr>
      </w:pPr>
      <w:r w:rsidRPr="00002C7A">
        <w:rPr>
          <w:lang w:val="en-GB" w:eastAsia="en-US"/>
        </w:rPr>
        <w:tab/>
      </w:r>
    </w:p>
    <w:p w14:paraId="201091EC" w14:textId="4D683921" w:rsidR="00461836" w:rsidRPr="00002C7A" w:rsidRDefault="00E17D1C" w:rsidP="00500B2F">
      <w:pPr>
        <w:pStyle w:val="ParagraphNumbered"/>
        <w:jc w:val="both"/>
        <w:rPr>
          <w:lang w:val="en-GB"/>
        </w:rPr>
      </w:pPr>
      <w:r w:rsidRPr="00002C7A">
        <w:rPr>
          <w:lang w:val="en-GB"/>
        </w:rPr>
        <w:t xml:space="preserve">Based on the preceding calculations and discussions, </w:t>
      </w:r>
      <w:r w:rsidR="00EC5918" w:rsidRPr="00002C7A">
        <w:rPr>
          <w:lang w:val="en-GB"/>
        </w:rPr>
        <w:fldChar w:fldCharType="begin"/>
      </w:r>
      <w:r w:rsidR="00EC5918" w:rsidRPr="00002C7A">
        <w:rPr>
          <w:lang w:val="en-GB"/>
        </w:rPr>
        <w:instrText xml:space="preserve"> REF _Ref217036106 \h </w:instrText>
      </w:r>
      <w:r w:rsidR="00EC5918" w:rsidRPr="00002C7A">
        <w:rPr>
          <w:lang w:val="en-GB"/>
        </w:rPr>
      </w:r>
      <w:r w:rsidR="00EC5918" w:rsidRPr="00002C7A">
        <w:rPr>
          <w:lang w:val="en-GB"/>
        </w:rPr>
        <w:fldChar w:fldCharType="separate"/>
      </w:r>
      <w:r w:rsidR="007F093A">
        <w:t xml:space="preserve">Table </w:t>
      </w:r>
      <w:r w:rsidR="007F093A">
        <w:rPr>
          <w:noProof/>
        </w:rPr>
        <w:t>18</w:t>
      </w:r>
      <w:r w:rsidR="00EC5918" w:rsidRPr="00002C7A">
        <w:rPr>
          <w:lang w:val="en-GB"/>
        </w:rPr>
        <w:fldChar w:fldCharType="end"/>
      </w:r>
      <w:r w:rsidR="005C6E93" w:rsidRPr="00002C7A">
        <w:rPr>
          <w:lang w:val="en-GB"/>
        </w:rPr>
        <w:t xml:space="preserve"> detail</w:t>
      </w:r>
      <w:r w:rsidR="004252E2" w:rsidRPr="00002C7A">
        <w:rPr>
          <w:lang w:val="en-GB"/>
        </w:rPr>
        <w:t>s</w:t>
      </w:r>
      <w:r w:rsidR="005C6E93" w:rsidRPr="00002C7A">
        <w:rPr>
          <w:lang w:val="en-GB"/>
        </w:rPr>
        <w:t xml:space="preserve"> our</w:t>
      </w:r>
      <w:r w:rsidRPr="00002C7A">
        <w:rPr>
          <w:lang w:val="en-GB"/>
        </w:rPr>
        <w:t xml:space="preserve"> calculation of the nominal </w:t>
      </w:r>
      <w:r w:rsidR="005C6E93" w:rsidRPr="00002C7A">
        <w:rPr>
          <w:lang w:val="en-GB"/>
        </w:rPr>
        <w:t xml:space="preserve">pre-tax WACC </w:t>
      </w:r>
      <w:r w:rsidRPr="00002C7A">
        <w:rPr>
          <w:lang w:val="en-GB"/>
        </w:rPr>
        <w:t xml:space="preserve">for </w:t>
      </w:r>
      <w:r w:rsidR="005C6E93" w:rsidRPr="00002C7A">
        <w:rPr>
          <w:lang w:val="en-GB"/>
        </w:rPr>
        <w:t xml:space="preserve">the regulated activities of </w:t>
      </w:r>
      <w:r w:rsidR="004252E2" w:rsidRPr="00002C7A">
        <w:rPr>
          <w:lang w:val="en-GB"/>
        </w:rPr>
        <w:t>electronic communications in Georgia</w:t>
      </w:r>
      <w:r w:rsidRPr="00002C7A">
        <w:rPr>
          <w:lang w:val="en-GB"/>
        </w:rPr>
        <w:t>.</w:t>
      </w:r>
      <w:bookmarkEnd w:id="10"/>
      <w:bookmarkEnd w:id="11"/>
      <w:bookmarkEnd w:id="12"/>
      <w:bookmarkEnd w:id="13"/>
    </w:p>
    <w:p w14:paraId="3C3514AD" w14:textId="148B457D" w:rsidR="00EC5918" w:rsidRDefault="00EC5918" w:rsidP="00EC5918">
      <w:pPr>
        <w:pStyle w:val="Caption"/>
        <w:jc w:val="both"/>
      </w:pPr>
      <w:bookmarkStart w:id="335" w:name="_Ref217036106"/>
      <w:bookmarkStart w:id="336" w:name="_Toc219739810"/>
      <w:bookmarkStart w:id="337" w:name="_Toc217060093"/>
      <w:r>
        <w:t xml:space="preserve">Table </w:t>
      </w:r>
      <w:fldSimple w:instr=" SEQ Table \* ARABIC ">
        <w:r w:rsidR="007F093A">
          <w:rPr>
            <w:noProof/>
          </w:rPr>
          <w:t>18</w:t>
        </w:r>
      </w:fldSimple>
      <w:bookmarkEnd w:id="335"/>
      <w:r>
        <w:t>: W</w:t>
      </w:r>
      <w:r w:rsidR="00EA70AF">
        <w:t>ACC</w:t>
      </w:r>
      <w:r>
        <w:t xml:space="preserve"> for the telecommunications sector in Georgia</w:t>
      </w:r>
      <w:bookmarkEnd w:id="336"/>
      <w:bookmarkEnd w:id="337"/>
    </w:p>
    <w:p w14:paraId="39B64964" w14:textId="20194377" w:rsidR="00DC2281" w:rsidRPr="002A0656" w:rsidRDefault="0049774F" w:rsidP="00500B2F">
      <w:pPr>
        <w:pStyle w:val="Figure"/>
        <w:jc w:val="both"/>
      </w:pPr>
      <w:r w:rsidRPr="0049774F">
        <w:drawing>
          <wp:inline distT="0" distB="0" distL="0" distR="0" wp14:anchorId="0D6280A4" wp14:editId="7AE3A03D">
            <wp:extent cx="4688840" cy="4391025"/>
            <wp:effectExtent l="0" t="0" r="0" b="9525"/>
            <wp:docPr id="1860928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8840" cy="4391025"/>
                    </a:xfrm>
                    <a:prstGeom prst="rect">
                      <a:avLst/>
                    </a:prstGeom>
                    <a:noFill/>
                    <a:ln>
                      <a:noFill/>
                    </a:ln>
                  </pic:spPr>
                </pic:pic>
              </a:graphicData>
            </a:graphic>
          </wp:inline>
        </w:drawing>
      </w:r>
    </w:p>
    <w:sectPr w:rsidR="00DC2281" w:rsidRPr="002A0656" w:rsidSect="00F44841">
      <w:headerReference w:type="default" r:id="rId45"/>
      <w:footerReference w:type="even" r:id="rId46"/>
      <w:footerReference w:type="default" r:id="rId47"/>
      <w:footerReference w:type="first" r:id="rId48"/>
      <w:pgSz w:w="11906" w:h="16838" w:code="9"/>
      <w:pgMar w:top="1440" w:right="1440" w:bottom="1152" w:left="1440" w:header="432" w:footer="720" w:gutter="0"/>
      <w:pgNumType w:start="1"/>
      <w:cols w:space="720"/>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16221" w14:textId="77777777" w:rsidR="00183FB3" w:rsidRDefault="00183FB3" w:rsidP="00EE1546">
      <w:r>
        <w:separator/>
      </w:r>
    </w:p>
    <w:p w14:paraId="1E3E7E1B" w14:textId="77777777" w:rsidR="00183FB3" w:rsidRDefault="00183FB3"/>
    <w:p w14:paraId="5E789DC9" w14:textId="77777777" w:rsidR="00183FB3" w:rsidRDefault="00183FB3" w:rsidP="002F35D0"/>
    <w:p w14:paraId="544A08E7" w14:textId="77777777" w:rsidR="00183FB3" w:rsidRDefault="00183FB3" w:rsidP="002F35D0"/>
  </w:endnote>
  <w:endnote w:type="continuationSeparator" w:id="0">
    <w:p w14:paraId="544E5054" w14:textId="77777777" w:rsidR="00183FB3" w:rsidRDefault="00183FB3" w:rsidP="00EE1546">
      <w:r>
        <w:continuationSeparator/>
      </w:r>
    </w:p>
    <w:p w14:paraId="5B6C97F5" w14:textId="77777777" w:rsidR="00183FB3" w:rsidRDefault="00183FB3"/>
    <w:p w14:paraId="700E6BFD" w14:textId="77777777" w:rsidR="00183FB3" w:rsidRDefault="00183FB3" w:rsidP="002F35D0"/>
    <w:p w14:paraId="7451CEE1" w14:textId="77777777" w:rsidR="00183FB3" w:rsidRDefault="00183FB3" w:rsidP="002F35D0"/>
  </w:endnote>
  <w:endnote w:type="continuationNotice" w:id="1">
    <w:p w14:paraId="5456B74C" w14:textId="77777777" w:rsidR="00183FB3" w:rsidRDefault="00183F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54EF" w14:textId="14CB7BA4" w:rsidR="00110F48" w:rsidRPr="00110F48" w:rsidRDefault="007F093A" w:rsidP="00BF6BEE">
    <w:pPr>
      <w:pStyle w:val="Footer"/>
    </w:pPr>
    <w:fldSimple w:instr="TITLE   \* MERGEFORMAT">
      <w:r>
        <w:t>The WACC for Regulated Telecoms Services in Georgia</w:t>
      </w:r>
    </w:fldSimple>
    <w:r w:rsidR="00BF6BEE">
      <w:tab/>
      <w:t xml:space="preserve">Brattle.com | </w:t>
    </w:r>
    <w:r w:rsidR="00BF6BEE">
      <w:fldChar w:fldCharType="begin"/>
    </w:r>
    <w:r w:rsidR="00BF6BEE">
      <w:instrText xml:space="preserve"> PAGE  \* roman \* MERGEFORMAT </w:instrText>
    </w:r>
    <w:r w:rsidR="00BF6BEE">
      <w:fldChar w:fldCharType="separate"/>
    </w:r>
    <w:r w:rsidR="00BF6BEE">
      <w:rPr>
        <w:noProof/>
      </w:rPr>
      <w:t>vi</w:t>
    </w:r>
    <w:r w:rsidR="00BF6BE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D30A6" w14:textId="556549D9" w:rsidR="00915EC0" w:rsidRPr="00670F35" w:rsidRDefault="007F093A" w:rsidP="00BF6BEE">
    <w:pPr>
      <w:pStyle w:val="Footer"/>
    </w:pPr>
    <w:fldSimple w:instr="TITLE   \* MERGEFORMAT">
      <w:r>
        <w:t>The WACC for Regulated Telecoms Services in Georgia</w:t>
      </w:r>
    </w:fldSimple>
    <w:r w:rsidR="00BF6BEE">
      <w:tab/>
      <w:t xml:space="preserve">Brattle.com | </w:t>
    </w:r>
    <w:r w:rsidR="00BF6BEE">
      <w:fldChar w:fldCharType="begin"/>
    </w:r>
    <w:r w:rsidR="00BF6BEE">
      <w:instrText xml:space="preserve"> PAGE  \* roman \* MERGEFORMAT </w:instrText>
    </w:r>
    <w:r w:rsidR="00BF6BEE">
      <w:fldChar w:fldCharType="separate"/>
    </w:r>
    <w:r w:rsidR="00BF6BEE">
      <w:rPr>
        <w:noProof/>
      </w:rPr>
      <w:t>vi</w:t>
    </w:r>
    <w:r w:rsidR="00BF6BE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DBAAC" w14:textId="02CFDA57" w:rsidR="00110F48" w:rsidRPr="00110F48" w:rsidRDefault="007F093A" w:rsidP="00BF6BEE">
    <w:pPr>
      <w:pStyle w:val="Footer"/>
    </w:pPr>
    <w:fldSimple w:instr="TITLE   \* MERGEFORMAT">
      <w:r>
        <w:t>The WACC for Regulated Telecoms Services in Georgia</w:t>
      </w:r>
    </w:fldSimple>
    <w:r w:rsidR="00BF6BEE">
      <w:tab/>
      <w:t xml:space="preserve">Brattle.com | </w:t>
    </w:r>
    <w:r w:rsidR="00BF6BEE">
      <w:fldChar w:fldCharType="begin"/>
    </w:r>
    <w:r w:rsidR="00BF6BEE">
      <w:instrText xml:space="preserve"> PAGE  \* roman \* MERGEFORMAT </w:instrText>
    </w:r>
    <w:r w:rsidR="00BF6BEE">
      <w:fldChar w:fldCharType="separate"/>
    </w:r>
    <w:r w:rsidR="00BF6BEE">
      <w:rPr>
        <w:noProof/>
      </w:rPr>
      <w:t>vi</w:t>
    </w:r>
    <w:r w:rsidR="00BF6BE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5F32C" w14:textId="4FB7C452" w:rsidR="00BF6BEE" w:rsidRPr="00110F48" w:rsidRDefault="007F093A" w:rsidP="00BF6BEE">
    <w:pPr>
      <w:pStyle w:val="Footer"/>
    </w:pPr>
    <w:fldSimple w:instr="TITLE   \* MERGEFORMAT">
      <w:r>
        <w:t>The WACC for Regulated Telecoms Services in Georgia</w:t>
      </w:r>
    </w:fldSimple>
    <w:r w:rsidR="00BF6BEE">
      <w:tab/>
      <w:t xml:space="preserve">Brattle.com | </w:t>
    </w:r>
    <w:r w:rsidR="00BF6BEE">
      <w:fldChar w:fldCharType="begin"/>
    </w:r>
    <w:r w:rsidR="00BF6BEE">
      <w:instrText xml:space="preserve"> PAGE  \* Arabic \* MERGEFORMAT </w:instrText>
    </w:r>
    <w:r w:rsidR="00BF6BEE">
      <w:fldChar w:fldCharType="separate"/>
    </w:r>
    <w:r w:rsidR="00BF6BEE">
      <w:rPr>
        <w:noProof/>
      </w:rPr>
      <w:t>6</w:t>
    </w:r>
    <w:r w:rsidR="00BF6BEE">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DFEC9" w14:textId="264CEE27" w:rsidR="00BF6BEE" w:rsidRPr="00670F35" w:rsidRDefault="007F093A" w:rsidP="00BF6BEE">
    <w:pPr>
      <w:pStyle w:val="Footer"/>
    </w:pPr>
    <w:fldSimple w:instr="TITLE   \* MERGEFORMAT">
      <w:r>
        <w:t>The WACC for Regulated Telecoms Services in Georgia</w:t>
      </w:r>
    </w:fldSimple>
    <w:r w:rsidR="00BF6BEE">
      <w:tab/>
      <w:t xml:space="preserve">Brattle.com | </w:t>
    </w:r>
    <w:r w:rsidR="00BF6BEE">
      <w:fldChar w:fldCharType="begin"/>
    </w:r>
    <w:r w:rsidR="00BF6BEE">
      <w:instrText xml:space="preserve"> PAGE  \* Arabic \* MERGEFORMAT </w:instrText>
    </w:r>
    <w:r w:rsidR="00BF6BEE">
      <w:fldChar w:fldCharType="separate"/>
    </w:r>
    <w:r w:rsidR="00BF6BEE">
      <w:rPr>
        <w:noProof/>
      </w:rPr>
      <w:t>6</w:t>
    </w:r>
    <w:r w:rsidR="00BF6BE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F4EBD" w14:textId="45CB6D5A" w:rsidR="00BF6BEE" w:rsidRPr="00110F48" w:rsidRDefault="007F093A" w:rsidP="00BF6BEE">
    <w:pPr>
      <w:pStyle w:val="Footer"/>
    </w:pPr>
    <w:fldSimple w:instr="TITLE   \* MERGEFORMAT">
      <w:r>
        <w:t>The WACC for Regulated Telecoms Services in Georgia</w:t>
      </w:r>
    </w:fldSimple>
    <w:r w:rsidR="00BF6BEE">
      <w:tab/>
      <w:t xml:space="preserve">Brattle.com | </w:t>
    </w:r>
    <w:r w:rsidR="00BF6BEE">
      <w:fldChar w:fldCharType="begin"/>
    </w:r>
    <w:r w:rsidR="00BF6BEE">
      <w:instrText xml:space="preserve"> PAGE  \* Arabic \* MERGEFORMAT </w:instrText>
    </w:r>
    <w:r w:rsidR="00BF6BEE">
      <w:fldChar w:fldCharType="separate"/>
    </w:r>
    <w:r w:rsidR="00BF6BEE">
      <w:rPr>
        <w:noProof/>
      </w:rPr>
      <w:t>6</w:t>
    </w:r>
    <w:r w:rsidR="00BF6BE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93932" w14:textId="77777777" w:rsidR="00183FB3" w:rsidRDefault="00183FB3" w:rsidP="00CD2B4D">
      <w:pPr>
        <w:pStyle w:val="EndnoteSeparator"/>
        <w:spacing w:line="80" w:lineRule="exact"/>
      </w:pPr>
    </w:p>
  </w:footnote>
  <w:footnote w:type="continuationSeparator" w:id="0">
    <w:p w14:paraId="48DCCD07" w14:textId="77777777" w:rsidR="00183FB3" w:rsidRDefault="00183FB3" w:rsidP="003A5897">
      <w:pPr>
        <w:spacing w:before="80"/>
      </w:pPr>
      <w:r>
        <w:separator/>
      </w:r>
    </w:p>
    <w:p w14:paraId="59B25245" w14:textId="77777777" w:rsidR="00183FB3" w:rsidRPr="003A5897" w:rsidRDefault="00183FB3" w:rsidP="003A5897">
      <w:pPr>
        <w:spacing w:before="80" w:after="80"/>
        <w:rPr>
          <w:sz w:val="16"/>
          <w:szCs w:val="16"/>
        </w:rPr>
      </w:pPr>
      <w:r w:rsidRPr="003A5897">
        <w:rPr>
          <w:sz w:val="16"/>
          <w:szCs w:val="16"/>
        </w:rPr>
        <w:t>Continued from previous page</w:t>
      </w:r>
    </w:p>
  </w:footnote>
  <w:footnote w:type="continuationNotice" w:id="1">
    <w:p w14:paraId="254867F4" w14:textId="77777777" w:rsidR="00183FB3" w:rsidRPr="003A5897" w:rsidRDefault="00183FB3" w:rsidP="003A5897">
      <w:pPr>
        <w:spacing w:before="80"/>
        <w:jc w:val="right"/>
        <w:rPr>
          <w:sz w:val="16"/>
          <w:szCs w:val="16"/>
        </w:rPr>
      </w:pPr>
      <w:r w:rsidRPr="003A5897">
        <w:rPr>
          <w:sz w:val="16"/>
          <w:szCs w:val="16"/>
        </w:rPr>
        <w:t>Continued on next page</w:t>
      </w:r>
    </w:p>
  </w:footnote>
  <w:footnote w:id="2">
    <w:p w14:paraId="2073B82A" w14:textId="645208AB" w:rsidR="003A0C73" w:rsidRDefault="007F48D5">
      <w:pPr>
        <w:pStyle w:val="FootnoteText"/>
      </w:pPr>
      <w:r>
        <w:rPr>
          <w:rStyle w:val="FootnoteReference"/>
        </w:rPr>
        <w:footnoteRef/>
      </w:r>
      <w:r>
        <w:t xml:space="preserve"> </w:t>
      </w:r>
      <w:r>
        <w:tab/>
      </w:r>
      <w:r w:rsidR="003D3621">
        <w:t>ComCom, “</w:t>
      </w:r>
      <w:r w:rsidR="008C0E65" w:rsidRPr="008C0E65">
        <w:t>On Amendments to the Decision of the Georgian National Communications Commission of September 5, 2017 N592/9 On Determining the Weighted Average Cost of Capital (WACC) for Mobile and Fixed Networks”</w:t>
      </w:r>
      <w:r w:rsidR="003121AC">
        <w:t xml:space="preserve">, </w:t>
      </w:r>
      <w:r w:rsidR="000217E7" w:rsidRPr="000217E7">
        <w:t>G-22-19 / 306</w:t>
      </w:r>
      <w:r w:rsidR="000217E7">
        <w:t>, 8 July 2022</w:t>
      </w:r>
      <w:r w:rsidR="008F6C20">
        <w:t xml:space="preserve"> (available at: </w:t>
      </w:r>
      <w:hyperlink r:id="rId1" w:history="1">
        <w:r w:rsidR="003A0C73" w:rsidRPr="005411A5">
          <w:rPr>
            <w:rStyle w:val="Hyperlink"/>
          </w:rPr>
          <w:t>https://comcom.ge/ge/legal-acts/solutions/2022--22-19-306.page</w:t>
        </w:r>
      </w:hyperlink>
      <w:r w:rsidR="003A0C73">
        <w:t>).</w:t>
      </w:r>
      <w:r w:rsidR="00BD70C2">
        <w:t xml:space="preserve"> Hereafter, “ComCom 2022 decision”.</w:t>
      </w:r>
    </w:p>
  </w:footnote>
  <w:footnote w:id="3">
    <w:p w14:paraId="63E09351" w14:textId="7BF8DA73" w:rsidR="002D0D0D" w:rsidRPr="002D0D0D" w:rsidRDefault="002D0D0D">
      <w:pPr>
        <w:pStyle w:val="FootnoteText"/>
      </w:pPr>
      <w:r>
        <w:rPr>
          <w:rStyle w:val="FootnoteReference"/>
        </w:rPr>
        <w:footnoteRef/>
      </w:r>
      <w:r>
        <w:t xml:space="preserve"> </w:t>
      </w:r>
      <w:r>
        <w:tab/>
      </w:r>
      <w:r w:rsidR="00A35E32">
        <w:t xml:space="preserve">PwC, </w:t>
      </w:r>
      <w:r w:rsidR="00F813FC">
        <w:t>Consultancy Services to review and update Accounting Separation Guidelines and development of review and recalculation of WACC: WACC Methodology and preliminary results”, December 2020 (</w:t>
      </w:r>
      <w:r w:rsidR="00733159">
        <w:t>available at:</w:t>
      </w:r>
      <w:r w:rsidR="00636300">
        <w:t xml:space="preserve"> </w:t>
      </w:r>
      <w:hyperlink r:id="rId2" w:history="1">
        <w:r w:rsidR="00636300" w:rsidRPr="005411A5">
          <w:rPr>
            <w:rStyle w:val="Hyperlink"/>
          </w:rPr>
          <w:t>https://comcom.ge/uploads/other/9/9651.pdf</w:t>
        </w:r>
      </w:hyperlink>
      <w:r w:rsidR="00636300">
        <w:t xml:space="preserve">). Hereafter, </w:t>
      </w:r>
      <w:r w:rsidR="00ED17DB">
        <w:t xml:space="preserve">“PwC </w:t>
      </w:r>
      <w:r w:rsidR="006315E2">
        <w:t xml:space="preserve">2020 </w:t>
      </w:r>
      <w:r w:rsidR="00ED17DB">
        <w:t>Report</w:t>
      </w:r>
      <w:r w:rsidR="00BF49FD">
        <w:t>”</w:t>
      </w:r>
      <w:r w:rsidR="00596046">
        <w:t>.</w:t>
      </w:r>
    </w:p>
  </w:footnote>
  <w:footnote w:id="4">
    <w:p w14:paraId="2C7FDD67" w14:textId="317664EC" w:rsidR="000E4786" w:rsidRPr="000E4786" w:rsidRDefault="000E4786">
      <w:pPr>
        <w:pStyle w:val="FootnoteText"/>
      </w:pPr>
      <w:r>
        <w:rPr>
          <w:rStyle w:val="FootnoteReference"/>
        </w:rPr>
        <w:footnoteRef/>
      </w:r>
      <w:r>
        <w:t xml:space="preserve"> </w:t>
      </w:r>
      <w:r>
        <w:tab/>
      </w:r>
      <w:r w:rsidR="00814824">
        <w:t>European Commission, “</w:t>
      </w:r>
      <w:r w:rsidR="00814824" w:rsidRPr="00110F48">
        <w:t>Commission Notice on the calculation of the cost of capital for legacy infrastructure in the context of the Commission’s review of national notifications in the EU electronic communications sector</w:t>
      </w:r>
      <w:r w:rsidR="00814824">
        <w:t xml:space="preserve">,” </w:t>
      </w:r>
      <w:r w:rsidR="0048240E" w:rsidRPr="00B70B23">
        <w:t>2019/C 375/01</w:t>
      </w:r>
      <w:r w:rsidR="0048240E">
        <w:t xml:space="preserve">, </w:t>
      </w:r>
      <w:r w:rsidR="00814824">
        <w:t>6 November 2019. Hereinafter</w:t>
      </w:r>
      <w:r w:rsidR="00E620F9">
        <w:t xml:space="preserve">, </w:t>
      </w:r>
      <w:r w:rsidR="00C04A9D">
        <w:t>“</w:t>
      </w:r>
      <w:r w:rsidR="00814824">
        <w:t>EC Notice on WACC</w:t>
      </w:r>
      <w:r w:rsidR="00C04A9D">
        <w:t>”</w:t>
      </w:r>
      <w:r w:rsidR="00814824">
        <w:t>.</w:t>
      </w:r>
    </w:p>
  </w:footnote>
  <w:footnote w:id="5">
    <w:p w14:paraId="08268282" w14:textId="34BEF3D7" w:rsidR="000E4786" w:rsidRPr="000E4786" w:rsidRDefault="000E4786" w:rsidP="000E4786">
      <w:pPr>
        <w:pStyle w:val="FootnoteText"/>
      </w:pPr>
      <w:r>
        <w:rPr>
          <w:rStyle w:val="FootnoteReference"/>
        </w:rPr>
        <w:footnoteRef/>
      </w:r>
      <w:r>
        <w:t xml:space="preserve"> </w:t>
      </w:r>
      <w:r>
        <w:tab/>
      </w:r>
      <w:r w:rsidR="00E620F9">
        <w:t>For example, BEREC, “BEREC Report on WACC parameter calculations according to the European Commission’s WACC Notice of 6</w:t>
      </w:r>
      <w:r w:rsidR="00E620F9" w:rsidRPr="00043EFC">
        <w:rPr>
          <w:vertAlign w:val="superscript"/>
        </w:rPr>
        <w:t>th</w:t>
      </w:r>
      <w:r w:rsidR="00E620F9">
        <w:t xml:space="preserve"> November 2019”, June 2025. Hereinafter, “BEREC’s 2025 report”.</w:t>
      </w:r>
    </w:p>
  </w:footnote>
  <w:footnote w:id="6">
    <w:p w14:paraId="5B023BD7" w14:textId="4D3A1988" w:rsidR="00F93A93" w:rsidRPr="00F93A93" w:rsidRDefault="00F93A93" w:rsidP="00F93A93">
      <w:pPr>
        <w:pStyle w:val="FootnoteText"/>
      </w:pPr>
      <w:r>
        <w:rPr>
          <w:rStyle w:val="FootnoteReference"/>
        </w:rPr>
        <w:footnoteRef/>
      </w:r>
      <w:r>
        <w:t xml:space="preserve"> </w:t>
      </w:r>
      <w:r>
        <w:tab/>
        <w:t>EC Notice on WACC, ¶¶31, 35, 65.</w:t>
      </w:r>
    </w:p>
  </w:footnote>
  <w:footnote w:id="7">
    <w:p w14:paraId="4CC85845" w14:textId="77777777" w:rsidR="00F3697D" w:rsidRPr="00C45A77" w:rsidRDefault="00F3697D" w:rsidP="00F3697D">
      <w:pPr>
        <w:pStyle w:val="FootnoteText"/>
      </w:pPr>
      <w:r>
        <w:rPr>
          <w:rStyle w:val="FootnoteReference"/>
        </w:rPr>
        <w:footnoteRef/>
      </w:r>
      <w:r w:rsidRPr="002A0656">
        <w:t xml:space="preserve"> </w:t>
      </w:r>
      <w:r w:rsidRPr="002A0656">
        <w:tab/>
        <w:t xml:space="preserve">See </w:t>
      </w:r>
      <w:r>
        <w:t xml:space="preserve">Brattle 2016 Report, </w:t>
      </w:r>
      <w:r w:rsidRPr="00B617D3">
        <w:rPr>
          <w:b/>
          <w:bCs/>
        </w:rPr>
        <w:t>§</w:t>
      </w:r>
      <w:r>
        <w:t>VI.A.4, pp. 41-43.</w:t>
      </w:r>
    </w:p>
  </w:footnote>
  <w:footnote w:id="8">
    <w:p w14:paraId="721E44F0" w14:textId="77777777" w:rsidR="00DB4399" w:rsidRDefault="00DB4399" w:rsidP="00DB4399">
      <w:pPr>
        <w:pStyle w:val="FootnoteText"/>
      </w:pPr>
      <w:r>
        <w:rPr>
          <w:rStyle w:val="FootnoteReference"/>
        </w:rPr>
        <w:footnoteRef/>
      </w:r>
      <w:r>
        <w:t xml:space="preserve"> </w:t>
      </w:r>
      <w:r>
        <w:tab/>
        <w:t>BEREC’s 2025 report, p. 24.</w:t>
      </w:r>
    </w:p>
  </w:footnote>
  <w:footnote w:id="9">
    <w:p w14:paraId="0E4796CA" w14:textId="020A58E8" w:rsidR="00DB4399" w:rsidRPr="006378AC" w:rsidRDefault="00DB4399" w:rsidP="00DB4399">
      <w:pPr>
        <w:pStyle w:val="FootnoteText"/>
      </w:pPr>
      <w:r>
        <w:rPr>
          <w:rStyle w:val="FootnoteReference"/>
        </w:rPr>
        <w:footnoteRef/>
      </w:r>
      <w:r>
        <w:t xml:space="preserve"> </w:t>
      </w:r>
      <w:r>
        <w:tab/>
        <w:t xml:space="preserve">In other work, we have considered that seven to ten peers should be sufficient to give a reliable beta estimate. Of course, there is always a </w:t>
      </w:r>
      <w:r w:rsidR="00A95514" w:rsidRPr="00002C7A">
        <w:t>trade-off</w:t>
      </w:r>
      <w:r>
        <w:t xml:space="preserve"> between a larger number of peers, and whether the peers in the sample accurately reflect the business for which we are estimating a beta. Arguably, it is better to have a small sample of firms that are engaged in the relevant business than a larger sample of firms that derive significant revenue from businesses that differ from the one for which we are estimating beta.</w:t>
      </w:r>
    </w:p>
  </w:footnote>
  <w:footnote w:id="10">
    <w:p w14:paraId="787425F4" w14:textId="77777777" w:rsidR="00BA383B" w:rsidRDefault="00BA383B" w:rsidP="00BA383B">
      <w:pPr>
        <w:pStyle w:val="FootnoteText"/>
      </w:pPr>
      <w:r>
        <w:rPr>
          <w:rStyle w:val="FootnoteReference"/>
        </w:rPr>
        <w:footnoteRef/>
      </w:r>
      <w:r>
        <w:t xml:space="preserve"> </w:t>
      </w:r>
      <w:r>
        <w:tab/>
        <w:t>EC Notice on WACC, ¶56.</w:t>
      </w:r>
    </w:p>
  </w:footnote>
  <w:footnote w:id="11">
    <w:p w14:paraId="1AE0F1E3" w14:textId="77777777" w:rsidR="00BA383B" w:rsidRDefault="00BA383B" w:rsidP="00BA383B">
      <w:pPr>
        <w:pStyle w:val="FootnoteText"/>
      </w:pPr>
      <w:r>
        <w:rPr>
          <w:rStyle w:val="FootnoteReference"/>
        </w:rPr>
        <w:footnoteRef/>
      </w:r>
      <w:r>
        <w:t xml:space="preserve"> </w:t>
      </w:r>
      <w:r>
        <w:tab/>
        <w:t>BEREC’s 2025 Report, pp. 26, 27.</w:t>
      </w:r>
    </w:p>
  </w:footnote>
  <w:footnote w:id="12">
    <w:p w14:paraId="514E141A" w14:textId="7E8C82B9" w:rsidR="00BA1811" w:rsidRPr="000C0710" w:rsidRDefault="00BA1811" w:rsidP="00BA1811">
      <w:pPr>
        <w:pStyle w:val="FootnoteText"/>
        <w:rPr>
          <w:lang w:val="en-GB"/>
        </w:rPr>
      </w:pPr>
      <w:r>
        <w:rPr>
          <w:rStyle w:val="FootnoteReference"/>
        </w:rPr>
        <w:footnoteRef/>
      </w:r>
      <w:r>
        <w:t xml:space="preserve"> </w:t>
      </w:r>
      <w:r>
        <w:rPr>
          <w:lang w:val="en-GB"/>
        </w:rPr>
        <w:tab/>
      </w:r>
      <w:r w:rsidRPr="000C0710">
        <w:rPr>
          <w:lang w:val="en-GB"/>
        </w:rPr>
        <w:t>We note that in future update</w:t>
      </w:r>
      <w:r w:rsidR="00EA70AF">
        <w:rPr>
          <w:lang w:val="en-GB"/>
        </w:rPr>
        <w:t>s</w:t>
      </w:r>
      <w:r w:rsidRPr="000C0710">
        <w:rPr>
          <w:lang w:val="en-GB"/>
        </w:rPr>
        <w:t xml:space="preserve"> to the WACC, Georgia telecoms operators may have traded bonds with reported yields. If this is the case, then ComCom could combine data from these yields with appropriate spreads from the BEREC report.</w:t>
      </w:r>
    </w:p>
  </w:footnote>
  <w:footnote w:id="13">
    <w:p w14:paraId="30F1CD61" w14:textId="77777777" w:rsidR="00282D86" w:rsidRPr="002A0656" w:rsidRDefault="00282D86" w:rsidP="00282D86">
      <w:pPr>
        <w:pStyle w:val="FootnoteText"/>
      </w:pPr>
      <w:r>
        <w:rPr>
          <w:rStyle w:val="FootnoteReference"/>
        </w:rPr>
        <w:footnoteRef/>
      </w:r>
      <w:r>
        <w:t xml:space="preserve"> </w:t>
      </w:r>
      <w:r w:rsidRPr="002A0656">
        <w:tab/>
        <w:t>Based on data provided by ComCom.</w:t>
      </w:r>
    </w:p>
  </w:footnote>
  <w:footnote w:id="14">
    <w:p w14:paraId="426165AD" w14:textId="6C6994B6" w:rsidR="003229E0" w:rsidRPr="002A0656" w:rsidRDefault="003229E0" w:rsidP="003229E0">
      <w:pPr>
        <w:pStyle w:val="FootnoteText"/>
      </w:pPr>
      <w:r>
        <w:rPr>
          <w:rStyle w:val="FootnoteReference"/>
        </w:rPr>
        <w:footnoteRef/>
      </w:r>
      <w:r>
        <w:t xml:space="preserve"> </w:t>
      </w:r>
      <w:r w:rsidRPr="002A0656">
        <w:tab/>
        <w:t xml:space="preserve">For avoidance of doubt, these markets will include (1) </w:t>
      </w:r>
      <w:r w:rsidRPr="002A0656">
        <w:rPr>
          <w:b/>
        </w:rPr>
        <w:t>wholesale access to communication ducts</w:t>
      </w:r>
      <w:r w:rsidRPr="002A0656">
        <w:t xml:space="preserve"> (ComCom main Decision - 620/9 06.11.2014 with all amendments), (2) </w:t>
      </w:r>
      <w:r w:rsidRPr="002A0656">
        <w:rPr>
          <w:b/>
        </w:rPr>
        <w:t>wholesale access to Internet resources</w:t>
      </w:r>
      <w:r w:rsidRPr="002A0656">
        <w:t xml:space="preserve"> (ComCom main Decision -57-9 29.01.2015 with all amendments)</w:t>
      </w:r>
      <w:r w:rsidR="006C166D" w:rsidRPr="002A0656">
        <w:t xml:space="preserve">, (3) </w:t>
      </w:r>
      <w:r w:rsidR="006C166D" w:rsidRPr="002A0656">
        <w:rPr>
          <w:b/>
        </w:rPr>
        <w:t>w</w:t>
      </w:r>
      <w:r w:rsidRPr="002A0656">
        <w:rPr>
          <w:b/>
        </w:rPr>
        <w:t>holesale leased lines</w:t>
      </w:r>
      <w:r w:rsidRPr="002A0656">
        <w:t xml:space="preserve"> (ComCom main Decision - N671/9 06.12.2018 with all amendments)</w:t>
      </w:r>
      <w:r w:rsidR="006C166D" w:rsidRPr="002A0656">
        <w:t xml:space="preserve">, (4) </w:t>
      </w:r>
      <w:r w:rsidR="006C166D" w:rsidRPr="002A0656">
        <w:rPr>
          <w:b/>
        </w:rPr>
        <w:t>w</w:t>
      </w:r>
      <w:r w:rsidRPr="002A0656">
        <w:rPr>
          <w:b/>
        </w:rPr>
        <w:t>holesale local and central access at a fixed location</w:t>
      </w:r>
      <w:r w:rsidRPr="002A0656">
        <w:t xml:space="preserve"> (ComCom main decision 9/361,08/08/2024 with all amendments)</w:t>
      </w:r>
      <w:r w:rsidR="006C166D" w:rsidRPr="002A0656">
        <w:t xml:space="preserve">, (5) </w:t>
      </w:r>
      <w:r w:rsidR="006C166D" w:rsidRPr="002A0656">
        <w:rPr>
          <w:b/>
        </w:rPr>
        <w:t>5</w:t>
      </w:r>
      <w:r w:rsidRPr="002A0656">
        <w:rPr>
          <w:b/>
        </w:rPr>
        <w:t>G mobile network Wholesale services</w:t>
      </w:r>
      <w:r w:rsidR="006C166D" w:rsidRPr="002A0656">
        <w:t xml:space="preserve">, and any </w:t>
      </w:r>
      <w:r w:rsidRPr="002A0656">
        <w:t>other relevant wholesale market which may be defined, analysed and regulated by the ComCom during the</w:t>
      </w:r>
      <w:r w:rsidR="00FA229A">
        <w:t xml:space="preserve"> regulatory</w:t>
      </w:r>
      <w:r w:rsidRPr="002A0656">
        <w:t xml:space="preserve"> period.</w:t>
      </w:r>
    </w:p>
  </w:footnote>
  <w:footnote w:id="15">
    <w:p w14:paraId="5BB32876" w14:textId="77777777" w:rsidR="003C220A" w:rsidRDefault="003C220A" w:rsidP="003C220A">
      <w:pPr>
        <w:pStyle w:val="FootnoteText"/>
      </w:pPr>
      <w:r>
        <w:rPr>
          <w:rStyle w:val="FootnoteReference"/>
        </w:rPr>
        <w:footnoteRef/>
      </w:r>
      <w:r>
        <w:t xml:space="preserve"> </w:t>
      </w:r>
      <w:r>
        <w:tab/>
        <w:t>EC Notice on WACC, ¶¶31, 35, 65.</w:t>
      </w:r>
    </w:p>
  </w:footnote>
  <w:footnote w:id="16">
    <w:p w14:paraId="15478130" w14:textId="6A32114A" w:rsidR="000563D1" w:rsidRDefault="000563D1">
      <w:pPr>
        <w:pStyle w:val="FootnoteText"/>
      </w:pPr>
      <w:r>
        <w:rPr>
          <w:rStyle w:val="FootnoteReference"/>
        </w:rPr>
        <w:footnoteRef/>
      </w:r>
      <w:r w:rsidRPr="002A0656">
        <w:t xml:space="preserve"> </w:t>
      </w:r>
      <w:r w:rsidRPr="002A0656">
        <w:tab/>
      </w:r>
      <w:r w:rsidR="007942AA" w:rsidRPr="002A0656">
        <w:t>For a discussion on this issue s</w:t>
      </w:r>
      <w:r w:rsidR="006C417A" w:rsidRPr="002A0656">
        <w:t>ee Dan Harris, Richard Caldwell, Lucia Bazzucchi, and Francesco Lo Passo. “</w:t>
      </w:r>
      <w:r w:rsidR="006C417A" w:rsidRPr="000867B8">
        <w:t xml:space="preserve">Review of approaches to estimate a reasonable rate of return for investments in telecoms networks in regulatory proceedings and options for EU </w:t>
      </w:r>
      <w:r w:rsidR="006C417A">
        <w:t>harmonization”</w:t>
      </w:r>
      <w:r w:rsidR="006C417A" w:rsidRPr="004C7C32">
        <w:t xml:space="preserve">. </w:t>
      </w:r>
      <w:r w:rsidR="006C417A">
        <w:t xml:space="preserve">Prepared for </w:t>
      </w:r>
      <w:r w:rsidR="006C417A" w:rsidRPr="004C7C32">
        <w:t>European Commission, DG Communications Networks, Content &amp; Technology</w:t>
      </w:r>
      <w:r w:rsidR="006C417A">
        <w:t>, 2016 (</w:t>
      </w:r>
      <w:r w:rsidR="00F223AC">
        <w:t>“</w:t>
      </w:r>
      <w:r w:rsidR="006C417A">
        <w:t>Brattle 2016 Report</w:t>
      </w:r>
      <w:r w:rsidR="00F223AC">
        <w:t>”</w:t>
      </w:r>
      <w:r w:rsidR="006C417A">
        <w:t xml:space="preserve">), </w:t>
      </w:r>
      <w:r w:rsidR="006C417A" w:rsidRPr="00B617D3">
        <w:rPr>
          <w:b/>
          <w:bCs/>
        </w:rPr>
        <w:t>§</w:t>
      </w:r>
      <w:r w:rsidR="006C417A">
        <w:t>VI.A.1, p. 24.</w:t>
      </w:r>
      <w:r w:rsidR="00F223AC">
        <w:t xml:space="preserve"> See also EC Notice on WACC, ¶</w:t>
      </w:r>
      <w:r w:rsidR="001D402F">
        <w:t xml:space="preserve">34 and </w:t>
      </w:r>
      <w:r w:rsidR="00E81D3F">
        <w:t xml:space="preserve">BEREC’s 2025 Report, </w:t>
      </w:r>
      <w:r w:rsidR="00E81D3F" w:rsidRPr="00B617D3">
        <w:rPr>
          <w:b/>
          <w:bCs/>
        </w:rPr>
        <w:t>§</w:t>
      </w:r>
      <w:r w:rsidR="00111C3C">
        <w:t>2.2, p</w:t>
      </w:r>
      <w:r w:rsidR="0032316B">
        <w:t>p</w:t>
      </w:r>
      <w:r w:rsidR="00111C3C">
        <w:t xml:space="preserve">. </w:t>
      </w:r>
      <w:r w:rsidR="0032316B">
        <w:t>14-15.</w:t>
      </w:r>
    </w:p>
  </w:footnote>
  <w:footnote w:id="17">
    <w:p w14:paraId="239D77C8" w14:textId="17ED33C1" w:rsidR="00C45A77" w:rsidRPr="00C45A77" w:rsidRDefault="00C45A77" w:rsidP="008855D5">
      <w:pPr>
        <w:pStyle w:val="FootnoteText"/>
      </w:pPr>
      <w:r>
        <w:rPr>
          <w:rStyle w:val="FootnoteReference"/>
        </w:rPr>
        <w:footnoteRef/>
      </w:r>
      <w:r w:rsidRPr="002A0656">
        <w:t xml:space="preserve"> </w:t>
      </w:r>
      <w:r w:rsidRPr="002A0656">
        <w:tab/>
      </w:r>
      <w:r w:rsidR="00D03CA5" w:rsidRPr="002A0656">
        <w:t xml:space="preserve">See </w:t>
      </w:r>
      <w:r w:rsidR="00683434">
        <w:t>Brattle 2016 Report</w:t>
      </w:r>
      <w:r w:rsidR="008F7EF4">
        <w:t xml:space="preserve">, </w:t>
      </w:r>
      <w:r w:rsidR="00B617D3" w:rsidRPr="00B617D3">
        <w:rPr>
          <w:b/>
          <w:bCs/>
        </w:rPr>
        <w:t>§</w:t>
      </w:r>
      <w:r>
        <w:t>VI.A.4</w:t>
      </w:r>
      <w:r w:rsidR="00DB198D">
        <w:t>, p</w:t>
      </w:r>
      <w:r w:rsidR="008F5E7A">
        <w:t>p</w:t>
      </w:r>
      <w:r w:rsidR="00DB198D">
        <w:t>.</w:t>
      </w:r>
      <w:r w:rsidR="008F5E7A">
        <w:t xml:space="preserve"> 41-43</w:t>
      </w:r>
      <w:r w:rsidR="008855D5">
        <w:t>.</w:t>
      </w:r>
    </w:p>
  </w:footnote>
  <w:footnote w:id="18">
    <w:p w14:paraId="29983FE9" w14:textId="309EAF45" w:rsidR="000F3C71" w:rsidRPr="000F3C71" w:rsidRDefault="000F3C71">
      <w:pPr>
        <w:pStyle w:val="FootnoteText"/>
      </w:pPr>
      <w:r>
        <w:rPr>
          <w:rStyle w:val="FootnoteReference"/>
        </w:rPr>
        <w:footnoteRef/>
      </w:r>
      <w:r>
        <w:t xml:space="preserve"> </w:t>
      </w:r>
      <w:r>
        <w:tab/>
      </w:r>
      <w:r w:rsidR="00D43457">
        <w:t>For instance,</w:t>
      </w:r>
      <w:r w:rsidR="009C72FD">
        <w:t xml:space="preserve"> in 2022</w:t>
      </w:r>
      <w:r w:rsidR="00D43457">
        <w:t xml:space="preserve"> t</w:t>
      </w:r>
      <w:r w:rsidR="00D43457" w:rsidRPr="00986B58">
        <w:t xml:space="preserve">he Spanish </w:t>
      </w:r>
      <w:r w:rsidR="00D848BE">
        <w:t xml:space="preserve">regulator </w:t>
      </w:r>
      <w:r w:rsidR="00D43457" w:rsidRPr="00986B58">
        <w:t xml:space="preserve">CNMC </w:t>
      </w:r>
      <w:r w:rsidR="00D43457">
        <w:t>estimated</w:t>
      </w:r>
      <w:r w:rsidR="00D43457" w:rsidRPr="00986B58">
        <w:t xml:space="preserve"> the risk-free rate by averaging the five-year and six-month yields on ten-year government bonds, in order to better reflect current macroeconomic conditions</w:t>
      </w:r>
      <w:r w:rsidR="00D848BE">
        <w:t xml:space="preserve"> at the end of QE</w:t>
      </w:r>
      <w:r w:rsidR="00986B58" w:rsidRPr="00986B58">
        <w:t>.</w:t>
      </w:r>
      <w:r w:rsidR="00D43457" w:rsidRPr="00986B58">
        <w:t xml:space="preserve"> The European Commission considered this methodology acceptable, noting that </w:t>
      </w:r>
      <w:r w:rsidR="00D848BE">
        <w:t>regulators</w:t>
      </w:r>
      <w:r w:rsidR="00D43457" w:rsidRPr="00986B58">
        <w:t xml:space="preserve"> may depart from the Guidelines when duly justified and aligned with regulatory objectives (see Commission Comments, Case ES/2022/2419).</w:t>
      </w:r>
    </w:p>
  </w:footnote>
  <w:footnote w:id="19">
    <w:p w14:paraId="10D6A772" w14:textId="77777777" w:rsidR="00915EC0" w:rsidRPr="002B2F08" w:rsidRDefault="00915EC0" w:rsidP="005E475E">
      <w:pPr>
        <w:pStyle w:val="FootnoteText"/>
      </w:pPr>
      <w:r>
        <w:rPr>
          <w:rStyle w:val="FootnoteReference"/>
        </w:rPr>
        <w:footnoteRef/>
      </w:r>
      <w:r>
        <w:t xml:space="preserve"> </w:t>
      </w:r>
      <w:r>
        <w:tab/>
        <w:t xml:space="preserve">Empirical research has found that the CAPM tends to overstate the actual sensitivity of the cost of capital to beta: low-beta stocks tend to have higher risk premiums than predicted by the CAPM and high-beta stocks tend to have lower risk premiums than predicted. See for example, </w:t>
      </w:r>
      <w:r w:rsidRPr="003055C4">
        <w:t>Brealey, Myers</w:t>
      </w:r>
      <w:r>
        <w:t xml:space="preserve"> and Allen, </w:t>
      </w:r>
      <w:r w:rsidRPr="003055C4">
        <w:t xml:space="preserve">Principles of Corporate Finance, Tenth edition, </w:t>
      </w:r>
      <w:r>
        <w:t>McGraw-Hill Irwin, Ch.8</w:t>
      </w:r>
      <w:r w:rsidRPr="003055C4">
        <w:t xml:space="preserve"> p.</w:t>
      </w:r>
      <w:r>
        <w:t>195. See also, Fama and French, “The Capital Asset Pricing Model: Theory and Evidence”, Journal of Economic Perspectives (. 2004), for a discussion about the ECAPM and results of empirical tests.</w:t>
      </w:r>
    </w:p>
  </w:footnote>
  <w:footnote w:id="20">
    <w:p w14:paraId="2598100D" w14:textId="41EB7F26" w:rsidR="00E93B41" w:rsidRPr="00E93B41" w:rsidRDefault="00E93B41">
      <w:pPr>
        <w:pStyle w:val="FootnoteText"/>
      </w:pPr>
      <w:r>
        <w:rPr>
          <w:rStyle w:val="FootnoteReference"/>
        </w:rPr>
        <w:footnoteRef/>
      </w:r>
      <w:r>
        <w:t xml:space="preserve"> </w:t>
      </w:r>
      <w:r>
        <w:tab/>
      </w:r>
      <w:r w:rsidR="006301C0">
        <w:t xml:space="preserve">Inflation will decrease the real value of the fixed </w:t>
      </w:r>
      <w:r w:rsidR="00371E11">
        <w:t>coupon</w:t>
      </w:r>
      <w:r w:rsidR="006301C0">
        <w:t xml:space="preserve">s that most bonds pay. Hence, if realized inflation is higher than </w:t>
      </w:r>
      <w:r w:rsidR="00547491">
        <w:t xml:space="preserve">the inflation the buyer of the bond expected, the value of the bond will decrease. </w:t>
      </w:r>
    </w:p>
  </w:footnote>
  <w:footnote w:id="21">
    <w:p w14:paraId="1E944A2F" w14:textId="77777777" w:rsidR="005E08D3" w:rsidRPr="007036DC" w:rsidRDefault="005E08D3" w:rsidP="005E08D3">
      <w:pPr>
        <w:pStyle w:val="FootnoteText"/>
      </w:pPr>
      <w:r>
        <w:rPr>
          <w:rStyle w:val="FootnoteReference"/>
        </w:rPr>
        <w:footnoteRef/>
      </w:r>
      <w:r>
        <w:t xml:space="preserve"> </w:t>
      </w:r>
      <w:r>
        <w:tab/>
        <w:t xml:space="preserve">See, </w:t>
      </w:r>
      <w:r w:rsidRPr="007036DC">
        <w:rPr>
          <w:i/>
        </w:rPr>
        <w:t>e.g.</w:t>
      </w:r>
      <w:r>
        <w:t xml:space="preserve">, </w:t>
      </w:r>
      <w:r w:rsidRPr="007036DC">
        <w:t>Harris, Caldwell, Lo Passo, and Bazzucchi, “Review of Approaches to Estimate a Reasonable Rate of Return for Investments in Telecoms Networks in Regulatory Proceedings and Options for EU Harmonization”, prepared for DG Connect, July 2016.</w:t>
      </w:r>
    </w:p>
  </w:footnote>
  <w:footnote w:id="22">
    <w:p w14:paraId="2F28199A" w14:textId="77777777" w:rsidR="00915EC0" w:rsidRPr="002A0656" w:rsidRDefault="00915EC0" w:rsidP="00013FBC">
      <w:pPr>
        <w:pStyle w:val="FootnoteText"/>
      </w:pPr>
      <w:r>
        <w:rPr>
          <w:rStyle w:val="FootnoteReference"/>
        </w:rPr>
        <w:footnoteRef/>
      </w:r>
      <w:r>
        <w:t xml:space="preserve"> </w:t>
      </w:r>
      <w:r>
        <w:tab/>
      </w:r>
      <w:r w:rsidRPr="00782F17">
        <w:t>Using either a 10-year bond yield or a 20-year bond yield would both give results that better match the empirical tests of the CAPM than using a short-term risk-free rate. If DMS published long-term returns for 10-year bonds, and estimated an ERP based on the premium of market returns over 10-years bonds, we could use a 10-year bond for the RFR and the corresponding ERP. But DMS do not publish this data. They only publish an ERP calculated relative to a 20-year bond.</w:t>
      </w:r>
    </w:p>
  </w:footnote>
  <w:footnote w:id="23">
    <w:p w14:paraId="306AE377" w14:textId="0C7628F6" w:rsidR="00915EC0" w:rsidRPr="007E6828" w:rsidRDefault="00915EC0" w:rsidP="005E475E">
      <w:pPr>
        <w:pStyle w:val="FootnoteText"/>
      </w:pPr>
      <w:r>
        <w:rPr>
          <w:rStyle w:val="FootnoteReference"/>
        </w:rPr>
        <w:footnoteRef/>
      </w:r>
      <w:r>
        <w:t xml:space="preserve"> </w:t>
      </w:r>
      <w:r>
        <w:tab/>
      </w:r>
      <w:r w:rsidRPr="00FE697B">
        <w:t>DMS publications do not make specific reference to maturity, and generally refer to the asset class of ‘long term bonds’. However, according to the DMS 2021 Yearbook’s section on data sources, DMS have been using for most countries and from at least the 1990s, the FTSE 10+ year government bond country indices. We have verified that the average maturity of these indices is generally close to 20 years. For the US, DMS has been using the Ibbotson Associates’ long bond index for 1927 to present, which were constructed with an approximate 20</w:t>
      </w:r>
      <w:r w:rsidR="003F277A">
        <w:t>-</w:t>
      </w:r>
      <w:r w:rsidRPr="00FE697B">
        <w:t>year maturity.</w:t>
      </w:r>
    </w:p>
  </w:footnote>
  <w:footnote w:id="24">
    <w:p w14:paraId="37815CC5" w14:textId="2BA3AA64" w:rsidR="00915EC0" w:rsidRDefault="00915EC0">
      <w:pPr>
        <w:pStyle w:val="FootnoteText"/>
      </w:pPr>
      <w:r>
        <w:rPr>
          <w:rStyle w:val="FootnoteReference"/>
        </w:rPr>
        <w:footnoteRef/>
      </w:r>
      <w:r>
        <w:t xml:space="preserve"> </w:t>
      </w:r>
      <w:r>
        <w:tab/>
        <w:t xml:space="preserve">See </w:t>
      </w:r>
      <w:r w:rsidR="00286324">
        <w:t>National Bank of Georgia</w:t>
      </w:r>
      <w:r>
        <w:t xml:space="preserve">, </w:t>
      </w:r>
      <w:r w:rsidR="00286324">
        <w:t>Government Yield Curve</w:t>
      </w:r>
      <w:r>
        <w:t xml:space="preserve">, available at: </w:t>
      </w:r>
      <w:hyperlink r:id="rId3" w:history="1">
        <w:r w:rsidR="00286324" w:rsidRPr="00286324">
          <w:rPr>
            <w:rStyle w:val="Hyperlink"/>
          </w:rPr>
          <w:t>https://nbg.gov.ge/en/page/georgian-lari-yield-curve</w:t>
        </w:r>
      </w:hyperlink>
      <w:r w:rsidR="00286324">
        <w:t xml:space="preserve"> </w:t>
      </w:r>
      <w:r w:rsidR="00190F68">
        <w:t>(</w:t>
      </w:r>
      <w:r w:rsidR="00286324">
        <w:t xml:space="preserve">last </w:t>
      </w:r>
      <w:r w:rsidR="00286324" w:rsidRPr="009606A0">
        <w:t>accessed on 15 October 2025</w:t>
      </w:r>
      <w:r w:rsidR="00190F68">
        <w:t>)</w:t>
      </w:r>
      <w:r w:rsidRPr="009606A0">
        <w:t>.</w:t>
      </w:r>
    </w:p>
  </w:footnote>
  <w:footnote w:id="25">
    <w:p w14:paraId="75B2E6F2" w14:textId="66316C8F" w:rsidR="00DC49D0" w:rsidRDefault="00DC49D0">
      <w:pPr>
        <w:pStyle w:val="FootnoteText"/>
      </w:pPr>
      <w:r>
        <w:rPr>
          <w:rStyle w:val="FootnoteReference"/>
        </w:rPr>
        <w:footnoteRef/>
      </w:r>
      <w:r>
        <w:t xml:space="preserve"> </w:t>
      </w:r>
      <w:r>
        <w:tab/>
      </w:r>
      <w:r w:rsidR="004A3387">
        <w:t xml:space="preserve">The DMS dataset, which BEREC acquires from Morningstar, </w:t>
      </w:r>
      <w:r w:rsidR="0061582F">
        <w:t xml:space="preserve">provides </w:t>
      </w:r>
      <w:r w:rsidR="00B15EA7">
        <w:t>annual returns on equities and bonds across countries from 1900.</w:t>
      </w:r>
      <w:r w:rsidR="00C47E56">
        <w:t xml:space="preserve"> See BEREC’s 2025 Report, fn 21 and </w:t>
      </w:r>
      <w:r w:rsidR="00CC61A8">
        <w:t>p. 64.</w:t>
      </w:r>
      <w:r w:rsidR="002211C3">
        <w:t xml:space="preserve"> </w:t>
      </w:r>
    </w:p>
  </w:footnote>
  <w:footnote w:id="26">
    <w:p w14:paraId="2138531B" w14:textId="77777777" w:rsidR="00D37352" w:rsidRPr="002A0656" w:rsidRDefault="00D37352" w:rsidP="00D37352">
      <w:pPr>
        <w:pStyle w:val="FootnoteText"/>
      </w:pPr>
      <w:r>
        <w:rPr>
          <w:rStyle w:val="FootnoteReference"/>
        </w:rPr>
        <w:footnoteRef/>
      </w:r>
      <w:r>
        <w:t xml:space="preserve"> </w:t>
      </w:r>
      <w:r w:rsidRPr="002A0656">
        <w:tab/>
        <w:t>Such countries are: Iceland, Bulgaria, Croatia, Cyprus, Czechia, Estonia, Hungary, Latvia, Lithuania, Luxembourg, Malta, Poland, Romania, Slovakia and Slovenia.</w:t>
      </w:r>
    </w:p>
  </w:footnote>
  <w:footnote w:id="27">
    <w:p w14:paraId="08D90190" w14:textId="77777777" w:rsidR="00D37352" w:rsidRPr="00F96B3E" w:rsidRDefault="00D37352" w:rsidP="00D37352">
      <w:pPr>
        <w:pStyle w:val="FootnoteText"/>
      </w:pPr>
      <w:r>
        <w:rPr>
          <w:rStyle w:val="FootnoteReference"/>
        </w:rPr>
        <w:footnoteRef/>
      </w:r>
      <w:r>
        <w:t xml:space="preserve"> </w:t>
      </w:r>
      <w:r>
        <w:tab/>
        <w:t xml:space="preserve">BEREC’s 2025 report, </w:t>
      </w:r>
      <w:r w:rsidRPr="00E90C6C">
        <w:rPr>
          <w:b/>
          <w:bCs/>
        </w:rPr>
        <w:t>§</w:t>
      </w:r>
      <w:r>
        <w:rPr>
          <w:b/>
          <w:bCs/>
        </w:rPr>
        <w:t xml:space="preserve"> </w:t>
      </w:r>
      <w:r>
        <w:t xml:space="preserve">6. </w:t>
      </w:r>
    </w:p>
  </w:footnote>
  <w:footnote w:id="28">
    <w:p w14:paraId="78D0CB8D" w14:textId="0B038C77" w:rsidR="00915EC0" w:rsidRPr="00515B03" w:rsidRDefault="00915EC0" w:rsidP="007E49CB">
      <w:pPr>
        <w:pStyle w:val="FootnoteText"/>
      </w:pPr>
      <w:r w:rsidRPr="007E49CB">
        <w:rPr>
          <w:rStyle w:val="FootnoteReference"/>
        </w:rPr>
        <w:footnoteRef/>
      </w:r>
      <w:r w:rsidRPr="007E49CB">
        <w:t xml:space="preserve"> </w:t>
      </w:r>
      <w:r w:rsidRPr="007E49CB">
        <w:tab/>
      </w:r>
      <w:r w:rsidRPr="00977F8D">
        <w:t>Credit Suisse Global Investment Returns Sourcebook 202</w:t>
      </w:r>
      <w:r w:rsidR="00564AE8" w:rsidRPr="00977F8D">
        <w:t>5</w:t>
      </w:r>
      <w:r w:rsidRPr="00977F8D">
        <w:t xml:space="preserve">, Table </w:t>
      </w:r>
      <w:r w:rsidR="00977F8D" w:rsidRPr="00977F8D">
        <w:t>12</w:t>
      </w:r>
      <w:r w:rsidRPr="00977F8D">
        <w:t>.</w:t>
      </w:r>
    </w:p>
  </w:footnote>
  <w:footnote w:id="29">
    <w:p w14:paraId="224B3264" w14:textId="77777777" w:rsidR="00D273C6" w:rsidRPr="00CD4EE4" w:rsidRDefault="00D273C6" w:rsidP="00D273C6">
      <w:pPr>
        <w:pStyle w:val="FootnoteText"/>
      </w:pPr>
      <w:r>
        <w:rPr>
          <w:rStyle w:val="FootnoteReference"/>
        </w:rPr>
        <w:footnoteRef/>
      </w:r>
      <w:r>
        <w:t xml:space="preserve"> </w:t>
      </w:r>
      <w:r>
        <w:tab/>
        <w:t>This group includes: Austria, Belgium, Denmark, Finland, France, Germany, Ireland, Italy, The Netherlands, Norway, Portugal, Spain, Sweden, Switzerland, The United Kingdom and Greece.</w:t>
      </w:r>
    </w:p>
  </w:footnote>
  <w:footnote w:id="30">
    <w:p w14:paraId="692AF7E1" w14:textId="0ABBCC17" w:rsidR="004D69A4" w:rsidRPr="002A0656" w:rsidRDefault="004D69A4">
      <w:pPr>
        <w:pStyle w:val="FootnoteText"/>
      </w:pPr>
      <w:r>
        <w:rPr>
          <w:rStyle w:val="FootnoteReference"/>
        </w:rPr>
        <w:footnoteRef/>
      </w:r>
      <w:r>
        <w:t xml:space="preserve"> </w:t>
      </w:r>
      <w:r w:rsidRPr="002A0656">
        <w:tab/>
        <w:t xml:space="preserve">Systematic risk is risk that is correlated with the broader economy, and that an </w:t>
      </w:r>
      <w:r w:rsidR="00606BDB" w:rsidRPr="002A0656">
        <w:t>i</w:t>
      </w:r>
      <w:r w:rsidRPr="002A0656">
        <w:t>nvestor cannot eliminate through diver</w:t>
      </w:r>
      <w:r w:rsidR="00606BDB" w:rsidRPr="002A0656">
        <w:t xml:space="preserve">sification. </w:t>
      </w:r>
      <w:r w:rsidR="001E7A23" w:rsidRPr="002A0656">
        <w:t>This contrasts with firm specific or idiosyncratic risk</w:t>
      </w:r>
      <w:r w:rsidR="00E075C9" w:rsidRPr="002A0656">
        <w:t xml:space="preserve">. Examples of idiosyncratic risk include </w:t>
      </w:r>
      <w:r w:rsidR="002C4641" w:rsidRPr="002A0656">
        <w:t xml:space="preserve">losses from </w:t>
      </w:r>
      <w:r w:rsidR="00E075C9" w:rsidRPr="002A0656">
        <w:t xml:space="preserve">electricity outages, or cost overruns for a project. Investors can convert </w:t>
      </w:r>
      <w:r w:rsidR="00D519A0" w:rsidRPr="002A0656">
        <w:t xml:space="preserve">an idiosyncratic risk into a near certainty by holding a diverse portfolio of stocks. </w:t>
      </w:r>
      <w:r w:rsidR="009D3094" w:rsidRPr="002A0656">
        <w:t xml:space="preserve">Idiosyncratic risks still affect a firm’s cash flows, but over a wide portfolio they do so in a predictable way. </w:t>
      </w:r>
      <w:r w:rsidR="00D519A0" w:rsidRPr="002A0656">
        <w:t xml:space="preserve">Because investors can </w:t>
      </w:r>
      <w:r w:rsidR="00CA4357" w:rsidRPr="002A0656">
        <w:t xml:space="preserve">essentially eliminate idiosyncratic risk, they do not need to be compensated for it, and so it plays no role in determining the cost of equity. </w:t>
      </w:r>
    </w:p>
  </w:footnote>
  <w:footnote w:id="31">
    <w:p w14:paraId="42ADAF1E" w14:textId="5E436777" w:rsidR="004C2C2A" w:rsidRDefault="004C2C2A" w:rsidP="004C2C2A">
      <w:pPr>
        <w:pStyle w:val="FootnoteText"/>
      </w:pPr>
      <w:r>
        <w:rPr>
          <w:rStyle w:val="FootnoteReference"/>
        </w:rPr>
        <w:footnoteRef/>
      </w:r>
      <w:r>
        <w:t xml:space="preserve"> </w:t>
      </w:r>
      <w:r>
        <w:tab/>
        <w:t>PwC 2020 report</w:t>
      </w:r>
      <w:r w:rsidR="00BF1FBC">
        <w:t>, p. 13</w:t>
      </w:r>
      <w:r>
        <w:t>.</w:t>
      </w:r>
    </w:p>
  </w:footnote>
  <w:footnote w:id="32">
    <w:p w14:paraId="43304C20" w14:textId="388045F2" w:rsidR="004C2C2A" w:rsidRDefault="004C2C2A" w:rsidP="004C2C2A">
      <w:pPr>
        <w:pStyle w:val="FootnoteText"/>
      </w:pPr>
      <w:r>
        <w:rPr>
          <w:rStyle w:val="FootnoteReference"/>
        </w:rPr>
        <w:footnoteRef/>
      </w:r>
      <w:r>
        <w:t xml:space="preserve"> </w:t>
      </w:r>
      <w:r>
        <w:tab/>
        <w:t>BEREC’s 2025 report</w:t>
      </w:r>
      <w:r w:rsidR="000E6D66">
        <w:t>, p. 24</w:t>
      </w:r>
      <w:r>
        <w:t>.</w:t>
      </w:r>
    </w:p>
  </w:footnote>
  <w:footnote w:id="33">
    <w:p w14:paraId="651E515E" w14:textId="06C45D85" w:rsidR="00505083" w:rsidRPr="00505083" w:rsidRDefault="00505083">
      <w:pPr>
        <w:pStyle w:val="FootnoteText"/>
      </w:pPr>
      <w:r>
        <w:rPr>
          <w:rStyle w:val="FootnoteReference"/>
        </w:rPr>
        <w:footnoteRef/>
      </w:r>
      <w:r>
        <w:t xml:space="preserve"> </w:t>
      </w:r>
      <w:r>
        <w:tab/>
        <w:t>See</w:t>
      </w:r>
      <w:r w:rsidR="00617F85">
        <w:t>,</w:t>
      </w:r>
      <w:r>
        <w:t xml:space="preserve"> for example</w:t>
      </w:r>
      <w:r w:rsidR="00617F85">
        <w:t>,</w:t>
      </w:r>
      <w:r w:rsidDel="006E78BA">
        <w:t xml:space="preserve"> </w:t>
      </w:r>
      <w:r w:rsidR="00DC538D">
        <w:t xml:space="preserve">The Brattle Group, “Beta </w:t>
      </w:r>
      <w:r w:rsidR="00D1083E">
        <w:t>and ERP for the Heating Companies in the Netherlands”</w:t>
      </w:r>
      <w:r w:rsidR="00256179">
        <w:t>, 8 May 2025, prepared for the ACM</w:t>
      </w:r>
      <w:r w:rsidR="00B06BCA">
        <w:t xml:space="preserve">; and </w:t>
      </w:r>
      <w:r w:rsidR="00D149A3">
        <w:t>The Brattle Group, “</w:t>
      </w:r>
      <w:r w:rsidR="00254548">
        <w:t>Cost of Capital: Beta and Gearing for WFTMR 2021</w:t>
      </w:r>
      <w:r w:rsidR="00D149A3">
        <w:t xml:space="preserve">”, </w:t>
      </w:r>
      <w:r w:rsidR="00254548">
        <w:t>12</w:t>
      </w:r>
      <w:r w:rsidR="00D149A3">
        <w:t xml:space="preserve"> </w:t>
      </w:r>
      <w:r w:rsidR="00254548">
        <w:t>March</w:t>
      </w:r>
      <w:r w:rsidR="00D149A3">
        <w:t xml:space="preserve"> 202</w:t>
      </w:r>
      <w:r w:rsidR="00254548">
        <w:t>1</w:t>
      </w:r>
      <w:r w:rsidR="00D149A3">
        <w:t>, prepared for Ofcom.</w:t>
      </w:r>
    </w:p>
  </w:footnote>
  <w:footnote w:id="34">
    <w:p w14:paraId="586661C3" w14:textId="0F7D7A7A" w:rsidR="00A44E8E" w:rsidRPr="00DB672C" w:rsidRDefault="00A44E8E" w:rsidP="00A44E8E">
      <w:pPr>
        <w:pStyle w:val="FootnoteText"/>
      </w:pPr>
      <w:r>
        <w:rPr>
          <w:rStyle w:val="FootnoteReference"/>
        </w:rPr>
        <w:footnoteRef/>
      </w:r>
      <w:r>
        <w:t xml:space="preserve"> </w:t>
      </w:r>
      <w:r>
        <w:tab/>
        <w:t xml:space="preserve">See Liberty Global, “Liberty Global acquires 100% of Telenet following simplified squeeze-out,” 16 October 2023, available at: </w:t>
      </w:r>
      <w:hyperlink r:id="rId4" w:history="1">
        <w:r w:rsidRPr="00482527">
          <w:rPr>
            <w:rStyle w:val="Hyperlink"/>
          </w:rPr>
          <w:t>https://www.libertyglobal.com/liberty-global-acquires-100-of-telenet-following-simplified-squeeze-out/</w:t>
        </w:r>
      </w:hyperlink>
      <w:r>
        <w:t>.</w:t>
      </w:r>
    </w:p>
  </w:footnote>
  <w:footnote w:id="35">
    <w:p w14:paraId="046F0169" w14:textId="0074CEBE" w:rsidR="006378AC" w:rsidRPr="006378AC" w:rsidRDefault="006378AC">
      <w:pPr>
        <w:pStyle w:val="FootnoteText"/>
      </w:pPr>
      <w:r>
        <w:rPr>
          <w:rStyle w:val="FootnoteReference"/>
        </w:rPr>
        <w:footnoteRef/>
      </w:r>
      <w:r>
        <w:t xml:space="preserve"> </w:t>
      </w:r>
      <w:r>
        <w:tab/>
        <w:t>In other work, we have considered that seven to ten peers should be sufficient to give a reliable beta estimate. Of course, there is always a trade</w:t>
      </w:r>
      <w:r w:rsidR="00582EC8">
        <w:t>-</w:t>
      </w:r>
      <w:r>
        <w:t xml:space="preserve">off between a larger number of peers, and whether the peers in the sample accurately reflect the business for which we are estimating a beta. </w:t>
      </w:r>
      <w:r w:rsidR="00FF0D05">
        <w:t>Arguably, it is better to have a small sample of firms that are engaged in the relevant business than a larger sample of firms that derive significant revenue from businesses that differ from the one for which we are estimating beta.</w:t>
      </w:r>
    </w:p>
  </w:footnote>
  <w:footnote w:id="36">
    <w:p w14:paraId="4F187732" w14:textId="139D32FB" w:rsidR="00D238BA" w:rsidRPr="00513374" w:rsidRDefault="00D238BA" w:rsidP="00D238BA">
      <w:pPr>
        <w:pStyle w:val="FootnoteText"/>
      </w:pPr>
      <w:r>
        <w:rPr>
          <w:rStyle w:val="FootnoteReference"/>
        </w:rPr>
        <w:footnoteRef/>
      </w:r>
      <w:r w:rsidR="00E9060C">
        <w:t xml:space="preserve"> </w:t>
      </w:r>
      <w:r w:rsidR="00E9060C">
        <w:tab/>
      </w:r>
      <w:r w:rsidR="00BC1BE4" w:rsidRPr="002A0656">
        <w:t xml:space="preserve">To understand why this is true, for example, consider a firm with a true beta of 1.0, so that the firm’s true value moves exactly in line with the market. Now suppose that the firm’s shares are traded only every other day. In this case, the firm’s actual share price will only react to news the day after the market reacts. This will give the impression that the firm’s value is not well correlated with the market, and the beta will appear to be less than one. Using weekly returns to calculate the beta mitigates this problem, since it is more likely that the firm’s shares will be traded in the week. However, using weekly returns have other disadvantages, such as providing 80% less data points over any given period.  </w:t>
      </w:r>
    </w:p>
  </w:footnote>
  <w:footnote w:id="37">
    <w:p w14:paraId="4E6A28DE" w14:textId="0DCAAFA7" w:rsidR="00DC6132" w:rsidRPr="00DC6132" w:rsidRDefault="00DC6132">
      <w:pPr>
        <w:pStyle w:val="FootnoteText"/>
      </w:pPr>
      <w:r>
        <w:rPr>
          <w:rStyle w:val="FootnoteReference"/>
        </w:rPr>
        <w:footnoteRef/>
      </w:r>
      <w:r>
        <w:t xml:space="preserve"> </w:t>
      </w:r>
      <w:r>
        <w:tab/>
      </w:r>
      <w:r w:rsidR="005E7CE4" w:rsidRPr="005E7CE4">
        <w:t xml:space="preserve">The Dimson test </w:t>
      </w:r>
      <w:r w:rsidR="005E7CE4">
        <w:t>has been developed by E</w:t>
      </w:r>
      <w:r w:rsidR="001B68EB">
        <w:t xml:space="preserve">lroy Dimson to </w:t>
      </w:r>
      <w:r w:rsidR="005E7CE4" w:rsidRPr="005E7CE4">
        <w:t>provide a consistent estimate of a</w:t>
      </w:r>
      <w:r w:rsidR="00A35BE4">
        <w:t xml:space="preserve"> company’s beta</w:t>
      </w:r>
      <w:r w:rsidR="005E7CE4" w:rsidRPr="005E7CE4">
        <w:t xml:space="preserve"> when returns are distorted by infrequent or non-synchronous trading. Dimson (1979</w:t>
      </w:r>
      <w:r w:rsidR="000B037A">
        <w:t>)</w:t>
      </w:r>
      <w:r w:rsidR="001B68EB">
        <w:t xml:space="preserve"> shows that</w:t>
      </w:r>
      <w:r w:rsidR="005E7CE4" w:rsidRPr="005E7CE4">
        <w:t xml:space="preserve"> observed returns may reflect market movements from several preceding or subsequent periods, which causes standard beta estimates to be biased. The Dimson approach corrects this by regressing the security’s return on lagged, contemporaneous, and leading market returns, and then </w:t>
      </w:r>
      <w:r w:rsidR="005E7CE4" w:rsidRPr="000B037A">
        <w:t>aggregating all resulting slope coefficients</w:t>
      </w:r>
      <w:r w:rsidR="00DA45EF">
        <w:t xml:space="preserve"> to obtain a consistent beta estimate</w:t>
      </w:r>
      <w:r w:rsidR="005E7CE4" w:rsidRPr="005E7CE4">
        <w:t>.</w:t>
      </w:r>
      <w:r w:rsidR="00A66EBB">
        <w:t xml:space="preserve"> </w:t>
      </w:r>
      <w:r w:rsidR="00A66EBB" w:rsidRPr="00A66EBB">
        <w:t xml:space="preserve">Dimson, Elroy (1979). </w:t>
      </w:r>
      <w:r w:rsidR="00A66EBB" w:rsidRPr="00A66EBB">
        <w:rPr>
          <w:i/>
          <w:iCs/>
        </w:rPr>
        <w:t>“Risk Measurement When Shares Are Subject to Infrequent Trading.”</w:t>
      </w:r>
      <w:r w:rsidR="00A66EBB" w:rsidRPr="00A66EBB">
        <w:t xml:space="preserve"> Journal of Financial Economics, 7(2), 197–226.</w:t>
      </w:r>
    </w:p>
  </w:footnote>
  <w:footnote w:id="38">
    <w:p w14:paraId="4895EB12" w14:textId="77777777" w:rsidR="00104602" w:rsidRPr="00A71E43" w:rsidRDefault="00104602" w:rsidP="00104602">
      <w:pPr>
        <w:pStyle w:val="FootnoteText"/>
      </w:pPr>
      <w:r>
        <w:rPr>
          <w:rStyle w:val="FootnoteReference"/>
        </w:rPr>
        <w:footnoteRef/>
      </w:r>
      <w:r>
        <w:t xml:space="preserve"> </w:t>
      </w:r>
      <w:r>
        <w:tab/>
        <w:t xml:space="preserve">We </w:t>
      </w:r>
      <w:r w:rsidRPr="00A71E43">
        <w:t xml:space="preserve">use the </w:t>
      </w:r>
      <w:r>
        <w:t>two</w:t>
      </w:r>
      <w:r w:rsidRPr="00A71E43">
        <w:t xml:space="preserve">-year period </w:t>
      </w:r>
      <w:r>
        <w:t>1 October</w:t>
      </w:r>
      <w:r w:rsidRPr="00A71E43">
        <w:t xml:space="preserve"> 20</w:t>
      </w:r>
      <w:r>
        <w:t>23</w:t>
      </w:r>
      <w:r w:rsidRPr="00A71E43">
        <w:t xml:space="preserve"> through </w:t>
      </w:r>
      <w:r>
        <w:t>30 September 2025 and the five-year period</w:t>
      </w:r>
      <w:r w:rsidRPr="00A71E43">
        <w:t xml:space="preserve"> </w:t>
      </w:r>
      <w:r>
        <w:t>1 October</w:t>
      </w:r>
      <w:r w:rsidRPr="00A71E43">
        <w:t xml:space="preserve"> 20</w:t>
      </w:r>
      <w:r>
        <w:t>20</w:t>
      </w:r>
      <w:r w:rsidRPr="00A71E43">
        <w:t xml:space="preserve"> through </w:t>
      </w:r>
      <w:r>
        <w:t xml:space="preserve">30 September 2025 </w:t>
      </w:r>
      <w:r w:rsidRPr="00A71E43">
        <w:t>as our estimation window</w:t>
      </w:r>
      <w:r>
        <w:t>s</w:t>
      </w:r>
      <w:r w:rsidRPr="00A71E43">
        <w:t xml:space="preserve"> for the beta of all firms on the peer group</w:t>
      </w:r>
      <w:r>
        <w:t>.</w:t>
      </w:r>
    </w:p>
  </w:footnote>
  <w:footnote w:id="39">
    <w:p w14:paraId="28EA9CA3" w14:textId="10EFF7FD" w:rsidR="006D22FA" w:rsidRDefault="006D22FA">
      <w:pPr>
        <w:pStyle w:val="FootnoteText"/>
      </w:pPr>
      <w:r>
        <w:rPr>
          <w:rStyle w:val="FootnoteReference"/>
        </w:rPr>
        <w:footnoteRef/>
      </w:r>
      <w:r>
        <w:t xml:space="preserve"> </w:t>
      </w:r>
      <w:r>
        <w:tab/>
      </w:r>
      <w:r w:rsidR="0008754F">
        <w:t xml:space="preserve">We use the STOXX Europe TMI index specifically for European companies as </w:t>
      </w:r>
      <w:r w:rsidR="0039250D">
        <w:t>suggested by the EC Notice on WACC, ¶</w:t>
      </w:r>
      <w:r w:rsidR="00CB4AC9">
        <w:t>46</w:t>
      </w:r>
      <w:r w:rsidR="009C5B3E">
        <w:t>.</w:t>
      </w:r>
    </w:p>
  </w:footnote>
  <w:footnote w:id="40">
    <w:p w14:paraId="298FA8E4" w14:textId="032DFD3B" w:rsidR="00ED2C57" w:rsidRPr="002A0656" w:rsidRDefault="00ED2C57">
      <w:pPr>
        <w:pStyle w:val="FootnoteText"/>
      </w:pPr>
      <w:r>
        <w:rPr>
          <w:rStyle w:val="FootnoteReference"/>
        </w:rPr>
        <w:footnoteRef/>
      </w:r>
      <w:r>
        <w:t xml:space="preserve"> </w:t>
      </w:r>
      <w:r>
        <w:tab/>
      </w:r>
      <w:r w:rsidRPr="00ED2C57">
        <w:t xml:space="preserve">We note that using a local Georgian market index to calculate beta would not be appropriate. This is because a typical investor in a Georgian telecoms company would also hold a range of investment outside of Georgia. That is, they would be more diversified than only investing </w:t>
      </w:r>
      <w:r>
        <w:t>i</w:t>
      </w:r>
      <w:r w:rsidRPr="00ED2C57">
        <w:t>n the Georgian stock exchange. Hence the investor would be concerned about the correlation of returns in the Georgian telecoms firm and the returns on a much broader market index – not only a Georgian market index.</w:t>
      </w:r>
    </w:p>
  </w:footnote>
  <w:footnote w:id="41">
    <w:p w14:paraId="63DF13BE" w14:textId="65BDD93E" w:rsidR="00976374" w:rsidRDefault="00976374">
      <w:pPr>
        <w:pStyle w:val="FootnoteText"/>
      </w:pPr>
      <w:r>
        <w:rPr>
          <w:rStyle w:val="FootnoteReference"/>
        </w:rPr>
        <w:footnoteRef/>
      </w:r>
      <w:r>
        <w:t xml:space="preserve"> </w:t>
      </w:r>
      <w:r>
        <w:tab/>
        <w:t xml:space="preserve">See EC Notice on WACC, ¶48 and BEREC’s 2025 Report, </w:t>
      </w:r>
      <w:r w:rsidR="00400997">
        <w:t>p. 64.</w:t>
      </w:r>
    </w:p>
  </w:footnote>
  <w:footnote w:id="42">
    <w:p w14:paraId="2A266A47" w14:textId="07C53477" w:rsidR="00CC7F5A" w:rsidRPr="002A0656" w:rsidRDefault="00CC7F5A">
      <w:pPr>
        <w:pStyle w:val="FootnoteText"/>
      </w:pPr>
      <w:r>
        <w:rPr>
          <w:rStyle w:val="FootnoteReference"/>
        </w:rPr>
        <w:footnoteRef/>
      </w:r>
      <w:r>
        <w:t xml:space="preserve"> </w:t>
      </w:r>
      <w:r w:rsidRPr="002A0656">
        <w:tab/>
      </w:r>
      <w:r w:rsidR="00CB41A3" w:rsidRPr="002A0656">
        <w:t>See EC Notice on WACC, ¶</w:t>
      </w:r>
      <w:r w:rsidR="009100F5" w:rsidRPr="002A0656">
        <w:t xml:space="preserve">49. </w:t>
      </w:r>
      <w:r w:rsidRPr="002A0656">
        <w:t>Also,</w:t>
      </w:r>
      <w:r w:rsidR="00E907A2" w:rsidRPr="002A0656">
        <w:t xml:space="preserve"> and i</w:t>
      </w:r>
      <w:r w:rsidRPr="003143EA">
        <w:t>mportantly, selecting a lower value of the debt beta for companies with the highest rating would not affect the median asset beta</w:t>
      </w:r>
      <w:r w:rsidR="003143EA" w:rsidRPr="003143EA">
        <w:t>.</w:t>
      </w:r>
    </w:p>
  </w:footnote>
  <w:footnote w:id="43">
    <w:p w14:paraId="6B3B3AF1" w14:textId="25C2D639" w:rsidR="00301999" w:rsidRPr="002A0656" w:rsidRDefault="00301999">
      <w:pPr>
        <w:pStyle w:val="FootnoteText"/>
      </w:pPr>
      <w:r>
        <w:rPr>
          <w:rStyle w:val="FootnoteReference"/>
        </w:rPr>
        <w:footnoteRef/>
      </w:r>
      <w:r>
        <w:t xml:space="preserve"> </w:t>
      </w:r>
      <w:r w:rsidRPr="002A0656">
        <w:tab/>
        <w:t>Data as of 2023 from the United Nations.</w:t>
      </w:r>
    </w:p>
  </w:footnote>
  <w:footnote w:id="44">
    <w:p w14:paraId="34158B7B" w14:textId="429D4D5F" w:rsidR="00301999" w:rsidRPr="00301999" w:rsidRDefault="00301999">
      <w:pPr>
        <w:pStyle w:val="FootnoteText"/>
      </w:pPr>
      <w:r>
        <w:rPr>
          <w:rStyle w:val="FootnoteReference"/>
        </w:rPr>
        <w:footnoteRef/>
      </w:r>
      <w:r>
        <w:t xml:space="preserve"> </w:t>
      </w:r>
      <w:r>
        <w:tab/>
      </w:r>
      <w:r w:rsidR="00613F3A">
        <w:t>Data as of 2021 from the United Nations</w:t>
      </w:r>
      <w:r w:rsidR="00A053C7">
        <w:t>.</w:t>
      </w:r>
    </w:p>
  </w:footnote>
  <w:footnote w:id="45">
    <w:p w14:paraId="32B14BF6" w14:textId="5EBA6F7F" w:rsidR="00301999" w:rsidRPr="002A0656" w:rsidRDefault="00301999">
      <w:pPr>
        <w:pStyle w:val="FootnoteText"/>
      </w:pPr>
      <w:r>
        <w:rPr>
          <w:rStyle w:val="FootnoteReference"/>
        </w:rPr>
        <w:footnoteRef/>
      </w:r>
      <w:r>
        <w:t xml:space="preserve"> </w:t>
      </w:r>
      <w:r w:rsidRPr="002A0656">
        <w:tab/>
        <w:t>D</w:t>
      </w:r>
      <w:r>
        <w:rPr>
          <w:rFonts w:cstheme="minorHAnsi"/>
        </w:rPr>
        <w:t>ata as of 2024 from the World Bank.</w:t>
      </w:r>
    </w:p>
  </w:footnote>
  <w:footnote w:id="46">
    <w:p w14:paraId="309E25D7" w14:textId="0FCE247A" w:rsidR="00EB5170" w:rsidRPr="002A0656" w:rsidRDefault="00EB5170">
      <w:pPr>
        <w:pStyle w:val="FootnoteText"/>
      </w:pPr>
      <w:r>
        <w:rPr>
          <w:rStyle w:val="FootnoteReference"/>
        </w:rPr>
        <w:footnoteRef/>
      </w:r>
      <w:r>
        <w:t xml:space="preserve"> </w:t>
      </w:r>
      <w:r w:rsidRPr="002A0656">
        <w:tab/>
        <w:t xml:space="preserve">We note that </w:t>
      </w:r>
      <w:r w:rsidR="00844B3A" w:rsidRPr="002A0656">
        <w:t>despite</w:t>
      </w:r>
      <w:r w:rsidRPr="002A0656">
        <w:t xml:space="preserve"> a relatively small sample size – only 2</w:t>
      </w:r>
      <w:r w:rsidR="00F50278" w:rsidRPr="002A0656">
        <w:t>0</w:t>
      </w:r>
      <w:r w:rsidRPr="002A0656">
        <w:t xml:space="preserve"> </w:t>
      </w:r>
      <w:r w:rsidR="00844B3A" w:rsidRPr="002A0656">
        <w:t>observations</w:t>
      </w:r>
      <w:r w:rsidRPr="002A0656">
        <w:t xml:space="preserve"> – the regression we are estimating is </w:t>
      </w:r>
      <w:r w:rsidR="00D01BC3" w:rsidRPr="002A0656">
        <w:t xml:space="preserve">relatively simple, with at most three coefficients to be estimated. </w:t>
      </w:r>
      <w:r w:rsidR="0006749F" w:rsidRPr="002A0656">
        <w:t>Therefore, if a m</w:t>
      </w:r>
      <w:r w:rsidR="007343A1" w:rsidRPr="002A0656">
        <w:t>aterial</w:t>
      </w:r>
      <w:r w:rsidR="0006749F" w:rsidRPr="002A0656">
        <w:t xml:space="preserve"> relationship between </w:t>
      </w:r>
      <w:r w:rsidR="007343A1" w:rsidRPr="002A0656">
        <w:t xml:space="preserve">country size and systematic risk </w:t>
      </w:r>
      <w:r w:rsidR="00CE7B79" w:rsidRPr="002A0656">
        <w:t xml:space="preserve">existed, then we should expect to find at least </w:t>
      </w:r>
      <w:r w:rsidR="000C5583" w:rsidRPr="002A0656">
        <w:t>some weak</w:t>
      </w:r>
      <w:r w:rsidR="004F0A17" w:rsidRPr="002A0656">
        <w:t xml:space="preserve"> significance of one of the parameters</w:t>
      </w:r>
      <w:r w:rsidR="000C5583" w:rsidRPr="002A0656">
        <w:t xml:space="preserve">, for example at the 90% level – with a p-value lower than </w:t>
      </w:r>
      <w:r w:rsidR="00497ED1" w:rsidRPr="002A0656">
        <w:t>0.1.</w:t>
      </w:r>
      <w:r w:rsidR="007343A1" w:rsidRPr="002A0656">
        <w:t xml:space="preserve">  </w:t>
      </w:r>
    </w:p>
  </w:footnote>
  <w:footnote w:id="47">
    <w:p w14:paraId="6766F1B9" w14:textId="70BF6386" w:rsidR="00497ED1" w:rsidRPr="002A0656" w:rsidRDefault="00497ED1">
      <w:pPr>
        <w:pStyle w:val="FootnoteText"/>
      </w:pPr>
      <w:r>
        <w:rPr>
          <w:rStyle w:val="FootnoteReference"/>
        </w:rPr>
        <w:footnoteRef/>
      </w:r>
      <w:r>
        <w:t xml:space="preserve"> </w:t>
      </w:r>
      <w:r w:rsidR="00703386" w:rsidRPr="002A0656">
        <w:tab/>
        <w:t xml:space="preserve">We have also run simpler regressions excluding one or two of the regressors, all leading to </w:t>
      </w:r>
      <w:r w:rsidR="00E96E96" w:rsidRPr="002A0656">
        <w:t xml:space="preserve">estimates that were not </w:t>
      </w:r>
      <w:r w:rsidR="00703386" w:rsidRPr="002A0656">
        <w:t>statistically significant.</w:t>
      </w:r>
    </w:p>
  </w:footnote>
  <w:footnote w:id="48">
    <w:p w14:paraId="4117C4EA" w14:textId="70B5FB07" w:rsidR="00DC5888" w:rsidRDefault="00DC5888" w:rsidP="00DC5888">
      <w:pPr>
        <w:pStyle w:val="FootnoteText"/>
      </w:pPr>
      <w:r>
        <w:rPr>
          <w:rStyle w:val="FootnoteReference"/>
        </w:rPr>
        <w:footnoteRef/>
      </w:r>
      <w:r>
        <w:t xml:space="preserve"> </w:t>
      </w:r>
      <w:r>
        <w:tab/>
        <w:t>PwC 2020 Report, p. 19</w:t>
      </w:r>
      <w:r w:rsidR="000F7FC7">
        <w:t>.</w:t>
      </w:r>
    </w:p>
  </w:footnote>
  <w:footnote w:id="49">
    <w:p w14:paraId="23027EC6" w14:textId="77777777" w:rsidR="00BB4346" w:rsidRDefault="00BB4346" w:rsidP="00BB4346">
      <w:pPr>
        <w:pStyle w:val="FootnoteText"/>
      </w:pPr>
      <w:r>
        <w:rPr>
          <w:rStyle w:val="FootnoteReference"/>
        </w:rPr>
        <w:footnoteRef/>
      </w:r>
      <w:r>
        <w:t xml:space="preserve"> </w:t>
      </w:r>
      <w:r>
        <w:tab/>
        <w:t>EC Notice on WACC, ¶5</w:t>
      </w:r>
      <w:r w:rsidR="00010149">
        <w:t>6</w:t>
      </w:r>
      <w:r>
        <w:t>.</w:t>
      </w:r>
    </w:p>
  </w:footnote>
  <w:footnote w:id="50">
    <w:p w14:paraId="3BE3BE8B" w14:textId="31BF2993" w:rsidR="001809C9" w:rsidRDefault="001809C9">
      <w:pPr>
        <w:pStyle w:val="FootnoteText"/>
      </w:pPr>
      <w:r>
        <w:rPr>
          <w:rStyle w:val="FootnoteReference"/>
        </w:rPr>
        <w:footnoteRef/>
      </w:r>
      <w:r>
        <w:t xml:space="preserve"> </w:t>
      </w:r>
      <w:r>
        <w:tab/>
        <w:t xml:space="preserve">BEREC’s 2025 Report, </w:t>
      </w:r>
      <w:r w:rsidR="00571E27">
        <w:t>p</w:t>
      </w:r>
      <w:r w:rsidR="005A3BEB">
        <w:t>p</w:t>
      </w:r>
      <w:r w:rsidR="00571E27">
        <w:t>. 26</w:t>
      </w:r>
      <w:r w:rsidR="005A3BEB">
        <w:t>, 27</w:t>
      </w:r>
      <w:r w:rsidR="00571E27">
        <w:t>.</w:t>
      </w:r>
    </w:p>
  </w:footnote>
  <w:footnote w:id="51">
    <w:p w14:paraId="62D1BCDD" w14:textId="26B3F235" w:rsidR="00A25949" w:rsidRPr="00A25949" w:rsidRDefault="00A25949">
      <w:pPr>
        <w:pStyle w:val="FootnoteText"/>
      </w:pPr>
      <w:r>
        <w:rPr>
          <w:rStyle w:val="FootnoteReference"/>
        </w:rPr>
        <w:footnoteRef/>
      </w:r>
      <w:r>
        <w:t xml:space="preserve"> </w:t>
      </w:r>
      <w:r>
        <w:tab/>
      </w:r>
      <w:r w:rsidRPr="00A25949">
        <w:t xml:space="preserve">Also, the data from the National Bank of Georgia does not distinguish </w:t>
      </w:r>
      <w:r w:rsidRPr="009F25FB">
        <w:t>between loans with different characteristics</w:t>
      </w:r>
      <w:r>
        <w:t xml:space="preserve"> – </w:t>
      </w:r>
      <w:r w:rsidRPr="009F25FB">
        <w:t>such as secured and unsecured instruments.</w:t>
      </w:r>
      <w:r>
        <w:t xml:space="preserve"> I</w:t>
      </w:r>
      <w:r w:rsidRPr="009F25FB">
        <w:t>t is not possible to isolate the interest rates applicable to loans that are comparable to those typically obtained by</w:t>
      </w:r>
      <w:r w:rsidRPr="007C310D">
        <w:t xml:space="preserve"> </w:t>
      </w:r>
      <w:r w:rsidRPr="009F25FB">
        <w:t>Georgian telecom</w:t>
      </w:r>
      <w:r w:rsidR="00C37321">
        <w:t>s</w:t>
      </w:r>
      <w:r w:rsidRPr="009F25FB">
        <w:t xml:space="preserve"> operators.</w:t>
      </w:r>
    </w:p>
  </w:footnote>
  <w:footnote w:id="52">
    <w:p w14:paraId="4FB269B1" w14:textId="5185E971" w:rsidR="003B2B42" w:rsidRPr="003B2B42" w:rsidRDefault="003B2B42">
      <w:pPr>
        <w:pStyle w:val="FootnoteText"/>
      </w:pPr>
      <w:r>
        <w:rPr>
          <w:rStyle w:val="FootnoteReference"/>
        </w:rPr>
        <w:footnoteRef/>
      </w:r>
      <w:r>
        <w:t xml:space="preserve"> </w:t>
      </w:r>
      <w:r>
        <w:tab/>
      </w:r>
      <w:r w:rsidR="00CB283F">
        <w:t xml:space="preserve">Available at: </w:t>
      </w:r>
      <w:hyperlink r:id="rId5" w:history="1">
        <w:r w:rsidR="00154989" w:rsidRPr="00154989">
          <w:rPr>
            <w:rStyle w:val="Hyperlink"/>
          </w:rPr>
          <w:t>https://nbg.gov.ge/en/page/bb-corporate-curve</w:t>
        </w:r>
      </w:hyperlink>
      <w:r w:rsidR="00154989">
        <w:t>.</w:t>
      </w:r>
    </w:p>
  </w:footnote>
  <w:footnote w:id="53">
    <w:p w14:paraId="79E4D19C" w14:textId="77777777" w:rsidR="00E17B9A" w:rsidRPr="002A0656" w:rsidRDefault="00E17B9A" w:rsidP="00E17B9A">
      <w:pPr>
        <w:pStyle w:val="FootnoteText"/>
      </w:pPr>
      <w:r>
        <w:rPr>
          <w:rStyle w:val="FootnoteReference"/>
        </w:rPr>
        <w:footnoteRef/>
      </w:r>
      <w:r>
        <w:t xml:space="preserve"> </w:t>
      </w:r>
      <w:r w:rsidRPr="002A0656">
        <w:tab/>
        <w:t xml:space="preserve">See Scope Ratings, “Scope assigns BB-/Stable issuer rating to </w:t>
      </w:r>
      <w:r w:rsidRPr="00002C7A">
        <w:t>Cel</w:t>
      </w:r>
      <w:r>
        <w:t>l</w:t>
      </w:r>
      <w:r w:rsidRPr="00002C7A">
        <w:t>fie</w:t>
      </w:r>
      <w:r w:rsidRPr="002A0656">
        <w:t xml:space="preserve"> Mobile LLC”, 4 December 2013 (available at: </w:t>
      </w:r>
      <w:hyperlink r:id="rId6" w:history="1">
        <w:r w:rsidRPr="002A0656">
          <w:rPr>
            <w:rStyle w:val="Hyperlink"/>
          </w:rPr>
          <w:t>https://scoperatings.com/ratings-and-research/rating/EN/175842</w:t>
        </w:r>
      </w:hyperlink>
      <w:r w:rsidRPr="002A0656">
        <w:t xml:space="preserve">) and Fitch Ratings, “Fitch Affirms Silknet at ‘B+’; Outlook Stable”, 28 January 2025 (available at: </w:t>
      </w:r>
      <w:hyperlink r:id="rId7" w:history="1">
        <w:r w:rsidRPr="002A0656">
          <w:rPr>
            <w:rStyle w:val="Hyperlink"/>
          </w:rPr>
          <w:t>https://www.fitchratings.com/research/corporate-finance/fitch-affirms-silknet-at-b-outlook-stable-28-01-2025</w:t>
        </w:r>
      </w:hyperlink>
      <w:r w:rsidRPr="002A0656">
        <w:t>).</w:t>
      </w:r>
    </w:p>
  </w:footnote>
  <w:footnote w:id="54">
    <w:p w14:paraId="4A3A56A6" w14:textId="5A5C940E" w:rsidR="000C0710" w:rsidRPr="000C0710" w:rsidRDefault="000C0710">
      <w:pPr>
        <w:pStyle w:val="FootnoteText"/>
        <w:rPr>
          <w:lang w:val="en-GB"/>
        </w:rPr>
      </w:pPr>
      <w:r>
        <w:rPr>
          <w:rStyle w:val="FootnoteReference"/>
        </w:rPr>
        <w:footnoteRef/>
      </w:r>
      <w:r>
        <w:t xml:space="preserve"> </w:t>
      </w:r>
      <w:r>
        <w:rPr>
          <w:lang w:val="en-GB"/>
        </w:rPr>
        <w:tab/>
      </w:r>
      <w:r w:rsidRPr="000C0710">
        <w:rPr>
          <w:lang w:val="en-GB"/>
        </w:rPr>
        <w:t>We note that in future updated to the WACC, Georgia telecoms operators may have traded bonds with reported yields. If this is the case, then ComCom could combine data from these yields with appropriate spreads from the BEREC report.</w:t>
      </w:r>
    </w:p>
  </w:footnote>
  <w:footnote w:id="55">
    <w:p w14:paraId="10E0358E" w14:textId="76A7EEE1" w:rsidR="009A0A84" w:rsidRPr="009A0A84" w:rsidRDefault="009A0A84">
      <w:pPr>
        <w:pStyle w:val="FootnoteText"/>
        <w:rPr>
          <w:lang w:val="en-GB"/>
        </w:rPr>
      </w:pPr>
      <w:r>
        <w:rPr>
          <w:rStyle w:val="FootnoteReference"/>
        </w:rPr>
        <w:footnoteRef/>
      </w:r>
      <w:r>
        <w:t xml:space="preserve"> </w:t>
      </w:r>
      <w:r>
        <w:rPr>
          <w:lang w:val="en-GB"/>
        </w:rPr>
        <w:tab/>
        <w:t xml:space="preserve">As we understand it, </w:t>
      </w:r>
      <w:r w:rsidR="009A6592">
        <w:rPr>
          <w:lang w:val="en-GB"/>
        </w:rPr>
        <w:t>the analysis</w:t>
      </w:r>
      <w:r>
        <w:rPr>
          <w:lang w:val="en-GB"/>
        </w:rPr>
        <w:t xml:space="preserve"> </w:t>
      </w:r>
      <w:r w:rsidR="00BC5DD6">
        <w:rPr>
          <w:lang w:val="en-GB"/>
        </w:rPr>
        <w:t>measures</w:t>
      </w:r>
      <w:r>
        <w:rPr>
          <w:lang w:val="en-GB"/>
        </w:rPr>
        <w:t xml:space="preserve"> the cost of debt for </w:t>
      </w:r>
      <w:r w:rsidR="00347F8F">
        <w:rPr>
          <w:lang w:val="en-GB"/>
        </w:rPr>
        <w:t>based on loans wit</w:t>
      </w:r>
      <w:r w:rsidR="000C2AE2">
        <w:rPr>
          <w:lang w:val="en-GB"/>
        </w:rPr>
        <w:t>h</w:t>
      </w:r>
      <w:r w:rsidR="00347F8F">
        <w:rPr>
          <w:lang w:val="en-GB"/>
        </w:rPr>
        <w:t xml:space="preserve"> a matu</w:t>
      </w:r>
      <w:r w:rsidR="000C2AE2">
        <w:rPr>
          <w:lang w:val="en-GB"/>
        </w:rPr>
        <w:t xml:space="preserve">rity of one-year. </w:t>
      </w:r>
      <w:r w:rsidR="002301C3">
        <w:rPr>
          <w:lang w:val="en-GB"/>
        </w:rPr>
        <w:t>The analysis argues</w:t>
      </w:r>
      <w:r w:rsidR="00D666E6">
        <w:rPr>
          <w:lang w:val="en-GB"/>
        </w:rPr>
        <w:t xml:space="preserve"> that </w:t>
      </w:r>
      <w:r w:rsidR="00B0536C">
        <w:rPr>
          <w:lang w:val="en-GB"/>
        </w:rPr>
        <w:t xml:space="preserve">a maturity premium </w:t>
      </w:r>
      <w:r w:rsidR="00280ABD">
        <w:rPr>
          <w:lang w:val="en-GB"/>
        </w:rPr>
        <w:t xml:space="preserve">of 2.08% should be added to the cost of debt to reflect </w:t>
      </w:r>
      <w:r w:rsidR="00EC12C0">
        <w:rPr>
          <w:lang w:val="en-GB"/>
        </w:rPr>
        <w:t xml:space="preserve">the additional risk of debt with 20-year durations. </w:t>
      </w:r>
      <w:r w:rsidR="00635FB7">
        <w:rPr>
          <w:lang w:val="en-GB"/>
        </w:rPr>
        <w:t>However, i</w:t>
      </w:r>
      <w:r w:rsidR="005B07C3">
        <w:rPr>
          <w:lang w:val="en-GB"/>
        </w:rPr>
        <w:t xml:space="preserve">f Georgian operators are </w:t>
      </w:r>
      <w:r w:rsidR="00BC5DD6">
        <w:rPr>
          <w:lang w:val="en-GB"/>
        </w:rPr>
        <w:t>borrowing</w:t>
      </w:r>
      <w:r w:rsidR="005B07C3">
        <w:rPr>
          <w:lang w:val="en-GB"/>
        </w:rPr>
        <w:t xml:space="preserve"> on a </w:t>
      </w:r>
      <w:r w:rsidR="002A1FD4">
        <w:rPr>
          <w:lang w:val="en-GB"/>
        </w:rPr>
        <w:t>sh</w:t>
      </w:r>
      <w:r w:rsidR="005B07C3">
        <w:rPr>
          <w:lang w:val="en-GB"/>
        </w:rPr>
        <w:t>ort-term basis, there is no reason to add a matur</w:t>
      </w:r>
      <w:r w:rsidR="002A1FD4">
        <w:rPr>
          <w:lang w:val="en-GB"/>
        </w:rPr>
        <w:t>ity premium</w:t>
      </w:r>
      <w:r w:rsidR="00635FB7">
        <w:rPr>
          <w:lang w:val="en-GB"/>
        </w:rPr>
        <w:t xml:space="preserve"> to cover the cost of longer-term debt that they do not have</w:t>
      </w:r>
      <w:r w:rsidR="002A1FD4">
        <w:rPr>
          <w:lang w:val="en-GB"/>
        </w:rPr>
        <w:t xml:space="preserve">. </w:t>
      </w:r>
      <w:r w:rsidR="00635FB7">
        <w:rPr>
          <w:lang w:val="en-GB"/>
        </w:rPr>
        <w:t>We also note that the</w:t>
      </w:r>
      <w:r w:rsidR="002A1FD4">
        <w:rPr>
          <w:lang w:val="en-GB"/>
        </w:rPr>
        <w:t xml:space="preserve"> </w:t>
      </w:r>
      <w:r w:rsidR="00E61F75">
        <w:rPr>
          <w:lang w:val="en-GB"/>
        </w:rPr>
        <w:t xml:space="preserve">maturity premium seems high. </w:t>
      </w:r>
      <w:r w:rsidR="00C57B57">
        <w:rPr>
          <w:lang w:val="en-GB"/>
        </w:rPr>
        <w:t xml:space="preserve">For </w:t>
      </w:r>
      <w:r w:rsidR="00BC5DD6">
        <w:rPr>
          <w:lang w:val="en-GB"/>
        </w:rPr>
        <w:t>example,</w:t>
      </w:r>
      <w:r w:rsidR="00C57B57">
        <w:rPr>
          <w:lang w:val="en-GB"/>
        </w:rPr>
        <w:t xml:space="preserve"> b</w:t>
      </w:r>
      <w:r w:rsidR="00E61F75">
        <w:rPr>
          <w:lang w:val="en-GB"/>
        </w:rPr>
        <w:t xml:space="preserve">ased on evidence from Figure 2, the difference between one and five year Georgian debt </w:t>
      </w:r>
      <w:r w:rsidR="006B24E1">
        <w:rPr>
          <w:lang w:val="en-GB"/>
        </w:rPr>
        <w:t xml:space="preserve">yields is only </w:t>
      </w:r>
      <w:r w:rsidR="009762DE">
        <w:rPr>
          <w:lang w:val="en-GB"/>
        </w:rPr>
        <w:t xml:space="preserve">19 basis points. </w:t>
      </w:r>
    </w:p>
  </w:footnote>
  <w:footnote w:id="56">
    <w:p w14:paraId="0E692603" w14:textId="6B84C247" w:rsidR="00EE6368" w:rsidRPr="00EE6368" w:rsidRDefault="00EE6368">
      <w:pPr>
        <w:pStyle w:val="FootnoteText"/>
      </w:pPr>
      <w:r>
        <w:rPr>
          <w:rStyle w:val="FootnoteReference"/>
        </w:rPr>
        <w:footnoteRef/>
      </w:r>
      <w:r>
        <w:t xml:space="preserve"> </w:t>
      </w:r>
      <w:r>
        <w:tab/>
      </w:r>
      <w:r w:rsidR="00A20CDD">
        <w:t>Official Journal of the European Union, Recommendations</w:t>
      </w:r>
      <w:r w:rsidR="00521D55">
        <w:t xml:space="preserve">, </w:t>
      </w:r>
      <w:r w:rsidR="00D63FA1">
        <w:t>“</w:t>
      </w:r>
      <w:r w:rsidR="00521D55">
        <w:t>Commission Recommendations of 20 September 2010 on regulated access to Next Generation Access Networks (NGA)</w:t>
      </w:r>
      <w:r w:rsidR="00D63FA1">
        <w:t>”</w:t>
      </w:r>
      <w:r w:rsidR="00521D55">
        <w:t xml:space="preserve">, </w:t>
      </w:r>
      <w:r w:rsidR="00D63FA1" w:rsidRPr="00D63FA1">
        <w:t>2010/572/EU</w:t>
      </w:r>
      <w:r w:rsidR="00D63FA1">
        <w:t>, September 2010.</w:t>
      </w:r>
    </w:p>
  </w:footnote>
  <w:footnote w:id="57">
    <w:p w14:paraId="38B3E740" w14:textId="6A98E235" w:rsidR="00B038CC" w:rsidRPr="00B038CC" w:rsidRDefault="00B038CC">
      <w:pPr>
        <w:pStyle w:val="FootnoteText"/>
      </w:pPr>
      <w:r>
        <w:rPr>
          <w:rStyle w:val="FootnoteReference"/>
        </w:rPr>
        <w:footnoteRef/>
      </w:r>
      <w:r>
        <w:t xml:space="preserve"> </w:t>
      </w:r>
      <w:r>
        <w:tab/>
      </w:r>
      <w:r w:rsidRPr="00B038CC">
        <w:rPr>
          <w:i/>
          <w:iCs/>
        </w:rPr>
        <w:t>Ibid.</w:t>
      </w:r>
      <w:r>
        <w:t xml:space="preserve">, art. 25. </w:t>
      </w:r>
    </w:p>
  </w:footnote>
  <w:footnote w:id="58">
    <w:p w14:paraId="20CBBE37" w14:textId="2E537B79" w:rsidR="008F4C3F" w:rsidRPr="002A0656" w:rsidRDefault="008F4C3F" w:rsidP="008F4C3F">
      <w:pPr>
        <w:pStyle w:val="FootnoteText"/>
      </w:pPr>
      <w:r w:rsidRPr="002A0656">
        <w:rPr>
          <w:rStyle w:val="FootnoteReference"/>
        </w:rPr>
        <w:footnoteRef/>
      </w:r>
      <w:r w:rsidRPr="002A0656">
        <w:t xml:space="preserve"> </w:t>
      </w:r>
      <w:r w:rsidRPr="002A0656">
        <w:tab/>
      </w:r>
      <w:r w:rsidRPr="002A0656">
        <w:rPr>
          <w:i/>
        </w:rPr>
        <w:t>Ibid.</w:t>
      </w:r>
      <w:r w:rsidRPr="002A0656">
        <w:t xml:space="preserve">, Annex I. </w:t>
      </w:r>
    </w:p>
  </w:footnote>
  <w:footnote w:id="59">
    <w:p w14:paraId="2F7A2E2C" w14:textId="21BD8B9E" w:rsidR="00A04A5B" w:rsidRPr="00004FB7" w:rsidRDefault="00A04A5B">
      <w:pPr>
        <w:pStyle w:val="FootnoteText"/>
        <w:rPr>
          <w:lang w:val="it-IT"/>
        </w:rPr>
      </w:pPr>
      <w:r>
        <w:rPr>
          <w:rStyle w:val="FootnoteReference"/>
        </w:rPr>
        <w:footnoteRef/>
      </w:r>
      <w:r w:rsidRPr="00004FB7">
        <w:rPr>
          <w:lang w:val="it-IT"/>
        </w:rPr>
        <w:t xml:space="preserve"> </w:t>
      </w:r>
      <w:r w:rsidRPr="00004FB7">
        <w:rPr>
          <w:lang w:val="it-IT"/>
        </w:rPr>
        <w:tab/>
      </w:r>
      <w:r w:rsidR="00997113" w:rsidRPr="00004FB7">
        <w:rPr>
          <w:lang w:val="it-IT"/>
        </w:rPr>
        <w:t>Brattle 2016 Report.</w:t>
      </w:r>
    </w:p>
  </w:footnote>
  <w:footnote w:id="60">
    <w:p w14:paraId="11B98800" w14:textId="40DA345C" w:rsidR="00DE4C16" w:rsidRPr="00004FB7" w:rsidRDefault="00DE4C16">
      <w:pPr>
        <w:pStyle w:val="FootnoteText"/>
        <w:rPr>
          <w:lang w:val="it-IT"/>
        </w:rPr>
      </w:pPr>
      <w:r>
        <w:rPr>
          <w:rStyle w:val="FootnoteReference"/>
        </w:rPr>
        <w:footnoteRef/>
      </w:r>
      <w:r w:rsidRPr="00004FB7">
        <w:rPr>
          <w:lang w:val="it-IT"/>
        </w:rPr>
        <w:t xml:space="preserve"> </w:t>
      </w:r>
      <w:r w:rsidRPr="00004FB7">
        <w:rPr>
          <w:lang w:val="it-IT"/>
        </w:rPr>
        <w:tab/>
        <w:t xml:space="preserve">CNMC, </w:t>
      </w:r>
      <w:r w:rsidRPr="00004FB7">
        <w:rPr>
          <w:i/>
          <w:lang w:val="it-IT"/>
        </w:rPr>
        <w:t>Resolución sobre el procedimiento de cálculo de la prima de riesgo en la tasa de retorno nominal para servicios mayoristas de redes de acceso de nueva generación</w:t>
      </w:r>
      <w:r w:rsidRPr="00004FB7">
        <w:rPr>
          <w:lang w:val="it-IT"/>
        </w:rPr>
        <w:t xml:space="preserve"> (MTZ 2012/2155).</w:t>
      </w:r>
    </w:p>
  </w:footnote>
  <w:footnote w:id="61">
    <w:p w14:paraId="387A7633" w14:textId="50BEDCA0" w:rsidR="00EA26D6" w:rsidRPr="00004FB7" w:rsidRDefault="00EA26D6">
      <w:pPr>
        <w:pStyle w:val="FootnoteText"/>
        <w:rPr>
          <w:lang w:val="it-IT"/>
        </w:rPr>
      </w:pPr>
      <w:r>
        <w:rPr>
          <w:rStyle w:val="FootnoteReference"/>
        </w:rPr>
        <w:footnoteRef/>
      </w:r>
      <w:r w:rsidRPr="00004FB7">
        <w:rPr>
          <w:lang w:val="it-IT"/>
        </w:rPr>
        <w:t xml:space="preserve"> </w:t>
      </w:r>
      <w:r w:rsidRPr="00004FB7">
        <w:rPr>
          <w:lang w:val="it-IT"/>
        </w:rPr>
        <w:tab/>
      </w:r>
      <w:r w:rsidR="006348A8" w:rsidRPr="00004FB7">
        <w:rPr>
          <w:lang w:val="it-IT"/>
        </w:rPr>
        <w:t>CNMC, Resolución por la cual se aprueba la definición y análisis del mercado de acceso local al por mayor facilitado en una ubicación fija y los mercados de acceso de banda ancha al por mayor, la designación de operadores con poder significativo de mercado y la imposición de obligaciones específicas, y se acuerda su notificacion a la comisión europea y al organismo de reguladores europeos de comunicaciones electrónicas, (ANME/DTSA/2154/14/MERCADOS 3a 3b 4).</w:t>
      </w:r>
    </w:p>
  </w:footnote>
  <w:footnote w:id="62">
    <w:p w14:paraId="66441AEB" w14:textId="69FF2FB9" w:rsidR="00DF5A45" w:rsidRPr="002A0656" w:rsidRDefault="00DF5A45" w:rsidP="00DF5A45">
      <w:pPr>
        <w:pStyle w:val="FootnoteText"/>
      </w:pPr>
      <w:r>
        <w:rPr>
          <w:rStyle w:val="FootnoteReference"/>
        </w:rPr>
        <w:footnoteRef/>
      </w:r>
      <w:r>
        <w:t xml:space="preserve"> </w:t>
      </w:r>
      <w:r>
        <w:tab/>
      </w:r>
      <w:r w:rsidRPr="002A0656">
        <w:t xml:space="preserve">Ofcom, Review of the wholesale broadband access markets, </w:t>
      </w:r>
      <w:r w:rsidR="00F05039" w:rsidRPr="002A0656">
        <w:t>J</w:t>
      </w:r>
      <w:r w:rsidRPr="002A0656">
        <w:t>une 2014, Annex 7.</w:t>
      </w:r>
    </w:p>
  </w:footnote>
  <w:footnote w:id="63">
    <w:p w14:paraId="3469C101" w14:textId="6B9C55E5" w:rsidR="000F20C0" w:rsidRPr="002A0656" w:rsidRDefault="000F20C0" w:rsidP="00AD227F">
      <w:pPr>
        <w:pStyle w:val="FootnoteText"/>
      </w:pPr>
      <w:r>
        <w:rPr>
          <w:rStyle w:val="FootnoteReference"/>
        </w:rPr>
        <w:footnoteRef/>
      </w:r>
      <w:r>
        <w:t xml:space="preserve"> </w:t>
      </w:r>
      <w:r>
        <w:tab/>
      </w:r>
      <w:r w:rsidRPr="002A0656">
        <w:t xml:space="preserve">Ofcom, Wholesale Local Access Market Review: Statement, </w:t>
      </w:r>
      <w:r w:rsidR="00AD227F" w:rsidRPr="002A0656">
        <w:t>M</w:t>
      </w:r>
      <w:r w:rsidRPr="002A0656">
        <w:t>ar</w:t>
      </w:r>
      <w:r w:rsidR="00AD227F" w:rsidRPr="002A0656">
        <w:t>ch</w:t>
      </w:r>
      <w:r w:rsidRPr="002A0656">
        <w:t xml:space="preserve"> 2018, Annex 20.</w:t>
      </w:r>
    </w:p>
  </w:footnote>
  <w:footnote w:id="64">
    <w:p w14:paraId="273F3C66" w14:textId="781C5DF9" w:rsidR="00C26382" w:rsidRPr="002A0656" w:rsidRDefault="00C26382" w:rsidP="00A913D5">
      <w:pPr>
        <w:pStyle w:val="FootnoteText"/>
      </w:pPr>
      <w:r>
        <w:rPr>
          <w:rStyle w:val="FootnoteReference"/>
        </w:rPr>
        <w:footnoteRef/>
      </w:r>
      <w:r>
        <w:t xml:space="preserve"> </w:t>
      </w:r>
      <w:r>
        <w:tab/>
      </w:r>
      <w:r w:rsidR="00A63623" w:rsidRPr="002A0656">
        <w:t>The reduction in the fib</w:t>
      </w:r>
      <w:r w:rsidR="00207815">
        <w:t>er</w:t>
      </w:r>
      <w:r w:rsidR="00A63623" w:rsidRPr="002A0656">
        <w:t xml:space="preserve"> premium in 2018 and 2021 was largely attributable to the reduction in the spread between Openreach's asset beta and the asset beta of other telecoms services. This spread was 0.33 (=0.83-0.50) in 2014 and subsequently decreased to approximately 0.14 in 2018 (equal to the difference between 0.59 for Openreach and 0.73 for other regulated services) and to 0.09 in 2021 (equal to the difference between 0.53 for Openreach and 0.62 for other regulated services).</w:t>
      </w:r>
      <w:r w:rsidR="00A913D5" w:rsidRPr="002A0656">
        <w:t xml:space="preserve"> See Ofcom, Wholesale Local Access Market Review: Statement, March 2018, Annex 20; Ofcom, Promoting investment and competition in fib</w:t>
      </w:r>
      <w:r w:rsidR="00207815">
        <w:t>er</w:t>
      </w:r>
      <w:r w:rsidR="00A913D5" w:rsidRPr="002A0656">
        <w:t xml:space="preserve"> networks: Wholesale Fixed Telecoms Market Review 2021-26, Annex 21; and Richard Caldwell, Lucrezio Figurelli and Dan Harris, </w:t>
      </w:r>
      <w:r w:rsidR="001C5547" w:rsidRPr="002A0656">
        <w:t>“</w:t>
      </w:r>
      <w:r w:rsidR="00A913D5" w:rsidRPr="002A0656">
        <w:t>Cost of Capital: Beta and Gearing for WFTMR 2021</w:t>
      </w:r>
      <w:r w:rsidR="001C5547" w:rsidRPr="002A0656">
        <w:t>”</w:t>
      </w:r>
      <w:r w:rsidR="00A913D5" w:rsidRPr="002A0656">
        <w:t>, March 2021.</w:t>
      </w:r>
    </w:p>
  </w:footnote>
  <w:footnote w:id="65">
    <w:p w14:paraId="0A12191C" w14:textId="7E54F355" w:rsidR="007F1F26" w:rsidRPr="007F1F26" w:rsidRDefault="007F1F26">
      <w:pPr>
        <w:pStyle w:val="FootnoteText"/>
      </w:pPr>
      <w:r>
        <w:rPr>
          <w:rStyle w:val="FootnoteReference"/>
        </w:rPr>
        <w:footnoteRef/>
      </w:r>
      <w:r>
        <w:t xml:space="preserve"> </w:t>
      </w:r>
      <w:r>
        <w:tab/>
        <w:t xml:space="preserve">See </w:t>
      </w:r>
      <w:r w:rsidRPr="002A0656">
        <w:t xml:space="preserve">Dan Harris, Lucrezio Figurelli, Massimiliano Cologgi, </w:t>
      </w:r>
      <w:r w:rsidR="001C5547" w:rsidRPr="002A0656">
        <w:t>“</w:t>
      </w:r>
      <w:r w:rsidRPr="002A0656">
        <w:t>The WACC for KPN and VodafoneZiggo</w:t>
      </w:r>
      <w:r w:rsidR="001C5547" w:rsidRPr="002A0656">
        <w:t>”</w:t>
      </w:r>
      <w:r w:rsidRPr="002A0656">
        <w:t xml:space="preserve">, </w:t>
      </w:r>
      <w:r w:rsidR="001C5547" w:rsidRPr="002A0656">
        <w:t xml:space="preserve">February </w:t>
      </w:r>
      <w:r w:rsidRPr="002A0656">
        <w:t>2020, Se</w:t>
      </w:r>
      <w:r w:rsidR="001C5547" w:rsidRPr="002A0656">
        <w:t>ction</w:t>
      </w:r>
      <w:r w:rsidRPr="002A0656">
        <w:t xml:space="preserve"> IX.B.</w:t>
      </w:r>
    </w:p>
  </w:footnote>
  <w:footnote w:id="66">
    <w:p w14:paraId="7C95C920" w14:textId="00C3A922" w:rsidR="00B21E99" w:rsidRPr="00004FB7" w:rsidRDefault="00B21E99">
      <w:pPr>
        <w:pStyle w:val="FootnoteText"/>
        <w:rPr>
          <w:lang w:val="it-IT"/>
        </w:rPr>
      </w:pPr>
      <w:r>
        <w:rPr>
          <w:rStyle w:val="FootnoteReference"/>
        </w:rPr>
        <w:footnoteRef/>
      </w:r>
      <w:r w:rsidRPr="00004FB7">
        <w:rPr>
          <w:lang w:val="it-IT"/>
        </w:rPr>
        <w:t xml:space="preserve"> </w:t>
      </w:r>
      <w:r w:rsidRPr="00004FB7">
        <w:rPr>
          <w:lang w:val="it-IT"/>
        </w:rPr>
        <w:tab/>
        <w:t>See AGCOM, Delibera n. 623/15/CONS, Allegato E.</w:t>
      </w:r>
    </w:p>
  </w:footnote>
  <w:footnote w:id="67">
    <w:p w14:paraId="6C17A034" w14:textId="60BB33F1" w:rsidR="00826651" w:rsidRPr="00004FB7" w:rsidRDefault="00826651">
      <w:pPr>
        <w:pStyle w:val="FootnoteText"/>
        <w:rPr>
          <w:lang w:val="it-IT"/>
        </w:rPr>
      </w:pPr>
      <w:r>
        <w:rPr>
          <w:rStyle w:val="FootnoteReference"/>
        </w:rPr>
        <w:footnoteRef/>
      </w:r>
      <w:r w:rsidRPr="00004FB7">
        <w:rPr>
          <w:lang w:val="it-IT"/>
        </w:rPr>
        <w:t xml:space="preserve"> </w:t>
      </w:r>
      <w:r w:rsidRPr="00004FB7">
        <w:rPr>
          <w:lang w:val="it-IT"/>
        </w:rPr>
        <w:tab/>
        <w:t>See AGCOM,</w:t>
      </w:r>
      <w:r w:rsidR="00397CC6" w:rsidRPr="00004FB7">
        <w:rPr>
          <w:lang w:val="it-IT"/>
        </w:rPr>
        <w:t xml:space="preserve"> Delibera n. </w:t>
      </w:r>
      <w:r w:rsidR="005139B2" w:rsidRPr="00004FB7">
        <w:rPr>
          <w:lang w:val="it-IT"/>
        </w:rPr>
        <w:t>348/19/CONS</w:t>
      </w:r>
      <w:r w:rsidR="00397CC6" w:rsidRPr="00004FB7">
        <w:rPr>
          <w:lang w:val="it-IT"/>
        </w:rPr>
        <w:t xml:space="preserve">, </w:t>
      </w:r>
      <w:r w:rsidR="002E10F0" w:rsidRPr="00004FB7">
        <w:rPr>
          <w:lang w:val="it-IT"/>
        </w:rPr>
        <w:t>Annesso 6 del Documento V.</w:t>
      </w:r>
    </w:p>
  </w:footnote>
  <w:footnote w:id="68">
    <w:p w14:paraId="140CA703" w14:textId="4D72117C" w:rsidR="00A37FCD" w:rsidRDefault="00A37FCD">
      <w:pPr>
        <w:pStyle w:val="FootnoteText"/>
      </w:pPr>
      <w:r>
        <w:rPr>
          <w:rStyle w:val="FootnoteReference"/>
        </w:rPr>
        <w:footnoteRef/>
      </w:r>
      <w:r>
        <w:t xml:space="preserve"> </w:t>
      </w:r>
      <w:r>
        <w:tab/>
        <w:t>BEREC</w:t>
      </w:r>
      <w:r w:rsidR="000F6207">
        <w:t xml:space="preserve">, </w:t>
      </w:r>
      <w:r w:rsidR="00AE2E54">
        <w:t>“</w:t>
      </w:r>
      <w:r w:rsidR="000F6207" w:rsidRPr="000F6207">
        <w:t>BEREC Report Regulatory Accounting in Practice 2023</w:t>
      </w:r>
      <w:r w:rsidR="00AE2E54">
        <w:t>”</w:t>
      </w:r>
      <w:r w:rsidR="000F6207">
        <w:t>, December 2023, Chapter 5</w:t>
      </w:r>
      <w:r w:rsidR="006C1293">
        <w:t xml:space="preserve"> - WACC</w:t>
      </w:r>
      <w:r w:rsidR="00E162D9">
        <w:t xml:space="preserve">, Figure 57 </w:t>
      </w:r>
      <w:r w:rsidR="000F6207">
        <w:t>and</w:t>
      </w:r>
      <w:r w:rsidR="00AE2E54">
        <w:t xml:space="preserve"> BEREC, “</w:t>
      </w:r>
      <w:r w:rsidR="00AE2E54" w:rsidRPr="000F6207">
        <w:t>BEREC Report Regulatory Accounting in Practice 202</w:t>
      </w:r>
      <w:r w:rsidR="00AE2E54">
        <w:t>4”, December 2024, Chapter 5</w:t>
      </w:r>
      <w:r w:rsidR="006C1293">
        <w:t xml:space="preserve"> - WACC</w:t>
      </w:r>
      <w:r w:rsidR="00AE2E54">
        <w:t>, Figure 58.</w:t>
      </w:r>
    </w:p>
  </w:footnote>
  <w:footnote w:id="69">
    <w:p w14:paraId="57D0B853" w14:textId="6C17C9EC" w:rsidR="008D27BC" w:rsidRPr="00004FB7" w:rsidRDefault="008D27BC">
      <w:pPr>
        <w:pStyle w:val="FootnoteText"/>
        <w:rPr>
          <w:lang w:val="it-IT"/>
        </w:rPr>
      </w:pPr>
      <w:r>
        <w:rPr>
          <w:rStyle w:val="FootnoteReference"/>
        </w:rPr>
        <w:footnoteRef/>
      </w:r>
      <w:r w:rsidRPr="00004FB7">
        <w:rPr>
          <w:lang w:val="it-IT"/>
        </w:rPr>
        <w:t xml:space="preserve"> </w:t>
      </w:r>
      <w:r w:rsidRPr="00004FB7">
        <w:rPr>
          <w:lang w:val="it-IT"/>
        </w:rPr>
        <w:tab/>
        <w:t xml:space="preserve">See AGCOM, </w:t>
      </w:r>
      <w:r w:rsidR="005F5C3C" w:rsidRPr="00004FB7">
        <w:rPr>
          <w:lang w:val="it-IT"/>
        </w:rPr>
        <w:t>Delibera n. 114/24/CONS</w:t>
      </w:r>
      <w:r w:rsidRPr="00004FB7">
        <w:rPr>
          <w:lang w:val="it-IT"/>
        </w:rPr>
        <w:t xml:space="preserve">, </w:t>
      </w:r>
      <w:r w:rsidR="00360502" w:rsidRPr="00004FB7">
        <w:rPr>
          <w:lang w:val="it-IT"/>
        </w:rPr>
        <w:t>Annesso 1 del Documento VI, ¶</w:t>
      </w:r>
      <w:r w:rsidR="00E40426" w:rsidRPr="00004FB7">
        <w:rPr>
          <w:lang w:val="it-IT"/>
        </w:rPr>
        <w:t>138.</w:t>
      </w:r>
    </w:p>
  </w:footnote>
  <w:footnote w:id="70">
    <w:p w14:paraId="03DD50BD" w14:textId="3A475EFD" w:rsidR="00D60B5F" w:rsidRPr="002A0656" w:rsidRDefault="00D60B5F">
      <w:pPr>
        <w:pStyle w:val="FootnoteText"/>
      </w:pPr>
      <w:r>
        <w:rPr>
          <w:rStyle w:val="FootnoteReference"/>
        </w:rPr>
        <w:footnoteRef/>
      </w:r>
      <w:r>
        <w:t xml:space="preserve"> </w:t>
      </w:r>
      <w:r>
        <w:tab/>
      </w:r>
      <w:r w:rsidRPr="002A0656">
        <w:t>See AGCOM, Delibera n. 205/25/CONS</w:t>
      </w:r>
      <w:r w:rsidR="00A5665B" w:rsidRPr="002A0656">
        <w:t>.</w:t>
      </w:r>
    </w:p>
  </w:footnote>
  <w:footnote w:id="71">
    <w:p w14:paraId="460CB06C" w14:textId="650FF50E" w:rsidR="00E17EDF" w:rsidRDefault="002605C9">
      <w:pPr>
        <w:pStyle w:val="FootnoteText"/>
      </w:pPr>
      <w:r>
        <w:rPr>
          <w:rStyle w:val="FootnoteReference"/>
        </w:rPr>
        <w:footnoteRef/>
      </w:r>
      <w:r>
        <w:t xml:space="preserve"> </w:t>
      </w:r>
      <w:r>
        <w:tab/>
      </w:r>
      <w:r w:rsidRPr="00002C7A">
        <w:t>N</w:t>
      </w:r>
      <w:r w:rsidR="00C667EC">
        <w:t>o</w:t>
      </w:r>
      <w:r w:rsidRPr="00002C7A">
        <w:t>te</w:t>
      </w:r>
      <w:r>
        <w:t xml:space="preserve"> that in the Table we do not include a premium for France. </w:t>
      </w:r>
      <w:r w:rsidR="00E17EDF">
        <w:t xml:space="preserve">As explained above, </w:t>
      </w:r>
      <w:r w:rsidR="00E17EDF" w:rsidRPr="002A0656">
        <w:t>in 2015 ARCEP developed a reference financial model to be used as a tool for calculating fiber network tariffs</w:t>
      </w:r>
      <w:r w:rsidR="00B95B6B" w:rsidRPr="002A0656">
        <w:t xml:space="preserve"> which included a </w:t>
      </w:r>
      <w:r w:rsidR="00E17EDF" w:rsidRPr="002A0656">
        <w:t>fiber premium of 5%</w:t>
      </w:r>
      <w:r w:rsidR="00B95B6B" w:rsidRPr="002A0656">
        <w:t xml:space="preserve">. However, </w:t>
      </w:r>
      <w:r w:rsidR="00E17EDF" w:rsidRPr="002A0656">
        <w:t xml:space="preserve">the Fiber Premium to be applied to the tariffs of each project was not defined </w:t>
      </w:r>
      <w:r w:rsidR="00E17EDF" w:rsidRPr="002A0656">
        <w:rPr>
          <w:i/>
        </w:rPr>
        <w:t>ex ante</w:t>
      </w:r>
      <w:r w:rsidR="00E17EDF" w:rsidRPr="002A0656">
        <w:t xml:space="preserve"> but had to be assessed on a case-by-case basis using the model developed by ARCEP. The fiber network service was subsequently deregulated </w:t>
      </w:r>
      <w:r w:rsidR="00D43F64" w:rsidRPr="002A0656">
        <w:t xml:space="preserve">and </w:t>
      </w:r>
      <w:r w:rsidR="008732E3" w:rsidRPr="002A0656">
        <w:t xml:space="preserve">we are unaware of any instance in which ARCEP actually applied the premium. </w:t>
      </w:r>
    </w:p>
    <w:p w14:paraId="70A1AD8A" w14:textId="77777777" w:rsidR="00E17EDF" w:rsidRDefault="00E17EDF">
      <w:pPr>
        <w:pStyle w:val="FootnoteText"/>
      </w:pPr>
    </w:p>
    <w:p w14:paraId="527DDAE3" w14:textId="77777777" w:rsidR="00E17EDF" w:rsidRPr="002605C9" w:rsidRDefault="00E17EDF">
      <w:pPr>
        <w:pStyle w:val="FootnoteText"/>
      </w:pPr>
    </w:p>
  </w:footnote>
  <w:footnote w:id="72">
    <w:p w14:paraId="3A1E97F2" w14:textId="684CB164" w:rsidR="00691A99" w:rsidRPr="00691A99" w:rsidRDefault="00691A99">
      <w:pPr>
        <w:pStyle w:val="FootnoteText"/>
      </w:pPr>
      <w:r>
        <w:rPr>
          <w:rStyle w:val="FootnoteReference"/>
        </w:rPr>
        <w:footnoteRef/>
      </w:r>
      <w:r>
        <w:t xml:space="preserve"> </w:t>
      </w:r>
      <w:r>
        <w:tab/>
        <w:t xml:space="preserve">Dan Harris, Lucrezio Figurelli, Massimiliano Cologgi, “The WACC for KPN and VodafoneZiggo”, February 2020, (available at: </w:t>
      </w:r>
      <w:hyperlink r:id="rId8" w:history="1">
        <w:r w:rsidRPr="009B34A5">
          <w:rPr>
            <w:rStyle w:val="Hyperlink"/>
          </w:rPr>
          <w:t>https://www.acm.nl/sites/default/files/documents/2020-03/onderzoek-naar-de-vermogenskostenvoet-van-kpn-en-vodafoneziggo_1.pdf</w:t>
        </w:r>
      </w:hyperlink>
      <w:r>
        <w:t>).</w:t>
      </w:r>
    </w:p>
  </w:footnote>
  <w:footnote w:id="73">
    <w:p w14:paraId="7316DA0A" w14:textId="79CB1DBF" w:rsidR="00691A99" w:rsidRPr="00691A99" w:rsidRDefault="00691A99">
      <w:pPr>
        <w:pStyle w:val="FootnoteText"/>
      </w:pPr>
      <w:r>
        <w:rPr>
          <w:rStyle w:val="FootnoteReference"/>
        </w:rPr>
        <w:footnoteRef/>
      </w:r>
      <w:r>
        <w:t xml:space="preserve"> </w:t>
      </w:r>
      <w:r>
        <w:tab/>
      </w:r>
      <w:r w:rsidR="00B72AC7" w:rsidRPr="00B72AC7">
        <w:t xml:space="preserve">Richard Caldwell, Lucrezio Figurelli, Dan Harris, Cost of Capital: Beta and Gearing for WFTMR 2021, March 2021 (available at: </w:t>
      </w:r>
      <w:hyperlink r:id="rId9" w:history="1">
        <w:r w:rsidR="00B72AC7" w:rsidRPr="006D1EAD">
          <w:rPr>
            <w:rStyle w:val="Hyperlink"/>
          </w:rPr>
          <w:t>https://www.ofcom.org.uk/siteassets/resources/documents/consultations/category-1-10-weeks/185028-promoting-investment-and-competition-in-fibre-networks--wholesale-fixed-telecoms-market-review-2021-26/associated-documents/wftmr-statement-brattle-report.pdf?v=326135</w:t>
        </w:r>
      </w:hyperlink>
      <w:r w:rsidR="00B72AC7" w:rsidRPr="00B72AC7">
        <w:t>)</w:t>
      </w:r>
      <w:r w:rsidR="00B72AC7" w:rsidRPr="00B72AC7" w:rsidDel="00B72AC7">
        <w:t xml:space="preserve"> </w:t>
      </w:r>
      <w:r>
        <w:t>.</w:t>
      </w:r>
    </w:p>
  </w:footnote>
  <w:footnote w:id="74">
    <w:p w14:paraId="4F71A31C" w14:textId="3F3EB0EA" w:rsidR="00B36806" w:rsidRPr="00B36806" w:rsidRDefault="00B36806">
      <w:pPr>
        <w:pStyle w:val="FootnoteText"/>
      </w:pPr>
      <w:r>
        <w:rPr>
          <w:rStyle w:val="FootnoteReference"/>
        </w:rPr>
        <w:footnoteRef/>
      </w:r>
      <w:r>
        <w:t xml:space="preserve"> </w:t>
      </w:r>
      <w:r>
        <w:tab/>
      </w:r>
      <w:r w:rsidR="005E30F3">
        <w:t xml:space="preserve">Dan Harris, Lucrezio Figurelli, Andrzej Zacharjasz, “Beta and ERP for the Heating Companies in the Netherlands”, May 2025 (available at: </w:t>
      </w:r>
      <w:hyperlink r:id="rId10" w:history="1">
        <w:r w:rsidR="005E30F3" w:rsidRPr="009B34A5">
          <w:rPr>
            <w:rStyle w:val="Hyperlink"/>
          </w:rPr>
          <w:t>https://www.acm.nl/system/files/documents/tbg-beta-and-erp-for-the-heating-companies-in-the-netherlands.pdf</w:t>
        </w:r>
      </w:hyperlink>
      <w:r w:rsidR="005E30F3">
        <w:t>).</w:t>
      </w:r>
    </w:p>
  </w:footnote>
  <w:footnote w:id="75">
    <w:p w14:paraId="24B2692C" w14:textId="59675701" w:rsidR="003A6A8E" w:rsidRPr="002A0656" w:rsidRDefault="003A6A8E">
      <w:pPr>
        <w:pStyle w:val="FootnoteText"/>
      </w:pPr>
      <w:r>
        <w:rPr>
          <w:rStyle w:val="FootnoteReference"/>
        </w:rPr>
        <w:footnoteRef/>
      </w:r>
      <w:r w:rsidR="002978CD">
        <w:t xml:space="preserve"> </w:t>
      </w:r>
      <w:r w:rsidR="002978CD" w:rsidRPr="002A0656">
        <w:tab/>
      </w:r>
      <w:r w:rsidR="002978CD">
        <w:t xml:space="preserve">EC Notice on WACC, </w:t>
      </w:r>
      <w:r w:rsidR="006E079E">
        <w:t>¶</w:t>
      </w:r>
      <w:r w:rsidR="0024653E">
        <w:t>6, footnote 9.</w:t>
      </w:r>
    </w:p>
  </w:footnote>
  <w:footnote w:id="76">
    <w:p w14:paraId="5105FB4B" w14:textId="4E79DFA3" w:rsidR="00B93C28" w:rsidRPr="002A0656" w:rsidRDefault="00B93C28">
      <w:pPr>
        <w:pStyle w:val="FootnoteText"/>
      </w:pPr>
      <w:r>
        <w:rPr>
          <w:rStyle w:val="FootnoteReference"/>
        </w:rPr>
        <w:footnoteRef/>
      </w:r>
      <w:r>
        <w:t xml:space="preserve"> </w:t>
      </w:r>
      <w:r w:rsidRPr="002A0656">
        <w:tab/>
      </w:r>
      <w:r w:rsidR="00CE3E3E">
        <w:t xml:space="preserve">BEREC’s 2025 Report, </w:t>
      </w:r>
      <w:r w:rsidR="00CE3E3E" w:rsidRPr="00B617D3">
        <w:rPr>
          <w:b/>
          <w:bCs/>
        </w:rPr>
        <w:t>§</w:t>
      </w:r>
      <w:r w:rsidR="0018568D">
        <w:t>1</w:t>
      </w:r>
      <w:r w:rsidR="00CE3E3E">
        <w:t xml:space="preserve">.2, pp. </w:t>
      </w:r>
      <w:r w:rsidR="0018568D">
        <w:t>9-10</w:t>
      </w:r>
      <w:r w:rsidR="00CE3E3E">
        <w:t xml:space="preserve">. See also </w:t>
      </w:r>
      <w:r w:rsidR="00B32B3B" w:rsidRPr="002A0656">
        <w:t>European Commission ,”</w:t>
      </w:r>
      <w:r w:rsidRPr="00B93C28">
        <w:t xml:space="preserve">Commission Recommendation (EU) 2024/539 </w:t>
      </w:r>
      <w:r w:rsidR="000D4EEC">
        <w:t xml:space="preserve">of </w:t>
      </w:r>
      <w:r w:rsidR="002C5F5E">
        <w:t xml:space="preserve">6 February 2024 on </w:t>
      </w:r>
      <w:r w:rsidR="000D4EEC">
        <w:t xml:space="preserve">the </w:t>
      </w:r>
      <w:r w:rsidR="002C5F5E">
        <w:t>regulatory promotion of gigabit connectivity</w:t>
      </w:r>
      <w:r w:rsidR="00643F64">
        <w:t>,</w:t>
      </w:r>
      <w:r w:rsidR="007140AE">
        <w:t>”</w:t>
      </w:r>
      <w:r w:rsidR="00643F64">
        <w:t xml:space="preserve"> ¶¶64-65.</w:t>
      </w:r>
    </w:p>
  </w:footnote>
  <w:footnote w:id="77">
    <w:p w14:paraId="5F66062C" w14:textId="5001CB9B" w:rsidR="00225FD0" w:rsidRPr="002A0656" w:rsidRDefault="00225FD0">
      <w:pPr>
        <w:pStyle w:val="FootnoteText"/>
      </w:pPr>
      <w:r>
        <w:rPr>
          <w:rStyle w:val="FootnoteReference"/>
        </w:rPr>
        <w:footnoteRef/>
      </w:r>
      <w:r>
        <w:t xml:space="preserve"> </w:t>
      </w:r>
      <w:r w:rsidRPr="002A0656">
        <w:tab/>
        <w:t>Based on data provided by ComCom.</w:t>
      </w:r>
    </w:p>
  </w:footnote>
  <w:footnote w:id="78">
    <w:p w14:paraId="64B597BA" w14:textId="10471FD4" w:rsidR="006C166D" w:rsidRPr="003229E0" w:rsidRDefault="006C166D" w:rsidP="006C166D">
      <w:pPr>
        <w:pStyle w:val="FootnoteText"/>
      </w:pPr>
      <w:r>
        <w:rPr>
          <w:rStyle w:val="FootnoteReference"/>
        </w:rPr>
        <w:footnoteRef/>
      </w:r>
      <w:r>
        <w:t xml:space="preserve"> </w:t>
      </w:r>
      <w:r w:rsidRPr="002A0656">
        <w:tab/>
        <w:t xml:space="preserve">For avoidance of doubt, these markets will include (1) </w:t>
      </w:r>
      <w:r w:rsidRPr="002A0656">
        <w:rPr>
          <w:b/>
        </w:rPr>
        <w:t>wholesale access to communication ducts</w:t>
      </w:r>
      <w:r w:rsidRPr="002A0656">
        <w:t xml:space="preserve"> (ComCom main Decision - 620/9 06.11.2014 with all amendments), (2) </w:t>
      </w:r>
      <w:r w:rsidRPr="002A0656">
        <w:rPr>
          <w:b/>
        </w:rPr>
        <w:t>wholesale access to Internet resources</w:t>
      </w:r>
      <w:r w:rsidRPr="002A0656">
        <w:t xml:space="preserve"> (ComCom main Decision -57-9 29.01.2015 with all amendments), (3) </w:t>
      </w:r>
      <w:r w:rsidRPr="002A0656">
        <w:rPr>
          <w:b/>
        </w:rPr>
        <w:t>wholesale leased lines</w:t>
      </w:r>
      <w:r w:rsidRPr="002A0656">
        <w:t xml:space="preserve"> (ComCom main Decision - N671/9 06.12.2018 with all amendments), (4) </w:t>
      </w:r>
      <w:r w:rsidRPr="002A0656">
        <w:rPr>
          <w:b/>
        </w:rPr>
        <w:t>wholesale local and central access at a fixed location</w:t>
      </w:r>
      <w:r w:rsidRPr="002A0656">
        <w:t xml:space="preserve"> (ComCom main decision 9/361,08/08/2024 with all amendments), (5) </w:t>
      </w:r>
      <w:r w:rsidRPr="002A0656">
        <w:rPr>
          <w:b/>
        </w:rPr>
        <w:t>5G mobile network Wholesale services</w:t>
      </w:r>
      <w:r w:rsidRPr="002A0656">
        <w:t xml:space="preserve">, and any other relevant wholesale market which may be defined, analysed and regulated by the ComCom during the </w:t>
      </w:r>
      <w:r w:rsidR="0077055C">
        <w:t>regulatory</w:t>
      </w:r>
      <w:r w:rsidRPr="002A0656">
        <w:t xml:space="preserve"> period.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7E6CE" w14:textId="49616877" w:rsidR="00915EC0" w:rsidRDefault="00915EC0">
    <w:pPr>
      <w:pStyle w:val="Header"/>
    </w:pPr>
    <w:r w:rsidRPr="002A0656">
      <w:rPr>
        <w:noProof/>
        <w:lang w:eastAsia="it-IT"/>
      </w:rPr>
      <mc:AlternateContent>
        <mc:Choice Requires="wps">
          <w:drawing>
            <wp:anchor distT="0" distB="0" distL="114300" distR="114300" simplePos="0" relativeHeight="251656704" behindDoc="0" locked="0" layoutInCell="0" allowOverlap="1" wp14:anchorId="3214BBF8" wp14:editId="607BEAC4">
              <wp:simplePos x="0" y="0"/>
              <wp:positionH relativeFrom="page">
                <wp:posOffset>0</wp:posOffset>
              </wp:positionH>
              <wp:positionV relativeFrom="page">
                <wp:posOffset>190500</wp:posOffset>
              </wp:positionV>
              <wp:extent cx="7560310" cy="266700"/>
              <wp:effectExtent l="0" t="0" r="0" b="0"/>
              <wp:wrapNone/>
              <wp:docPr id="26" name="MSIPCM040440039930f53f6751afd4" descr="{&quot;HashCode&quot;:-1754928040,&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4C94D6" w14:textId="77777777" w:rsidR="00915EC0" w:rsidRPr="00FE3396" w:rsidRDefault="00915EC0" w:rsidP="00FE3396">
                          <w:pPr>
                            <w:rPr>
                              <w:rFonts w:ascii="Calibri" w:hAnsi="Calibri" w:cs="Calibri"/>
                              <w:color w:val="00000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214BBF8" id="_x0000_t202" coordsize="21600,21600" o:spt="202" path="m,l,21600r21600,l21600,xe">
              <v:stroke joinstyle="miter"/>
              <v:path gradientshapeok="t" o:connecttype="rect"/>
            </v:shapetype>
            <v:shape id="MSIPCM040440039930f53f6751afd4" o:spid="_x0000_s1029" type="#_x0000_t202" alt="{&quot;HashCode&quot;:-1754928040,&quot;Height&quot;:841.0,&quot;Width&quot;:595.0,&quot;Placement&quot;:&quot;Header&quot;,&quot;Index&quot;:&quot;Primary&quot;,&quot;Section&quot;:1,&quot;Top&quot;:0.0,&quot;Left&quot;:0.0}" style="position:absolute;left:0;text-align:left;margin-left:0;margin-top:15pt;width:595.3pt;height:21pt;z-index:2516567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" o:allowincell="f" filled="f" stroked="f" strokeweight=".5pt">
              <v:textbox inset="20pt,0,,0">
                <w:txbxContent>
                  <w:p w14:paraId="4C4C94D6" w14:textId="77777777" w:rsidR="00915EC0" w:rsidRPr="00FE3396" w:rsidRDefault="00915EC0" w:rsidP="00FE3396">
                    <w:pPr>
                      <w:rPr>
                        <w:rFonts w:ascii="Calibri" w:hAnsi="Calibri" w:cs="Calibri"/>
                        <w:color w:val="00000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462EF" w14:textId="536D5E22" w:rsidR="00915EC0" w:rsidRPr="00345A22" w:rsidRDefault="00915EC0" w:rsidP="0055083E">
    <w:pPr>
      <w:pStyle w:val="Header"/>
      <w:jc w:val="right"/>
      <w:rPr>
        <w:i/>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CE6610C"/>
    <w:lvl w:ilvl="0">
      <w:start w:val="1"/>
      <w:numFmt w:val="decimal"/>
      <w:pStyle w:val="ListNumber5"/>
      <w:lvlText w:val="%1."/>
      <w:lvlJc w:val="left"/>
      <w:pPr>
        <w:tabs>
          <w:tab w:val="num" w:pos="1800"/>
        </w:tabs>
        <w:ind w:left="1800" w:hanging="360"/>
      </w:pPr>
    </w:lvl>
  </w:abstractNum>
  <w:abstractNum w:abstractNumId="1" w15:restartNumberingAfterBreak="0">
    <w:nsid w:val="FFFFFF7E"/>
    <w:multiLevelType w:val="singleLevel"/>
    <w:tmpl w:val="5C02443E"/>
    <w:lvl w:ilvl="0">
      <w:start w:val="1"/>
      <w:numFmt w:val="decimal"/>
      <w:pStyle w:val="Heading9"/>
      <w:lvlText w:val="%1."/>
      <w:lvlJc w:val="left"/>
      <w:pPr>
        <w:tabs>
          <w:tab w:val="num" w:pos="1080"/>
        </w:tabs>
        <w:ind w:left="1080" w:hanging="360"/>
      </w:pPr>
    </w:lvl>
  </w:abstractNum>
  <w:abstractNum w:abstractNumId="2" w15:restartNumberingAfterBreak="0">
    <w:nsid w:val="FFFFFF80"/>
    <w:multiLevelType w:val="singleLevel"/>
    <w:tmpl w:val="F808CE06"/>
    <w:lvl w:ilvl="0">
      <w:start w:val="1"/>
      <w:numFmt w:val="bullet"/>
      <w:pStyle w:val="ListBullet5"/>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923ED16C"/>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23804080"/>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7D9655FA"/>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9"/>
    <w:multiLevelType w:val="singleLevel"/>
    <w:tmpl w:val="5EE4EB44"/>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2064415"/>
    <w:multiLevelType w:val="multilevel"/>
    <w:tmpl w:val="7CDA3320"/>
    <w:name w:val="BrattleHeadings9"/>
    <w:numStyleLink w:val="BrattleHeadings"/>
  </w:abstractNum>
  <w:abstractNum w:abstractNumId="8" w15:restartNumberingAfterBreak="0">
    <w:nsid w:val="03EE69BE"/>
    <w:multiLevelType w:val="multilevel"/>
    <w:tmpl w:val="D8F25C68"/>
    <w:numStyleLink w:val="BrattleHeadingsNumbered"/>
  </w:abstractNum>
  <w:abstractNum w:abstractNumId="9" w15:restartNumberingAfterBreak="0">
    <w:nsid w:val="04351528"/>
    <w:multiLevelType w:val="hybridMultilevel"/>
    <w:tmpl w:val="BEC41598"/>
    <w:lvl w:ilvl="0" w:tplc="E234A776">
      <w:start w:val="1"/>
      <w:numFmt w:val="bullet"/>
      <w:lvlText w:val=""/>
      <w:lvlJc w:val="left"/>
      <w:pPr>
        <w:ind w:left="720" w:hanging="360"/>
      </w:pPr>
      <w:rPr>
        <w:rFonts w:ascii="Symbol" w:hAnsi="Symbol"/>
      </w:rPr>
    </w:lvl>
    <w:lvl w:ilvl="1" w:tplc="C22E0E9E">
      <w:start w:val="1"/>
      <w:numFmt w:val="bullet"/>
      <w:lvlText w:val=""/>
      <w:lvlJc w:val="left"/>
      <w:pPr>
        <w:ind w:left="720" w:hanging="360"/>
      </w:pPr>
      <w:rPr>
        <w:rFonts w:ascii="Symbol" w:hAnsi="Symbol"/>
      </w:rPr>
    </w:lvl>
    <w:lvl w:ilvl="2" w:tplc="3E9C51B8">
      <w:start w:val="1"/>
      <w:numFmt w:val="bullet"/>
      <w:lvlText w:val=""/>
      <w:lvlJc w:val="left"/>
      <w:pPr>
        <w:ind w:left="720" w:hanging="360"/>
      </w:pPr>
      <w:rPr>
        <w:rFonts w:ascii="Symbol" w:hAnsi="Symbol"/>
      </w:rPr>
    </w:lvl>
    <w:lvl w:ilvl="3" w:tplc="83FA9D14">
      <w:start w:val="1"/>
      <w:numFmt w:val="bullet"/>
      <w:lvlText w:val=""/>
      <w:lvlJc w:val="left"/>
      <w:pPr>
        <w:ind w:left="720" w:hanging="360"/>
      </w:pPr>
      <w:rPr>
        <w:rFonts w:ascii="Symbol" w:hAnsi="Symbol"/>
      </w:rPr>
    </w:lvl>
    <w:lvl w:ilvl="4" w:tplc="80CCA31C">
      <w:start w:val="1"/>
      <w:numFmt w:val="bullet"/>
      <w:lvlText w:val=""/>
      <w:lvlJc w:val="left"/>
      <w:pPr>
        <w:ind w:left="720" w:hanging="360"/>
      </w:pPr>
      <w:rPr>
        <w:rFonts w:ascii="Symbol" w:hAnsi="Symbol"/>
      </w:rPr>
    </w:lvl>
    <w:lvl w:ilvl="5" w:tplc="D36C749A">
      <w:start w:val="1"/>
      <w:numFmt w:val="bullet"/>
      <w:lvlText w:val=""/>
      <w:lvlJc w:val="left"/>
      <w:pPr>
        <w:ind w:left="720" w:hanging="360"/>
      </w:pPr>
      <w:rPr>
        <w:rFonts w:ascii="Symbol" w:hAnsi="Symbol"/>
      </w:rPr>
    </w:lvl>
    <w:lvl w:ilvl="6" w:tplc="CDD4BCF8">
      <w:start w:val="1"/>
      <w:numFmt w:val="bullet"/>
      <w:lvlText w:val=""/>
      <w:lvlJc w:val="left"/>
      <w:pPr>
        <w:ind w:left="720" w:hanging="360"/>
      </w:pPr>
      <w:rPr>
        <w:rFonts w:ascii="Symbol" w:hAnsi="Symbol"/>
      </w:rPr>
    </w:lvl>
    <w:lvl w:ilvl="7" w:tplc="FA8C6824">
      <w:start w:val="1"/>
      <w:numFmt w:val="bullet"/>
      <w:lvlText w:val=""/>
      <w:lvlJc w:val="left"/>
      <w:pPr>
        <w:ind w:left="720" w:hanging="360"/>
      </w:pPr>
      <w:rPr>
        <w:rFonts w:ascii="Symbol" w:hAnsi="Symbol"/>
      </w:rPr>
    </w:lvl>
    <w:lvl w:ilvl="8" w:tplc="A2D41D54">
      <w:start w:val="1"/>
      <w:numFmt w:val="bullet"/>
      <w:lvlText w:val=""/>
      <w:lvlJc w:val="left"/>
      <w:pPr>
        <w:ind w:left="720" w:hanging="360"/>
      </w:pPr>
      <w:rPr>
        <w:rFonts w:ascii="Symbol" w:hAnsi="Symbol"/>
      </w:rPr>
    </w:lvl>
  </w:abstractNum>
  <w:abstractNum w:abstractNumId="10" w15:restartNumberingAfterBreak="0">
    <w:nsid w:val="0A976D1A"/>
    <w:multiLevelType w:val="hybridMultilevel"/>
    <w:tmpl w:val="9F424492"/>
    <w:lvl w:ilvl="0" w:tplc="7AAA4C56">
      <w:start w:val="1"/>
      <w:numFmt w:val="decimal"/>
      <w:pStyle w:val="TableHeaderNumbered"/>
      <w:lvlText w:val="%1."/>
      <w:lvlJc w:val="center"/>
      <w:pPr>
        <w:ind w:left="360" w:hanging="360"/>
      </w:pPr>
      <w:rPr>
        <w:rFonts w:ascii="Calibri Light" w:hAnsi="Calibri Light"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0F7BD1"/>
    <w:multiLevelType w:val="multilevel"/>
    <w:tmpl w:val="97EA756E"/>
    <w:numStyleLink w:val="BrattleNumberedParagraphs"/>
  </w:abstractNum>
  <w:abstractNum w:abstractNumId="12" w15:restartNumberingAfterBreak="0">
    <w:nsid w:val="0CD62447"/>
    <w:multiLevelType w:val="hybridMultilevel"/>
    <w:tmpl w:val="063EBEF0"/>
    <w:lvl w:ilvl="0" w:tplc="B3601162">
      <w:start w:val="1"/>
      <w:numFmt w:val="bullet"/>
      <w:lvlText w:val=""/>
      <w:lvlJc w:val="left"/>
      <w:pPr>
        <w:ind w:left="720" w:hanging="360"/>
      </w:pPr>
      <w:rPr>
        <w:rFonts w:ascii="Symbol" w:hAnsi="Symbol"/>
      </w:rPr>
    </w:lvl>
    <w:lvl w:ilvl="1" w:tplc="22B02624">
      <w:start w:val="1"/>
      <w:numFmt w:val="bullet"/>
      <w:lvlText w:val=""/>
      <w:lvlJc w:val="left"/>
      <w:pPr>
        <w:ind w:left="720" w:hanging="360"/>
      </w:pPr>
      <w:rPr>
        <w:rFonts w:ascii="Symbol" w:hAnsi="Symbol"/>
      </w:rPr>
    </w:lvl>
    <w:lvl w:ilvl="2" w:tplc="99D86326">
      <w:start w:val="1"/>
      <w:numFmt w:val="bullet"/>
      <w:lvlText w:val=""/>
      <w:lvlJc w:val="left"/>
      <w:pPr>
        <w:ind w:left="720" w:hanging="360"/>
      </w:pPr>
      <w:rPr>
        <w:rFonts w:ascii="Symbol" w:hAnsi="Symbol"/>
      </w:rPr>
    </w:lvl>
    <w:lvl w:ilvl="3" w:tplc="02CA6CBA">
      <w:start w:val="1"/>
      <w:numFmt w:val="bullet"/>
      <w:lvlText w:val=""/>
      <w:lvlJc w:val="left"/>
      <w:pPr>
        <w:ind w:left="720" w:hanging="360"/>
      </w:pPr>
      <w:rPr>
        <w:rFonts w:ascii="Symbol" w:hAnsi="Symbol"/>
      </w:rPr>
    </w:lvl>
    <w:lvl w:ilvl="4" w:tplc="9E489652">
      <w:start w:val="1"/>
      <w:numFmt w:val="bullet"/>
      <w:lvlText w:val=""/>
      <w:lvlJc w:val="left"/>
      <w:pPr>
        <w:ind w:left="720" w:hanging="360"/>
      </w:pPr>
      <w:rPr>
        <w:rFonts w:ascii="Symbol" w:hAnsi="Symbol"/>
      </w:rPr>
    </w:lvl>
    <w:lvl w:ilvl="5" w:tplc="64CA10AE">
      <w:start w:val="1"/>
      <w:numFmt w:val="bullet"/>
      <w:lvlText w:val=""/>
      <w:lvlJc w:val="left"/>
      <w:pPr>
        <w:ind w:left="720" w:hanging="360"/>
      </w:pPr>
      <w:rPr>
        <w:rFonts w:ascii="Symbol" w:hAnsi="Symbol"/>
      </w:rPr>
    </w:lvl>
    <w:lvl w:ilvl="6" w:tplc="6AC6AEC8">
      <w:start w:val="1"/>
      <w:numFmt w:val="bullet"/>
      <w:lvlText w:val=""/>
      <w:lvlJc w:val="left"/>
      <w:pPr>
        <w:ind w:left="720" w:hanging="360"/>
      </w:pPr>
      <w:rPr>
        <w:rFonts w:ascii="Symbol" w:hAnsi="Symbol"/>
      </w:rPr>
    </w:lvl>
    <w:lvl w:ilvl="7" w:tplc="9C9CAECC">
      <w:start w:val="1"/>
      <w:numFmt w:val="bullet"/>
      <w:lvlText w:val=""/>
      <w:lvlJc w:val="left"/>
      <w:pPr>
        <w:ind w:left="720" w:hanging="360"/>
      </w:pPr>
      <w:rPr>
        <w:rFonts w:ascii="Symbol" w:hAnsi="Symbol"/>
      </w:rPr>
    </w:lvl>
    <w:lvl w:ilvl="8" w:tplc="7486A77A">
      <w:start w:val="1"/>
      <w:numFmt w:val="bullet"/>
      <w:lvlText w:val=""/>
      <w:lvlJc w:val="left"/>
      <w:pPr>
        <w:ind w:left="720" w:hanging="360"/>
      </w:pPr>
      <w:rPr>
        <w:rFonts w:ascii="Symbol" w:hAnsi="Symbol"/>
      </w:rPr>
    </w:lvl>
  </w:abstractNum>
  <w:abstractNum w:abstractNumId="13" w15:restartNumberingAfterBreak="0">
    <w:nsid w:val="0DFB78B3"/>
    <w:multiLevelType w:val="multilevel"/>
    <w:tmpl w:val="7CDA3320"/>
    <w:name w:val="BrattleHeadings11"/>
    <w:numStyleLink w:val="BrattleHeadings"/>
  </w:abstractNum>
  <w:abstractNum w:abstractNumId="14" w15:restartNumberingAfterBreak="0">
    <w:nsid w:val="0E1B51DD"/>
    <w:multiLevelType w:val="multilevel"/>
    <w:tmpl w:val="04090023"/>
    <w:name w:val="Appendix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47E6035"/>
    <w:multiLevelType w:val="multilevel"/>
    <w:tmpl w:val="D8F25C68"/>
    <w:styleLink w:val="BrattleHeadingsNumbered"/>
    <w:lvl w:ilvl="0">
      <w:start w:val="1"/>
      <w:numFmt w:val="upperRoman"/>
      <w:lvlText w:val="%1."/>
      <w:lvlJc w:val="left"/>
      <w:pPr>
        <w:tabs>
          <w:tab w:val="num" w:pos="720"/>
        </w:tabs>
        <w:ind w:left="720" w:hanging="720"/>
      </w:pPr>
      <w:rPr>
        <w:rFonts w:hint="default"/>
        <w:color w:val="1B3D6F" w:themeColor="accent1"/>
      </w:rPr>
    </w:lvl>
    <w:lvl w:ilvl="1">
      <w:start w:val="1"/>
      <w:numFmt w:val="upperLetter"/>
      <w:lvlText w:val="%2."/>
      <w:lvlJc w:val="left"/>
      <w:pPr>
        <w:tabs>
          <w:tab w:val="num" w:pos="720"/>
        </w:tabs>
        <w:ind w:left="720" w:hanging="720"/>
      </w:pPr>
      <w:rPr>
        <w:rFonts w:hint="default"/>
      </w:rPr>
    </w:lvl>
    <w:lvl w:ilvl="2">
      <w:start w:val="1"/>
      <w:numFmt w:val="decimal"/>
      <w:lvlText w:val="%3."/>
      <w:lvlJc w:val="left"/>
      <w:pPr>
        <w:ind w:left="360" w:hanging="360"/>
      </w:pPr>
      <w:rPr>
        <w:rFonts w:hint="default"/>
      </w:rPr>
    </w:lvl>
    <w:lvl w:ilvl="3">
      <w:start w:val="1"/>
      <w:numFmt w:val="lowerRoman"/>
      <w:lvlText w:val="%4."/>
      <w:lvlJc w:val="left"/>
      <w:pPr>
        <w:ind w:left="360" w:hanging="360"/>
      </w:pPr>
      <w:rPr>
        <w:rFonts w:hint="default"/>
      </w:rPr>
    </w:lvl>
    <w:lvl w:ilvl="4">
      <w:start w:val="1"/>
      <w:numFmt w:val="lowerLetter"/>
      <w:lvlText w:val="%5."/>
      <w:lvlJc w:val="left"/>
      <w:pPr>
        <w:ind w:left="9576" w:hanging="360"/>
      </w:pPr>
      <w:rPr>
        <w:rFonts w:hint="default"/>
      </w:rPr>
    </w:lvl>
    <w:lvl w:ilvl="5">
      <w:start w:val="1"/>
      <w:numFmt w:val="lowerRoman"/>
      <w:lvlText w:val="%6."/>
      <w:lvlJc w:val="right"/>
      <w:pPr>
        <w:ind w:left="10296" w:hanging="180"/>
      </w:pPr>
      <w:rPr>
        <w:rFonts w:hint="default"/>
      </w:rPr>
    </w:lvl>
    <w:lvl w:ilvl="6">
      <w:start w:val="1"/>
      <w:numFmt w:val="decimal"/>
      <w:lvlText w:val="%7."/>
      <w:lvlJc w:val="left"/>
      <w:pPr>
        <w:ind w:left="11016" w:hanging="360"/>
      </w:pPr>
      <w:rPr>
        <w:rFonts w:hint="default"/>
      </w:rPr>
    </w:lvl>
    <w:lvl w:ilvl="7">
      <w:start w:val="1"/>
      <w:numFmt w:val="lowerLetter"/>
      <w:lvlText w:val="%8."/>
      <w:lvlJc w:val="left"/>
      <w:pPr>
        <w:ind w:left="11736" w:hanging="360"/>
      </w:pPr>
      <w:rPr>
        <w:rFonts w:hint="default"/>
      </w:rPr>
    </w:lvl>
    <w:lvl w:ilvl="8">
      <w:start w:val="1"/>
      <w:numFmt w:val="lowerRoman"/>
      <w:lvlText w:val="%9."/>
      <w:lvlJc w:val="right"/>
      <w:pPr>
        <w:ind w:left="12456" w:hanging="180"/>
      </w:pPr>
      <w:rPr>
        <w:rFonts w:hint="default"/>
      </w:rPr>
    </w:lvl>
  </w:abstractNum>
  <w:abstractNum w:abstractNumId="16" w15:restartNumberingAfterBreak="0">
    <w:nsid w:val="14B80896"/>
    <w:multiLevelType w:val="multilevel"/>
    <w:tmpl w:val="04090023"/>
    <w:name w:val="Appendix3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16C83DB4"/>
    <w:multiLevelType w:val="hybridMultilevel"/>
    <w:tmpl w:val="C15EADAC"/>
    <w:lvl w:ilvl="0" w:tplc="4A1A5B80">
      <w:start w:val="1"/>
      <w:numFmt w:val="decimal"/>
      <w:lvlText w:val="%1."/>
      <w:lvlJc w:val="left"/>
      <w:pPr>
        <w:ind w:left="1440" w:hanging="360"/>
      </w:pPr>
    </w:lvl>
    <w:lvl w:ilvl="1" w:tplc="CA4C4F8C">
      <w:start w:val="1"/>
      <w:numFmt w:val="decimal"/>
      <w:lvlText w:val="%2."/>
      <w:lvlJc w:val="left"/>
      <w:pPr>
        <w:ind w:left="1440" w:hanging="360"/>
      </w:pPr>
    </w:lvl>
    <w:lvl w:ilvl="2" w:tplc="42761EBE">
      <w:start w:val="1"/>
      <w:numFmt w:val="decimal"/>
      <w:lvlText w:val="%3."/>
      <w:lvlJc w:val="left"/>
      <w:pPr>
        <w:ind w:left="1440" w:hanging="360"/>
      </w:pPr>
    </w:lvl>
    <w:lvl w:ilvl="3" w:tplc="A1B29B9E">
      <w:start w:val="1"/>
      <w:numFmt w:val="decimal"/>
      <w:lvlText w:val="%4."/>
      <w:lvlJc w:val="left"/>
      <w:pPr>
        <w:ind w:left="1440" w:hanging="360"/>
      </w:pPr>
    </w:lvl>
    <w:lvl w:ilvl="4" w:tplc="A6B648AE">
      <w:start w:val="1"/>
      <w:numFmt w:val="decimal"/>
      <w:lvlText w:val="%5."/>
      <w:lvlJc w:val="left"/>
      <w:pPr>
        <w:ind w:left="1440" w:hanging="360"/>
      </w:pPr>
    </w:lvl>
    <w:lvl w:ilvl="5" w:tplc="A7FCED46">
      <w:start w:val="1"/>
      <w:numFmt w:val="decimal"/>
      <w:lvlText w:val="%6."/>
      <w:lvlJc w:val="left"/>
      <w:pPr>
        <w:ind w:left="1440" w:hanging="360"/>
      </w:pPr>
    </w:lvl>
    <w:lvl w:ilvl="6" w:tplc="333E2A22">
      <w:start w:val="1"/>
      <w:numFmt w:val="decimal"/>
      <w:lvlText w:val="%7."/>
      <w:lvlJc w:val="left"/>
      <w:pPr>
        <w:ind w:left="1440" w:hanging="360"/>
      </w:pPr>
    </w:lvl>
    <w:lvl w:ilvl="7" w:tplc="CDF48D12">
      <w:start w:val="1"/>
      <w:numFmt w:val="decimal"/>
      <w:lvlText w:val="%8."/>
      <w:lvlJc w:val="left"/>
      <w:pPr>
        <w:ind w:left="1440" w:hanging="360"/>
      </w:pPr>
    </w:lvl>
    <w:lvl w:ilvl="8" w:tplc="6B868D70">
      <w:start w:val="1"/>
      <w:numFmt w:val="decimal"/>
      <w:lvlText w:val="%9."/>
      <w:lvlJc w:val="left"/>
      <w:pPr>
        <w:ind w:left="1440" w:hanging="360"/>
      </w:pPr>
    </w:lvl>
  </w:abstractNum>
  <w:abstractNum w:abstractNumId="18" w15:restartNumberingAfterBreak="0">
    <w:nsid w:val="1D7D6F52"/>
    <w:multiLevelType w:val="multilevel"/>
    <w:tmpl w:val="920C75FA"/>
    <w:name w:val="Appendix2"/>
    <w:lvl w:ilvl="0">
      <w:start w:val="1"/>
      <w:numFmt w:val="upperLetter"/>
      <w:suff w:val="nothing"/>
      <w:lvlText w:val="Appendix %1 – "/>
      <w:lvlJc w:val="left"/>
      <w:pPr>
        <w:ind w:left="144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728"/>
        </w:tabs>
        <w:ind w:left="1728" w:hanging="288"/>
      </w:pPr>
      <w:rPr>
        <w:rFonts w:hint="default"/>
      </w:rPr>
    </w:lvl>
    <w:lvl w:ilvl="2">
      <w:start w:val="1"/>
      <w:numFmt w:val="none"/>
      <w:lvlText w:val=""/>
      <w:lvlJc w:val="left"/>
      <w:pPr>
        <w:ind w:left="1440" w:firstLine="0"/>
      </w:pPr>
      <w:rPr>
        <w:rFonts w:hint="default"/>
      </w:rPr>
    </w:lvl>
    <w:lvl w:ilvl="3">
      <w:start w:val="1"/>
      <w:numFmt w:val="none"/>
      <w:lvlText w:val=""/>
      <w:lvlJc w:val="left"/>
      <w:pPr>
        <w:ind w:left="1440" w:firstLine="0"/>
      </w:pPr>
      <w:rPr>
        <w:rFonts w:hint="default"/>
      </w:rPr>
    </w:lvl>
    <w:lvl w:ilvl="4">
      <w:start w:val="1"/>
      <w:numFmt w:val="none"/>
      <w:lvlText w:val=""/>
      <w:lvlJc w:val="left"/>
      <w:pPr>
        <w:ind w:left="1440" w:firstLine="0"/>
      </w:pPr>
      <w:rPr>
        <w:rFonts w:hint="default"/>
      </w:rPr>
    </w:lvl>
    <w:lvl w:ilvl="5">
      <w:start w:val="1"/>
      <w:numFmt w:val="none"/>
      <w:lvlText w:val=""/>
      <w:lvlJc w:val="left"/>
      <w:pPr>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ind w:left="1440" w:firstLine="0"/>
      </w:pPr>
      <w:rPr>
        <w:rFonts w:hint="default"/>
      </w:rPr>
    </w:lvl>
    <w:lvl w:ilvl="8">
      <w:start w:val="1"/>
      <w:numFmt w:val="none"/>
      <w:lvlText w:val=""/>
      <w:lvlJc w:val="left"/>
      <w:pPr>
        <w:ind w:left="1440" w:firstLine="0"/>
      </w:pPr>
      <w:rPr>
        <w:rFonts w:hint="default"/>
      </w:rPr>
    </w:lvl>
  </w:abstractNum>
  <w:abstractNum w:abstractNumId="19" w15:restartNumberingAfterBreak="0">
    <w:nsid w:val="252815C5"/>
    <w:multiLevelType w:val="multilevel"/>
    <w:tmpl w:val="97EA756E"/>
    <w:styleLink w:val="BrattleNumberedParagraphs"/>
    <w:lvl w:ilvl="0">
      <w:start w:val="1"/>
      <w:numFmt w:val="decimal"/>
      <w:pStyle w:val="ParagraphNumbered"/>
      <w:lvlText w:val="%1."/>
      <w:lvlJc w:val="right"/>
      <w:pPr>
        <w:ind w:left="0" w:hanging="144"/>
      </w:pPr>
      <w:rPr>
        <w:rFonts w:ascii="Calibri" w:hAnsi="Calibri" w:hint="default"/>
        <w:b w:val="0"/>
        <w:i w:val="0"/>
        <w:color w:val="494F56" w:themeColor="background2"/>
        <w:sz w:val="22"/>
      </w:rPr>
    </w:lvl>
    <w:lvl w:ilvl="1">
      <w:start w:val="1"/>
      <w:numFmt w:val="lowerLetter"/>
      <w:pStyle w:val="ParagraphNumbered2"/>
      <w:lvlText w:val="%2."/>
      <w:lvlJc w:val="left"/>
      <w:pPr>
        <w:ind w:left="360" w:hanging="360"/>
      </w:pPr>
      <w:rPr>
        <w:rFonts w:ascii="Calibri" w:hAnsi="Calibri" w:hint="default"/>
        <w:color w:val="494F56" w:themeColor="background2"/>
        <w:sz w:val="22"/>
      </w:rPr>
    </w:lvl>
    <w:lvl w:ilvl="2">
      <w:start w:val="1"/>
      <w:numFmt w:val="lowerRoman"/>
      <w:pStyle w:val="ParagraphNumbered3"/>
      <w:lvlText w:val="%3."/>
      <w:lvlJc w:val="left"/>
      <w:pPr>
        <w:ind w:left="720" w:hanging="360"/>
      </w:pPr>
      <w:rPr>
        <w:rFonts w:hint="default"/>
        <w:color w:val="494F56" w:themeColor="background2"/>
        <w:sz w:val="22"/>
      </w:rPr>
    </w:lvl>
    <w:lvl w:ilvl="3">
      <w:start w:val="1"/>
      <w:numFmt w:val="decimal"/>
      <w:pStyle w:val="ParagraphNumbered4"/>
      <w:lvlText w:val="(%4)"/>
      <w:lvlJc w:val="left"/>
      <w:pPr>
        <w:ind w:left="1080" w:hanging="360"/>
      </w:pPr>
      <w:rPr>
        <w:rFonts w:hint="default"/>
        <w:color w:val="494F56" w:themeColor="background2"/>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0" w15:restartNumberingAfterBreak="0">
    <w:nsid w:val="27EA73A9"/>
    <w:multiLevelType w:val="multilevel"/>
    <w:tmpl w:val="1D42E406"/>
    <w:styleLink w:val="AffidavitBullets"/>
    <w:lvl w:ilvl="0">
      <w:start w:val="1"/>
      <w:numFmt w:val="bullet"/>
      <w:pStyle w:val="AffidavitListParagraph"/>
      <w:lvlText w:val=""/>
      <w:lvlJc w:val="left"/>
      <w:pPr>
        <w:ind w:left="288" w:hanging="288"/>
      </w:pPr>
      <w:rPr>
        <w:rFonts w:ascii="Symbol" w:hAnsi="Symbol" w:hint="default"/>
        <w:color w:val="000000" w:themeColor="text1"/>
      </w:rPr>
    </w:lvl>
    <w:lvl w:ilvl="1">
      <w:start w:val="1"/>
      <w:numFmt w:val="bullet"/>
      <w:lvlText w:val="–"/>
      <w:lvlJc w:val="left"/>
      <w:pPr>
        <w:ind w:left="576" w:hanging="288"/>
      </w:pPr>
      <w:rPr>
        <w:rFonts w:ascii="Times New Roman Bold" w:hAnsi="Times New Roman Bold" w:cs="Times New Roman" w:hint="default"/>
        <w:b/>
        <w:i w:val="0"/>
      </w:rPr>
    </w:lvl>
    <w:lvl w:ilvl="2">
      <w:start w:val="1"/>
      <w:numFmt w:val="bullet"/>
      <w:lvlText w:val=""/>
      <w:lvlJc w:val="left"/>
      <w:pPr>
        <w:ind w:left="864" w:hanging="288"/>
      </w:pPr>
      <w:rPr>
        <w:rFonts w:ascii="Wingdings 3" w:hAnsi="Wingdings 3" w:hint="default"/>
        <w:color w:val="000000" w:themeColor="text1"/>
        <w:sz w:val="16"/>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90847EF"/>
    <w:multiLevelType w:val="hybridMultilevel"/>
    <w:tmpl w:val="E30C000A"/>
    <w:lvl w:ilvl="0" w:tplc="01D20DD0">
      <w:start w:val="1"/>
      <w:numFmt w:val="decimal"/>
      <w:lvlText w:val="%1."/>
      <w:lvlJc w:val="left"/>
      <w:pPr>
        <w:ind w:left="1020" w:hanging="360"/>
      </w:pPr>
    </w:lvl>
    <w:lvl w:ilvl="1" w:tplc="21901A12">
      <w:start w:val="1"/>
      <w:numFmt w:val="decimal"/>
      <w:lvlText w:val="%2."/>
      <w:lvlJc w:val="left"/>
      <w:pPr>
        <w:ind w:left="1020" w:hanging="360"/>
      </w:pPr>
    </w:lvl>
    <w:lvl w:ilvl="2" w:tplc="77488F34">
      <w:start w:val="1"/>
      <w:numFmt w:val="decimal"/>
      <w:lvlText w:val="%3."/>
      <w:lvlJc w:val="left"/>
      <w:pPr>
        <w:ind w:left="1020" w:hanging="360"/>
      </w:pPr>
    </w:lvl>
    <w:lvl w:ilvl="3" w:tplc="5E00876C">
      <w:start w:val="1"/>
      <w:numFmt w:val="decimal"/>
      <w:lvlText w:val="%4."/>
      <w:lvlJc w:val="left"/>
      <w:pPr>
        <w:ind w:left="1020" w:hanging="360"/>
      </w:pPr>
    </w:lvl>
    <w:lvl w:ilvl="4" w:tplc="E2160842">
      <w:start w:val="1"/>
      <w:numFmt w:val="decimal"/>
      <w:lvlText w:val="%5."/>
      <w:lvlJc w:val="left"/>
      <w:pPr>
        <w:ind w:left="1020" w:hanging="360"/>
      </w:pPr>
    </w:lvl>
    <w:lvl w:ilvl="5" w:tplc="1A14C770">
      <w:start w:val="1"/>
      <w:numFmt w:val="decimal"/>
      <w:lvlText w:val="%6."/>
      <w:lvlJc w:val="left"/>
      <w:pPr>
        <w:ind w:left="1020" w:hanging="360"/>
      </w:pPr>
    </w:lvl>
    <w:lvl w:ilvl="6" w:tplc="8D962346">
      <w:start w:val="1"/>
      <w:numFmt w:val="decimal"/>
      <w:lvlText w:val="%7."/>
      <w:lvlJc w:val="left"/>
      <w:pPr>
        <w:ind w:left="1020" w:hanging="360"/>
      </w:pPr>
    </w:lvl>
    <w:lvl w:ilvl="7" w:tplc="C10ECD74">
      <w:start w:val="1"/>
      <w:numFmt w:val="decimal"/>
      <w:lvlText w:val="%8."/>
      <w:lvlJc w:val="left"/>
      <w:pPr>
        <w:ind w:left="1020" w:hanging="360"/>
      </w:pPr>
    </w:lvl>
    <w:lvl w:ilvl="8" w:tplc="99888EB8">
      <w:start w:val="1"/>
      <w:numFmt w:val="decimal"/>
      <w:lvlText w:val="%9."/>
      <w:lvlJc w:val="left"/>
      <w:pPr>
        <w:ind w:left="1020" w:hanging="360"/>
      </w:pPr>
    </w:lvl>
  </w:abstractNum>
  <w:abstractNum w:abstractNumId="22" w15:restartNumberingAfterBreak="0">
    <w:nsid w:val="29816C81"/>
    <w:multiLevelType w:val="hybridMultilevel"/>
    <w:tmpl w:val="C29A448E"/>
    <w:lvl w:ilvl="0" w:tplc="78302FDE">
      <w:start w:val="1"/>
      <w:numFmt w:val="bullet"/>
      <w:lvlText w:val=""/>
      <w:lvlJc w:val="left"/>
      <w:pPr>
        <w:ind w:left="720" w:hanging="360"/>
      </w:pPr>
      <w:rPr>
        <w:rFonts w:ascii="Symbol" w:hAnsi="Symbol"/>
      </w:rPr>
    </w:lvl>
    <w:lvl w:ilvl="1" w:tplc="A260DDBE">
      <w:start w:val="1"/>
      <w:numFmt w:val="bullet"/>
      <w:lvlText w:val=""/>
      <w:lvlJc w:val="left"/>
      <w:pPr>
        <w:ind w:left="720" w:hanging="360"/>
      </w:pPr>
      <w:rPr>
        <w:rFonts w:ascii="Symbol" w:hAnsi="Symbol"/>
      </w:rPr>
    </w:lvl>
    <w:lvl w:ilvl="2" w:tplc="68027C3A">
      <w:start w:val="1"/>
      <w:numFmt w:val="bullet"/>
      <w:lvlText w:val=""/>
      <w:lvlJc w:val="left"/>
      <w:pPr>
        <w:ind w:left="720" w:hanging="360"/>
      </w:pPr>
      <w:rPr>
        <w:rFonts w:ascii="Symbol" w:hAnsi="Symbol"/>
      </w:rPr>
    </w:lvl>
    <w:lvl w:ilvl="3" w:tplc="4B428BEE">
      <w:start w:val="1"/>
      <w:numFmt w:val="bullet"/>
      <w:lvlText w:val=""/>
      <w:lvlJc w:val="left"/>
      <w:pPr>
        <w:ind w:left="720" w:hanging="360"/>
      </w:pPr>
      <w:rPr>
        <w:rFonts w:ascii="Symbol" w:hAnsi="Symbol"/>
      </w:rPr>
    </w:lvl>
    <w:lvl w:ilvl="4" w:tplc="AC04C952">
      <w:start w:val="1"/>
      <w:numFmt w:val="bullet"/>
      <w:lvlText w:val=""/>
      <w:lvlJc w:val="left"/>
      <w:pPr>
        <w:ind w:left="720" w:hanging="360"/>
      </w:pPr>
      <w:rPr>
        <w:rFonts w:ascii="Symbol" w:hAnsi="Symbol"/>
      </w:rPr>
    </w:lvl>
    <w:lvl w:ilvl="5" w:tplc="D6DA2170">
      <w:start w:val="1"/>
      <w:numFmt w:val="bullet"/>
      <w:lvlText w:val=""/>
      <w:lvlJc w:val="left"/>
      <w:pPr>
        <w:ind w:left="720" w:hanging="360"/>
      </w:pPr>
      <w:rPr>
        <w:rFonts w:ascii="Symbol" w:hAnsi="Symbol"/>
      </w:rPr>
    </w:lvl>
    <w:lvl w:ilvl="6" w:tplc="40521B4C">
      <w:start w:val="1"/>
      <w:numFmt w:val="bullet"/>
      <w:lvlText w:val=""/>
      <w:lvlJc w:val="left"/>
      <w:pPr>
        <w:ind w:left="720" w:hanging="360"/>
      </w:pPr>
      <w:rPr>
        <w:rFonts w:ascii="Symbol" w:hAnsi="Symbol"/>
      </w:rPr>
    </w:lvl>
    <w:lvl w:ilvl="7" w:tplc="85881DC6">
      <w:start w:val="1"/>
      <w:numFmt w:val="bullet"/>
      <w:lvlText w:val=""/>
      <w:lvlJc w:val="left"/>
      <w:pPr>
        <w:ind w:left="720" w:hanging="360"/>
      </w:pPr>
      <w:rPr>
        <w:rFonts w:ascii="Symbol" w:hAnsi="Symbol"/>
      </w:rPr>
    </w:lvl>
    <w:lvl w:ilvl="8" w:tplc="7BBEACD2">
      <w:start w:val="1"/>
      <w:numFmt w:val="bullet"/>
      <w:lvlText w:val=""/>
      <w:lvlJc w:val="left"/>
      <w:pPr>
        <w:ind w:left="720" w:hanging="360"/>
      </w:pPr>
      <w:rPr>
        <w:rFonts w:ascii="Symbol" w:hAnsi="Symbol"/>
      </w:rPr>
    </w:lvl>
  </w:abstractNum>
  <w:abstractNum w:abstractNumId="23" w15:restartNumberingAfterBreak="0">
    <w:nsid w:val="29AF621B"/>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B29747D"/>
    <w:multiLevelType w:val="multilevel"/>
    <w:tmpl w:val="7CDA3320"/>
    <w:name w:val="BrattleHeadings18"/>
    <w:numStyleLink w:val="BrattleHeadings"/>
  </w:abstractNum>
  <w:abstractNum w:abstractNumId="25" w15:restartNumberingAfterBreak="0">
    <w:nsid w:val="2B923861"/>
    <w:multiLevelType w:val="multilevel"/>
    <w:tmpl w:val="20C2392E"/>
    <w:styleLink w:val="AppAUK"/>
    <w:lvl w:ilvl="0">
      <w:start w:val="1"/>
      <w:numFmt w:val="upperLetter"/>
      <w:lvlText w:val="Appendix %1."/>
      <w:lvlJc w:val="left"/>
      <w:pPr>
        <w:ind w:left="360" w:hanging="360"/>
      </w:pPr>
      <w:rPr>
        <w:rFonts w:ascii="Century Gothic" w:hAnsi="Century Gothic" w:hint="default"/>
        <w:b w:val="0"/>
        <w:i w:val="0"/>
        <w:color w:val="00467F"/>
        <w:sz w:val="40"/>
      </w:rPr>
    </w:lvl>
    <w:lvl w:ilvl="1">
      <w:start w:val="1"/>
      <w:numFmt w:val="upperRoman"/>
      <w:lvlText w:val="%1.%2."/>
      <w:lvlJc w:val="left"/>
      <w:pPr>
        <w:ind w:left="720" w:hanging="360"/>
      </w:pPr>
      <w:rPr>
        <w:rFonts w:ascii="Century Gothic" w:hAnsi="Century Gothic" w:hint="default"/>
        <w:b w:val="0"/>
        <w:i w:val="0"/>
        <w:caps/>
        <w:strike w:val="0"/>
        <w:dstrike w:val="0"/>
        <w:vanish w:val="0"/>
        <w:color w:val="00467F"/>
        <w:sz w:val="36"/>
        <w:vertAlign w:val="baseline"/>
      </w:rPr>
    </w:lvl>
    <w:lvl w:ilvl="2">
      <w:start w:val="1"/>
      <w:numFmt w:val="decimal"/>
      <w:lvlText w:val="%1.%2.%3."/>
      <w:lvlJc w:val="left"/>
      <w:pPr>
        <w:ind w:left="1080" w:hanging="360"/>
      </w:pPr>
      <w:rPr>
        <w:rFonts w:ascii="Century Gothic" w:hAnsi="Century Gothic" w:hint="default"/>
        <w:b w:val="0"/>
        <w:i w:val="0"/>
        <w:color w:val="00467F"/>
        <w:sz w:val="32"/>
      </w:rPr>
    </w:lvl>
    <w:lvl w:ilvl="3">
      <w:start w:val="1"/>
      <w:numFmt w:val="lowerRoman"/>
      <w:lvlText w:val="%1.%2.%3.%4."/>
      <w:lvlJc w:val="left"/>
      <w:pPr>
        <w:ind w:left="1440" w:hanging="360"/>
      </w:pPr>
      <w:rPr>
        <w:rFonts w:ascii="Century Gothic" w:hAnsi="Century Gothic" w:hint="default"/>
        <w:b w:val="0"/>
        <w:i/>
        <w:color w:val="00467F"/>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C8227E6"/>
    <w:multiLevelType w:val="multilevel"/>
    <w:tmpl w:val="77A0C9D4"/>
    <w:lvl w:ilvl="0">
      <w:start w:val="2"/>
      <w:numFmt w:val="upperLetter"/>
      <w:pStyle w:val="Heading1Affidavit"/>
      <w:lvlText w:val="%1."/>
      <w:lvlJc w:val="left"/>
      <w:pPr>
        <w:ind w:left="360" w:hanging="360"/>
      </w:pPr>
      <w:rPr>
        <w:rFonts w:hint="default"/>
      </w:rPr>
    </w:lvl>
    <w:lvl w:ilvl="1">
      <w:start w:val="1"/>
      <w:numFmt w:val="decimal"/>
      <w:pStyle w:val="Heading2Affidavit"/>
      <w:lvlText w:val="%1.%2."/>
      <w:lvlJc w:val="left"/>
      <w:pPr>
        <w:ind w:left="576" w:hanging="576"/>
      </w:pPr>
      <w:rPr>
        <w:rFonts w:hint="default"/>
      </w:rPr>
    </w:lvl>
    <w:lvl w:ilvl="2">
      <w:start w:val="1"/>
      <w:numFmt w:val="decimal"/>
      <w:pStyle w:val="Heading3Affidavit"/>
      <w:lvlText w:val="%1.%2.%3."/>
      <w:lvlJc w:val="left"/>
      <w:pPr>
        <w:ind w:left="864" w:hanging="864"/>
      </w:pPr>
      <w:rPr>
        <w:rFonts w:hint="default"/>
      </w:rPr>
    </w:lvl>
    <w:lvl w:ilvl="3">
      <w:start w:val="1"/>
      <w:numFmt w:val="decimal"/>
      <w:pStyle w:val="Heading4Affidavit"/>
      <w:lvlText w:val="%1.%2.%3.%4."/>
      <w:lvlJc w:val="left"/>
      <w:pPr>
        <w:ind w:left="1152" w:hanging="115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CCE058F"/>
    <w:multiLevelType w:val="multilevel"/>
    <w:tmpl w:val="248EBE7A"/>
    <w:styleLink w:val="BrattleAppendixNumbers"/>
    <w:lvl w:ilvl="0">
      <w:start w:val="1"/>
      <w:numFmt w:val="upperLetter"/>
      <w:pStyle w:val="AppendixHeading1"/>
      <w:suff w:val="nothing"/>
      <w:lvlText w:val="Appendix %1"/>
      <w:lvlJc w:val="left"/>
      <w:pPr>
        <w:ind w:left="0" w:firstLine="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ind w:left="1152" w:hanging="1152"/>
      </w:pPr>
      <w:rPr>
        <w:rFonts w:hint="default"/>
        <w:b w:val="0"/>
        <w:i w:val="0"/>
        <w:color w:val="494F56" w:themeColor="background2"/>
        <w:sz w:val="41"/>
      </w:rPr>
    </w:lvl>
    <w:lvl w:ilvl="2">
      <w:start w:val="1"/>
      <w:numFmt w:val="lowerLetter"/>
      <w:pStyle w:val="AppendixHeading3"/>
      <w:lvlText w:val="%1.%2.%3"/>
      <w:lvlJc w:val="left"/>
      <w:pPr>
        <w:ind w:left="1152" w:hanging="1152"/>
      </w:pPr>
      <w:rPr>
        <w:rFonts w:hint="default"/>
        <w:b/>
        <w:i w:val="0"/>
        <w:color w:val="494F56" w:themeColor="background2"/>
        <w:sz w:val="34"/>
      </w:rPr>
    </w:lvl>
    <w:lvl w:ilvl="3">
      <w:start w:val="1"/>
      <w:numFmt w:val="lowerRoman"/>
      <w:pStyle w:val="AppendixHeading4"/>
      <w:lvlText w:val="%1.%2.%3.%4"/>
      <w:lvlJc w:val="left"/>
      <w:pPr>
        <w:ind w:left="1152" w:hanging="1152"/>
      </w:pPr>
      <w:rPr>
        <w:rFonts w:hint="default"/>
        <w:b/>
        <w:i w:val="0"/>
        <w:color w:val="2297AA" w:themeColor="accent2"/>
        <w:sz w:val="29"/>
      </w:rPr>
    </w:lvl>
    <w:lvl w:ilvl="4">
      <w:start w:val="1"/>
      <w:numFmt w:val="none"/>
      <w:lvlText w:val=""/>
      <w:lvlJc w:val="left"/>
      <w:pPr>
        <w:ind w:left="1440" w:firstLine="0"/>
      </w:pPr>
      <w:rPr>
        <w:rFonts w:hint="default"/>
      </w:rPr>
    </w:lvl>
    <w:lvl w:ilvl="5">
      <w:start w:val="1"/>
      <w:numFmt w:val="none"/>
      <w:lvlText w:val=""/>
      <w:lvlJc w:val="left"/>
      <w:pPr>
        <w:ind w:left="1440" w:firstLine="0"/>
      </w:pPr>
      <w:rPr>
        <w:rFonts w:hint="default"/>
      </w:rPr>
    </w:lvl>
    <w:lvl w:ilvl="6">
      <w:start w:val="1"/>
      <w:numFmt w:val="none"/>
      <w:lvlText w:val=""/>
      <w:lvlJc w:val="left"/>
      <w:pPr>
        <w:ind w:left="1440" w:firstLine="0"/>
      </w:pPr>
      <w:rPr>
        <w:rFonts w:hint="default"/>
      </w:rPr>
    </w:lvl>
    <w:lvl w:ilvl="7">
      <w:start w:val="1"/>
      <w:numFmt w:val="none"/>
      <w:lvlText w:val=""/>
      <w:lvlJc w:val="left"/>
      <w:pPr>
        <w:ind w:left="1440" w:firstLine="0"/>
      </w:pPr>
      <w:rPr>
        <w:rFonts w:hint="default"/>
      </w:rPr>
    </w:lvl>
    <w:lvl w:ilvl="8">
      <w:start w:val="1"/>
      <w:numFmt w:val="none"/>
      <w:lvlText w:val=""/>
      <w:lvlJc w:val="left"/>
      <w:pPr>
        <w:ind w:left="1440" w:firstLine="0"/>
      </w:pPr>
      <w:rPr>
        <w:rFonts w:hint="default"/>
      </w:rPr>
    </w:lvl>
  </w:abstractNum>
  <w:abstractNum w:abstractNumId="28" w15:restartNumberingAfterBreak="0">
    <w:nsid w:val="30670AD4"/>
    <w:multiLevelType w:val="multilevel"/>
    <w:tmpl w:val="06F6898C"/>
    <w:numStyleLink w:val="BrattleBullets"/>
  </w:abstractNum>
  <w:abstractNum w:abstractNumId="29" w15:restartNumberingAfterBreak="0">
    <w:nsid w:val="311B12B6"/>
    <w:multiLevelType w:val="hybridMultilevel"/>
    <w:tmpl w:val="E850050E"/>
    <w:lvl w:ilvl="0" w:tplc="297270C4">
      <w:start w:val="1"/>
      <w:numFmt w:val="bullet"/>
      <w:lvlText w:val=""/>
      <w:lvlJc w:val="left"/>
      <w:pPr>
        <w:tabs>
          <w:tab w:val="num" w:pos="720"/>
        </w:tabs>
        <w:ind w:left="720" w:hanging="360"/>
      </w:pPr>
      <w:rPr>
        <w:rFonts w:ascii="Wingdings 2" w:hAnsi="Wingdings 2" w:hint="default"/>
      </w:rPr>
    </w:lvl>
    <w:lvl w:ilvl="1" w:tplc="74545EA8">
      <w:start w:val="1"/>
      <w:numFmt w:val="bullet"/>
      <w:lvlText w:val=""/>
      <w:lvlJc w:val="left"/>
      <w:pPr>
        <w:tabs>
          <w:tab w:val="num" w:pos="1440"/>
        </w:tabs>
        <w:ind w:left="1440" w:hanging="360"/>
      </w:pPr>
      <w:rPr>
        <w:rFonts w:ascii="Wingdings 2" w:hAnsi="Wingdings 2" w:hint="default"/>
      </w:rPr>
    </w:lvl>
    <w:lvl w:ilvl="2" w:tplc="AF3AE2A4">
      <w:numFmt w:val="bullet"/>
      <w:lvlText w:val="–"/>
      <w:lvlJc w:val="left"/>
      <w:pPr>
        <w:tabs>
          <w:tab w:val="num" w:pos="2160"/>
        </w:tabs>
        <w:ind w:left="2160" w:hanging="360"/>
      </w:pPr>
      <w:rPr>
        <w:rFonts w:ascii="Calibri" w:hAnsi="Calibri" w:hint="default"/>
      </w:rPr>
    </w:lvl>
    <w:lvl w:ilvl="3" w:tplc="3E8E2E96" w:tentative="1">
      <w:start w:val="1"/>
      <w:numFmt w:val="bullet"/>
      <w:lvlText w:val=""/>
      <w:lvlJc w:val="left"/>
      <w:pPr>
        <w:tabs>
          <w:tab w:val="num" w:pos="2880"/>
        </w:tabs>
        <w:ind w:left="2880" w:hanging="360"/>
      </w:pPr>
      <w:rPr>
        <w:rFonts w:ascii="Wingdings 2" w:hAnsi="Wingdings 2" w:hint="default"/>
      </w:rPr>
    </w:lvl>
    <w:lvl w:ilvl="4" w:tplc="8CA2979C" w:tentative="1">
      <w:start w:val="1"/>
      <w:numFmt w:val="bullet"/>
      <w:lvlText w:val=""/>
      <w:lvlJc w:val="left"/>
      <w:pPr>
        <w:tabs>
          <w:tab w:val="num" w:pos="3600"/>
        </w:tabs>
        <w:ind w:left="3600" w:hanging="360"/>
      </w:pPr>
      <w:rPr>
        <w:rFonts w:ascii="Wingdings 2" w:hAnsi="Wingdings 2" w:hint="default"/>
      </w:rPr>
    </w:lvl>
    <w:lvl w:ilvl="5" w:tplc="E18C7D1A" w:tentative="1">
      <w:start w:val="1"/>
      <w:numFmt w:val="bullet"/>
      <w:lvlText w:val=""/>
      <w:lvlJc w:val="left"/>
      <w:pPr>
        <w:tabs>
          <w:tab w:val="num" w:pos="4320"/>
        </w:tabs>
        <w:ind w:left="4320" w:hanging="360"/>
      </w:pPr>
      <w:rPr>
        <w:rFonts w:ascii="Wingdings 2" w:hAnsi="Wingdings 2" w:hint="default"/>
      </w:rPr>
    </w:lvl>
    <w:lvl w:ilvl="6" w:tplc="F3FEFA4C" w:tentative="1">
      <w:start w:val="1"/>
      <w:numFmt w:val="bullet"/>
      <w:lvlText w:val=""/>
      <w:lvlJc w:val="left"/>
      <w:pPr>
        <w:tabs>
          <w:tab w:val="num" w:pos="5040"/>
        </w:tabs>
        <w:ind w:left="5040" w:hanging="360"/>
      </w:pPr>
      <w:rPr>
        <w:rFonts w:ascii="Wingdings 2" w:hAnsi="Wingdings 2" w:hint="default"/>
      </w:rPr>
    </w:lvl>
    <w:lvl w:ilvl="7" w:tplc="D2745D04" w:tentative="1">
      <w:start w:val="1"/>
      <w:numFmt w:val="bullet"/>
      <w:lvlText w:val=""/>
      <w:lvlJc w:val="left"/>
      <w:pPr>
        <w:tabs>
          <w:tab w:val="num" w:pos="5760"/>
        </w:tabs>
        <w:ind w:left="5760" w:hanging="360"/>
      </w:pPr>
      <w:rPr>
        <w:rFonts w:ascii="Wingdings 2" w:hAnsi="Wingdings 2" w:hint="default"/>
      </w:rPr>
    </w:lvl>
    <w:lvl w:ilvl="8" w:tplc="FB4425B6"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32290709"/>
    <w:multiLevelType w:val="multilevel"/>
    <w:tmpl w:val="DF625618"/>
    <w:styleLink w:val="AffidavitNumbers"/>
    <w:lvl w:ilvl="0">
      <w:start w:val="1"/>
      <w:numFmt w:val="decimal"/>
      <w:pStyle w:val="AffidavitNumberedParagraph"/>
      <w:lvlText w:val="%1."/>
      <w:lvlJc w:val="left"/>
      <w:pPr>
        <w:ind w:left="288" w:hanging="288"/>
      </w:pPr>
      <w:rPr>
        <w:rFonts w:hint="default"/>
      </w:rPr>
    </w:lvl>
    <w:lvl w:ilvl="1">
      <w:start w:val="1"/>
      <w:numFmt w:val="lowerLetter"/>
      <w:lvlText w:val="%2."/>
      <w:lvlJc w:val="left"/>
      <w:pPr>
        <w:ind w:left="576" w:hanging="288"/>
      </w:pPr>
      <w:rPr>
        <w:rFonts w:hint="default"/>
      </w:rPr>
    </w:lvl>
    <w:lvl w:ilvl="2">
      <w:start w:val="1"/>
      <w:numFmt w:val="lowerRoman"/>
      <w:lvlText w:val="%3."/>
      <w:lvlJc w:val="left"/>
      <w:pPr>
        <w:ind w:left="864" w:hanging="28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30B7D3F"/>
    <w:multiLevelType w:val="hybridMultilevel"/>
    <w:tmpl w:val="68C85AB2"/>
    <w:lvl w:ilvl="0" w:tplc="F842C71A">
      <w:start w:val="1"/>
      <w:numFmt w:val="bullet"/>
      <w:lvlText w:val=""/>
      <w:lvlJc w:val="left"/>
      <w:pPr>
        <w:ind w:left="720" w:hanging="360"/>
      </w:pPr>
      <w:rPr>
        <w:rFonts w:ascii="Symbol" w:hAnsi="Symbol"/>
      </w:rPr>
    </w:lvl>
    <w:lvl w:ilvl="1" w:tplc="A69C3632">
      <w:start w:val="1"/>
      <w:numFmt w:val="bullet"/>
      <w:lvlText w:val=""/>
      <w:lvlJc w:val="left"/>
      <w:pPr>
        <w:ind w:left="720" w:hanging="360"/>
      </w:pPr>
      <w:rPr>
        <w:rFonts w:ascii="Symbol" w:hAnsi="Symbol"/>
      </w:rPr>
    </w:lvl>
    <w:lvl w:ilvl="2" w:tplc="6E9E2846">
      <w:start w:val="1"/>
      <w:numFmt w:val="bullet"/>
      <w:lvlText w:val=""/>
      <w:lvlJc w:val="left"/>
      <w:pPr>
        <w:ind w:left="720" w:hanging="360"/>
      </w:pPr>
      <w:rPr>
        <w:rFonts w:ascii="Symbol" w:hAnsi="Symbol"/>
      </w:rPr>
    </w:lvl>
    <w:lvl w:ilvl="3" w:tplc="71846FC0">
      <w:start w:val="1"/>
      <w:numFmt w:val="bullet"/>
      <w:lvlText w:val=""/>
      <w:lvlJc w:val="left"/>
      <w:pPr>
        <w:ind w:left="720" w:hanging="360"/>
      </w:pPr>
      <w:rPr>
        <w:rFonts w:ascii="Symbol" w:hAnsi="Symbol"/>
      </w:rPr>
    </w:lvl>
    <w:lvl w:ilvl="4" w:tplc="99421F1C">
      <w:start w:val="1"/>
      <w:numFmt w:val="bullet"/>
      <w:lvlText w:val=""/>
      <w:lvlJc w:val="left"/>
      <w:pPr>
        <w:ind w:left="720" w:hanging="360"/>
      </w:pPr>
      <w:rPr>
        <w:rFonts w:ascii="Symbol" w:hAnsi="Symbol"/>
      </w:rPr>
    </w:lvl>
    <w:lvl w:ilvl="5" w:tplc="E1FC1556">
      <w:start w:val="1"/>
      <w:numFmt w:val="bullet"/>
      <w:lvlText w:val=""/>
      <w:lvlJc w:val="left"/>
      <w:pPr>
        <w:ind w:left="720" w:hanging="360"/>
      </w:pPr>
      <w:rPr>
        <w:rFonts w:ascii="Symbol" w:hAnsi="Symbol"/>
      </w:rPr>
    </w:lvl>
    <w:lvl w:ilvl="6" w:tplc="C110F43E">
      <w:start w:val="1"/>
      <w:numFmt w:val="bullet"/>
      <w:lvlText w:val=""/>
      <w:lvlJc w:val="left"/>
      <w:pPr>
        <w:ind w:left="720" w:hanging="360"/>
      </w:pPr>
      <w:rPr>
        <w:rFonts w:ascii="Symbol" w:hAnsi="Symbol"/>
      </w:rPr>
    </w:lvl>
    <w:lvl w:ilvl="7" w:tplc="91BA1526">
      <w:start w:val="1"/>
      <w:numFmt w:val="bullet"/>
      <w:lvlText w:val=""/>
      <w:lvlJc w:val="left"/>
      <w:pPr>
        <w:ind w:left="720" w:hanging="360"/>
      </w:pPr>
      <w:rPr>
        <w:rFonts w:ascii="Symbol" w:hAnsi="Symbol"/>
      </w:rPr>
    </w:lvl>
    <w:lvl w:ilvl="8" w:tplc="ADF894FC">
      <w:start w:val="1"/>
      <w:numFmt w:val="bullet"/>
      <w:lvlText w:val=""/>
      <w:lvlJc w:val="left"/>
      <w:pPr>
        <w:ind w:left="720" w:hanging="360"/>
      </w:pPr>
      <w:rPr>
        <w:rFonts w:ascii="Symbol" w:hAnsi="Symbol"/>
      </w:rPr>
    </w:lvl>
  </w:abstractNum>
  <w:abstractNum w:abstractNumId="32" w15:restartNumberingAfterBreak="0">
    <w:nsid w:val="3627474A"/>
    <w:multiLevelType w:val="hybridMultilevel"/>
    <w:tmpl w:val="E7FAE06E"/>
    <w:lvl w:ilvl="0" w:tplc="8F8C6730">
      <w:start w:val="1"/>
      <w:numFmt w:val="bullet"/>
      <w:pStyle w:val="CalloutBullets"/>
      <w:lvlText w:val=""/>
      <w:lvlJc w:val="left"/>
      <w:pPr>
        <w:ind w:left="360" w:hanging="360"/>
      </w:pPr>
      <w:rPr>
        <w:rFonts w:ascii="Symbol" w:hAnsi="Symbol" w:hint="default"/>
        <w:color w:val="00A8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8DB7177"/>
    <w:multiLevelType w:val="multilevel"/>
    <w:tmpl w:val="FA2ABA6A"/>
    <w:lvl w:ilvl="0">
      <w:start w:val="1"/>
      <w:numFmt w:val="decimal"/>
      <w:pStyle w:val="TestimonyAParagraph"/>
      <w:lvlText w:val="A%1:"/>
      <w:lvlJc w:val="left"/>
      <w:pPr>
        <w:ind w:left="576" w:hanging="576"/>
      </w:pPr>
      <w:rPr>
        <w:rFonts w:hint="default"/>
      </w:rPr>
    </w:lvl>
    <w:lvl w:ilvl="1">
      <w:start w:val="1"/>
      <w:numFmt w:val="none"/>
      <w:lvlText w:val=""/>
      <w:lvlJc w:val="left"/>
      <w:pPr>
        <w:tabs>
          <w:tab w:val="num" w:pos="576"/>
        </w:tabs>
        <w:ind w:left="576" w:firstLine="0"/>
      </w:pPr>
      <w:rPr>
        <w:rFonts w:hint="default"/>
        <w:b/>
        <w:i w:val="0"/>
      </w:rPr>
    </w:lvl>
    <w:lvl w:ilvl="2">
      <w:start w:val="1"/>
      <w:numFmt w:val="bullet"/>
      <w:lvlText w:val=""/>
      <w:lvlJc w:val="left"/>
      <w:pPr>
        <w:ind w:left="864" w:hanging="288"/>
      </w:pPr>
      <w:rPr>
        <w:rFonts w:ascii="Symbol" w:hAnsi="Symbol" w:hint="default"/>
        <w:color w:val="000000" w:themeColor="text1"/>
        <w:sz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39664F08"/>
    <w:multiLevelType w:val="hybridMultilevel"/>
    <w:tmpl w:val="5816CF08"/>
    <w:lvl w:ilvl="0" w:tplc="B3FAFF30">
      <w:start w:val="1"/>
      <w:numFmt w:val="bullet"/>
      <w:pStyle w:val="FigureSourceBullets"/>
      <w:lvlText w:val="–"/>
      <w:lvlJc w:val="left"/>
      <w:pPr>
        <w:ind w:left="360" w:hanging="360"/>
      </w:pPr>
      <w:rPr>
        <w:rFonts w:ascii="Calibri" w:hAnsi="Calibri" w:hint="default"/>
        <w:b/>
        <w:i w:val="0"/>
        <w:color w:val="2297AA"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ABB6A98"/>
    <w:multiLevelType w:val="multilevel"/>
    <w:tmpl w:val="06F6898C"/>
    <w:styleLink w:val="BrattleBullets"/>
    <w:lvl w:ilvl="0">
      <w:start w:val="1"/>
      <w:numFmt w:val="bullet"/>
      <w:pStyle w:val="ListParagraph"/>
      <w:lvlText w:val=""/>
      <w:lvlJc w:val="left"/>
      <w:pPr>
        <w:ind w:left="360" w:hanging="360"/>
      </w:pPr>
      <w:rPr>
        <w:rFonts w:ascii="Symbol" w:hAnsi="Symbol" w:hint="default"/>
        <w:color w:val="2297AA" w:themeColor="accent2"/>
      </w:rPr>
    </w:lvl>
    <w:lvl w:ilvl="1">
      <w:start w:val="1"/>
      <w:numFmt w:val="bullet"/>
      <w:pStyle w:val="ListParagraph2"/>
      <w:lvlText w:val="–"/>
      <w:lvlJc w:val="left"/>
      <w:pPr>
        <w:ind w:left="720" w:hanging="360"/>
      </w:pPr>
      <w:rPr>
        <w:rFonts w:ascii="Calibri" w:hAnsi="Calibri" w:hint="default"/>
        <w:b/>
        <w:i w:val="0"/>
        <w:color w:val="2297AA" w:themeColor="accent2"/>
      </w:rPr>
    </w:lvl>
    <w:lvl w:ilvl="2">
      <w:start w:val="1"/>
      <w:numFmt w:val="bullet"/>
      <w:pStyle w:val="ListParagraph3"/>
      <w:lvlText w:val=""/>
      <w:lvlJc w:val="left"/>
      <w:pPr>
        <w:ind w:left="1080" w:hanging="360"/>
      </w:pPr>
      <w:rPr>
        <w:rFonts w:ascii="Wingdings 3" w:hAnsi="Wingdings 3" w:hint="default"/>
        <w:color w:val="494F56" w:themeColor="background2"/>
        <w:sz w:val="16"/>
      </w:rPr>
    </w:lvl>
    <w:lvl w:ilvl="3">
      <w:start w:val="1"/>
      <w:numFmt w:val="bullet"/>
      <w:pStyle w:val="ListParagraph4"/>
      <w:lvlText w:val=""/>
      <w:lvlJc w:val="left"/>
      <w:pPr>
        <w:ind w:left="1440" w:hanging="360"/>
      </w:pPr>
      <w:rPr>
        <w:rFonts w:ascii="Symbol" w:hAnsi="Symbol" w:hint="default"/>
        <w:color w:val="494F56" w:themeColor="background2"/>
      </w:rPr>
    </w:lvl>
    <w:lvl w:ilvl="4">
      <w:start w:val="1"/>
      <w:numFmt w:val="none"/>
      <w:lvlText w:val=""/>
      <w:lvlJc w:val="left"/>
      <w:pPr>
        <w:ind w:left="1152" w:firstLine="0"/>
      </w:pPr>
      <w:rPr>
        <w:rFonts w:hint="default"/>
      </w:rPr>
    </w:lvl>
    <w:lvl w:ilvl="5">
      <w:start w:val="1"/>
      <w:numFmt w:val="none"/>
      <w:lvlText w:val=""/>
      <w:lvlJc w:val="left"/>
      <w:pPr>
        <w:ind w:left="1152" w:firstLine="0"/>
      </w:pPr>
      <w:rPr>
        <w:rFonts w:hint="default"/>
      </w:rPr>
    </w:lvl>
    <w:lvl w:ilvl="6">
      <w:start w:val="1"/>
      <w:numFmt w:val="none"/>
      <w:lvlText w:val=""/>
      <w:lvlJc w:val="left"/>
      <w:pPr>
        <w:ind w:left="1152" w:firstLine="0"/>
      </w:pPr>
      <w:rPr>
        <w:rFonts w:hint="default"/>
      </w:rPr>
    </w:lvl>
    <w:lvl w:ilvl="7">
      <w:start w:val="1"/>
      <w:numFmt w:val="none"/>
      <w:lvlText w:val=""/>
      <w:lvlJc w:val="left"/>
      <w:pPr>
        <w:ind w:left="1152" w:firstLine="0"/>
      </w:pPr>
      <w:rPr>
        <w:rFonts w:hint="default"/>
      </w:rPr>
    </w:lvl>
    <w:lvl w:ilvl="8">
      <w:start w:val="1"/>
      <w:numFmt w:val="none"/>
      <w:lvlText w:val=""/>
      <w:lvlJc w:val="left"/>
      <w:pPr>
        <w:ind w:left="1152" w:firstLine="0"/>
      </w:pPr>
      <w:rPr>
        <w:rFonts w:hint="default"/>
      </w:rPr>
    </w:lvl>
  </w:abstractNum>
  <w:abstractNum w:abstractNumId="36" w15:restartNumberingAfterBreak="0">
    <w:nsid w:val="3ADA0B4D"/>
    <w:multiLevelType w:val="multilevel"/>
    <w:tmpl w:val="4E30FCCE"/>
    <w:styleLink w:val="UKHeadingOutline"/>
    <w:lvl w:ilvl="0">
      <w:start w:val="1"/>
      <w:numFmt w:val="upperRoman"/>
      <w:lvlText w:val="%1."/>
      <w:lvlJc w:val="left"/>
      <w:pPr>
        <w:tabs>
          <w:tab w:val="num" w:pos="720"/>
        </w:tabs>
        <w:ind w:left="547" w:hanging="547"/>
      </w:pPr>
      <w:rPr>
        <w:rFonts w:ascii="Century Gothic" w:hAnsi="Century Gothic" w:hint="default"/>
        <w:b w:val="0"/>
        <w:i w:val="0"/>
        <w:color w:val="00467F"/>
        <w:sz w:val="44"/>
      </w:rPr>
    </w:lvl>
    <w:lvl w:ilvl="1">
      <w:start w:val="1"/>
      <w:numFmt w:val="upperLetter"/>
      <w:lvlText w:val="%1.%2."/>
      <w:lvlJc w:val="left"/>
      <w:pPr>
        <w:tabs>
          <w:tab w:val="num" w:pos="1267"/>
        </w:tabs>
        <w:ind w:left="1094" w:hanging="547"/>
      </w:pPr>
      <w:rPr>
        <w:rFonts w:ascii="Century Gothic" w:hAnsi="Century Gothic" w:hint="default"/>
        <w:b w:val="0"/>
        <w:i w:val="0"/>
        <w:caps/>
        <w:strike w:val="0"/>
        <w:dstrike w:val="0"/>
        <w:vanish w:val="0"/>
        <w:color w:val="00467F"/>
        <w:sz w:val="40"/>
        <w:vertAlign w:val="baseline"/>
      </w:rPr>
    </w:lvl>
    <w:lvl w:ilvl="2">
      <w:start w:val="1"/>
      <w:numFmt w:val="decimal"/>
      <w:lvlText w:val="%1.%2.%3."/>
      <w:lvlJc w:val="left"/>
      <w:pPr>
        <w:tabs>
          <w:tab w:val="num" w:pos="1814"/>
        </w:tabs>
        <w:ind w:left="1641" w:hanging="547"/>
      </w:pPr>
      <w:rPr>
        <w:rFonts w:ascii="Century Gothic" w:hAnsi="Century Gothic" w:hint="default"/>
        <w:b w:val="0"/>
        <w:i w:val="0"/>
        <w:caps w:val="0"/>
        <w:color w:val="00467F"/>
        <w:sz w:val="36"/>
      </w:rPr>
    </w:lvl>
    <w:lvl w:ilvl="3">
      <w:start w:val="1"/>
      <w:numFmt w:val="lowerLetter"/>
      <w:lvlText w:val="%1.%2.%3.%4."/>
      <w:lvlJc w:val="left"/>
      <w:pPr>
        <w:tabs>
          <w:tab w:val="num" w:pos="2361"/>
        </w:tabs>
        <w:ind w:left="2188" w:hanging="547"/>
      </w:pPr>
      <w:rPr>
        <w:rFonts w:ascii="Century Gothic" w:hAnsi="Century Gothic" w:hint="default"/>
        <w:b w:val="0"/>
        <w:i/>
        <w:color w:val="00467F"/>
        <w:sz w:val="28"/>
      </w:rPr>
    </w:lvl>
    <w:lvl w:ilvl="4">
      <w:start w:val="1"/>
      <w:numFmt w:val="none"/>
      <w:lvlText w:val=""/>
      <w:lvlJc w:val="left"/>
      <w:pPr>
        <w:tabs>
          <w:tab w:val="num" w:pos="2908"/>
        </w:tabs>
        <w:ind w:left="2735" w:hanging="547"/>
      </w:pPr>
      <w:rPr>
        <w:rFonts w:hint="default"/>
      </w:rPr>
    </w:lvl>
    <w:lvl w:ilvl="5">
      <w:start w:val="1"/>
      <w:numFmt w:val="none"/>
      <w:lvlText w:val=""/>
      <w:lvlJc w:val="left"/>
      <w:pPr>
        <w:tabs>
          <w:tab w:val="num" w:pos="3455"/>
        </w:tabs>
        <w:ind w:left="3282" w:hanging="547"/>
      </w:pPr>
      <w:rPr>
        <w:rFonts w:hint="default"/>
      </w:rPr>
    </w:lvl>
    <w:lvl w:ilvl="6">
      <w:start w:val="1"/>
      <w:numFmt w:val="none"/>
      <w:lvlText w:val="%7"/>
      <w:lvlJc w:val="left"/>
      <w:pPr>
        <w:tabs>
          <w:tab w:val="num" w:pos="4002"/>
        </w:tabs>
        <w:ind w:left="3829" w:hanging="547"/>
      </w:pPr>
      <w:rPr>
        <w:rFonts w:hint="default"/>
      </w:rPr>
    </w:lvl>
    <w:lvl w:ilvl="7">
      <w:start w:val="1"/>
      <w:numFmt w:val="none"/>
      <w:lvlText w:val=""/>
      <w:lvlJc w:val="left"/>
      <w:pPr>
        <w:tabs>
          <w:tab w:val="num" w:pos="4549"/>
        </w:tabs>
        <w:ind w:left="4376" w:hanging="547"/>
      </w:pPr>
      <w:rPr>
        <w:rFonts w:hint="default"/>
      </w:rPr>
    </w:lvl>
    <w:lvl w:ilvl="8">
      <w:start w:val="1"/>
      <w:numFmt w:val="none"/>
      <w:lvlText w:val=""/>
      <w:lvlJc w:val="left"/>
      <w:pPr>
        <w:tabs>
          <w:tab w:val="num" w:pos="5096"/>
        </w:tabs>
        <w:ind w:left="4923" w:hanging="547"/>
      </w:pPr>
      <w:rPr>
        <w:rFonts w:hint="default"/>
      </w:rPr>
    </w:lvl>
  </w:abstractNum>
  <w:abstractNum w:abstractNumId="37" w15:restartNumberingAfterBreak="0">
    <w:nsid w:val="3B637C85"/>
    <w:multiLevelType w:val="hybridMultilevel"/>
    <w:tmpl w:val="97202680"/>
    <w:lvl w:ilvl="0" w:tplc="7EE48C6A">
      <w:start w:val="1"/>
      <w:numFmt w:val="bullet"/>
      <w:lvlText w:val=""/>
      <w:lvlJc w:val="left"/>
      <w:pPr>
        <w:ind w:left="720" w:hanging="360"/>
      </w:pPr>
      <w:rPr>
        <w:rFonts w:ascii="Symbol" w:hAnsi="Symbol"/>
      </w:rPr>
    </w:lvl>
    <w:lvl w:ilvl="1" w:tplc="23747F90">
      <w:start w:val="1"/>
      <w:numFmt w:val="bullet"/>
      <w:lvlText w:val=""/>
      <w:lvlJc w:val="left"/>
      <w:pPr>
        <w:ind w:left="720" w:hanging="360"/>
      </w:pPr>
      <w:rPr>
        <w:rFonts w:ascii="Symbol" w:hAnsi="Symbol"/>
      </w:rPr>
    </w:lvl>
    <w:lvl w:ilvl="2" w:tplc="2D50AA6A">
      <w:start w:val="1"/>
      <w:numFmt w:val="bullet"/>
      <w:lvlText w:val=""/>
      <w:lvlJc w:val="left"/>
      <w:pPr>
        <w:ind w:left="720" w:hanging="360"/>
      </w:pPr>
      <w:rPr>
        <w:rFonts w:ascii="Symbol" w:hAnsi="Symbol"/>
      </w:rPr>
    </w:lvl>
    <w:lvl w:ilvl="3" w:tplc="3230D1E2">
      <w:start w:val="1"/>
      <w:numFmt w:val="bullet"/>
      <w:lvlText w:val=""/>
      <w:lvlJc w:val="left"/>
      <w:pPr>
        <w:ind w:left="720" w:hanging="360"/>
      </w:pPr>
      <w:rPr>
        <w:rFonts w:ascii="Symbol" w:hAnsi="Symbol"/>
      </w:rPr>
    </w:lvl>
    <w:lvl w:ilvl="4" w:tplc="7E781DDC">
      <w:start w:val="1"/>
      <w:numFmt w:val="bullet"/>
      <w:lvlText w:val=""/>
      <w:lvlJc w:val="left"/>
      <w:pPr>
        <w:ind w:left="720" w:hanging="360"/>
      </w:pPr>
      <w:rPr>
        <w:rFonts w:ascii="Symbol" w:hAnsi="Symbol"/>
      </w:rPr>
    </w:lvl>
    <w:lvl w:ilvl="5" w:tplc="F21E15A0">
      <w:start w:val="1"/>
      <w:numFmt w:val="bullet"/>
      <w:lvlText w:val=""/>
      <w:lvlJc w:val="left"/>
      <w:pPr>
        <w:ind w:left="720" w:hanging="360"/>
      </w:pPr>
      <w:rPr>
        <w:rFonts w:ascii="Symbol" w:hAnsi="Symbol"/>
      </w:rPr>
    </w:lvl>
    <w:lvl w:ilvl="6" w:tplc="158E703E">
      <w:start w:val="1"/>
      <w:numFmt w:val="bullet"/>
      <w:lvlText w:val=""/>
      <w:lvlJc w:val="left"/>
      <w:pPr>
        <w:ind w:left="720" w:hanging="360"/>
      </w:pPr>
      <w:rPr>
        <w:rFonts w:ascii="Symbol" w:hAnsi="Symbol"/>
      </w:rPr>
    </w:lvl>
    <w:lvl w:ilvl="7" w:tplc="8E749E66">
      <w:start w:val="1"/>
      <w:numFmt w:val="bullet"/>
      <w:lvlText w:val=""/>
      <w:lvlJc w:val="left"/>
      <w:pPr>
        <w:ind w:left="720" w:hanging="360"/>
      </w:pPr>
      <w:rPr>
        <w:rFonts w:ascii="Symbol" w:hAnsi="Symbol"/>
      </w:rPr>
    </w:lvl>
    <w:lvl w:ilvl="8" w:tplc="15F48E34">
      <w:start w:val="1"/>
      <w:numFmt w:val="bullet"/>
      <w:lvlText w:val=""/>
      <w:lvlJc w:val="left"/>
      <w:pPr>
        <w:ind w:left="720" w:hanging="360"/>
      </w:pPr>
      <w:rPr>
        <w:rFonts w:ascii="Symbol" w:hAnsi="Symbol"/>
      </w:rPr>
    </w:lvl>
  </w:abstractNum>
  <w:abstractNum w:abstractNumId="38" w15:restartNumberingAfterBreak="0">
    <w:nsid w:val="415F0918"/>
    <w:multiLevelType w:val="hybridMultilevel"/>
    <w:tmpl w:val="0A1C2568"/>
    <w:lvl w:ilvl="0" w:tplc="8960C840">
      <w:start w:val="1"/>
      <w:numFmt w:val="bullet"/>
      <w:lvlText w:val=""/>
      <w:lvlJc w:val="left"/>
      <w:pPr>
        <w:ind w:left="720" w:hanging="360"/>
      </w:pPr>
      <w:rPr>
        <w:rFonts w:ascii="Symbol" w:hAnsi="Symbol"/>
      </w:rPr>
    </w:lvl>
    <w:lvl w:ilvl="1" w:tplc="C2385162">
      <w:start w:val="1"/>
      <w:numFmt w:val="bullet"/>
      <w:lvlText w:val=""/>
      <w:lvlJc w:val="left"/>
      <w:pPr>
        <w:ind w:left="720" w:hanging="360"/>
      </w:pPr>
      <w:rPr>
        <w:rFonts w:ascii="Symbol" w:hAnsi="Symbol"/>
      </w:rPr>
    </w:lvl>
    <w:lvl w:ilvl="2" w:tplc="9998C29E">
      <w:start w:val="1"/>
      <w:numFmt w:val="bullet"/>
      <w:lvlText w:val=""/>
      <w:lvlJc w:val="left"/>
      <w:pPr>
        <w:ind w:left="720" w:hanging="360"/>
      </w:pPr>
      <w:rPr>
        <w:rFonts w:ascii="Symbol" w:hAnsi="Symbol"/>
      </w:rPr>
    </w:lvl>
    <w:lvl w:ilvl="3" w:tplc="C4AA48AA">
      <w:start w:val="1"/>
      <w:numFmt w:val="bullet"/>
      <w:lvlText w:val=""/>
      <w:lvlJc w:val="left"/>
      <w:pPr>
        <w:ind w:left="720" w:hanging="360"/>
      </w:pPr>
      <w:rPr>
        <w:rFonts w:ascii="Symbol" w:hAnsi="Symbol"/>
      </w:rPr>
    </w:lvl>
    <w:lvl w:ilvl="4" w:tplc="174E6B18">
      <w:start w:val="1"/>
      <w:numFmt w:val="bullet"/>
      <w:lvlText w:val=""/>
      <w:lvlJc w:val="left"/>
      <w:pPr>
        <w:ind w:left="720" w:hanging="360"/>
      </w:pPr>
      <w:rPr>
        <w:rFonts w:ascii="Symbol" w:hAnsi="Symbol"/>
      </w:rPr>
    </w:lvl>
    <w:lvl w:ilvl="5" w:tplc="F0629AAE">
      <w:start w:val="1"/>
      <w:numFmt w:val="bullet"/>
      <w:lvlText w:val=""/>
      <w:lvlJc w:val="left"/>
      <w:pPr>
        <w:ind w:left="720" w:hanging="360"/>
      </w:pPr>
      <w:rPr>
        <w:rFonts w:ascii="Symbol" w:hAnsi="Symbol"/>
      </w:rPr>
    </w:lvl>
    <w:lvl w:ilvl="6" w:tplc="7FB01B7E">
      <w:start w:val="1"/>
      <w:numFmt w:val="bullet"/>
      <w:lvlText w:val=""/>
      <w:lvlJc w:val="left"/>
      <w:pPr>
        <w:ind w:left="720" w:hanging="360"/>
      </w:pPr>
      <w:rPr>
        <w:rFonts w:ascii="Symbol" w:hAnsi="Symbol"/>
      </w:rPr>
    </w:lvl>
    <w:lvl w:ilvl="7" w:tplc="32987738">
      <w:start w:val="1"/>
      <w:numFmt w:val="bullet"/>
      <w:lvlText w:val=""/>
      <w:lvlJc w:val="left"/>
      <w:pPr>
        <w:ind w:left="720" w:hanging="360"/>
      </w:pPr>
      <w:rPr>
        <w:rFonts w:ascii="Symbol" w:hAnsi="Symbol"/>
      </w:rPr>
    </w:lvl>
    <w:lvl w:ilvl="8" w:tplc="0C987F26">
      <w:start w:val="1"/>
      <w:numFmt w:val="bullet"/>
      <w:lvlText w:val=""/>
      <w:lvlJc w:val="left"/>
      <w:pPr>
        <w:ind w:left="720" w:hanging="360"/>
      </w:pPr>
      <w:rPr>
        <w:rFonts w:ascii="Symbol" w:hAnsi="Symbol"/>
      </w:rPr>
    </w:lvl>
  </w:abstractNum>
  <w:abstractNum w:abstractNumId="39" w15:restartNumberingAfterBreak="0">
    <w:nsid w:val="418605FC"/>
    <w:multiLevelType w:val="hybridMultilevel"/>
    <w:tmpl w:val="A5A42360"/>
    <w:lvl w:ilvl="0" w:tplc="8FDEC314">
      <w:start w:val="1"/>
      <w:numFmt w:val="bullet"/>
      <w:lvlText w:val=""/>
      <w:lvlJc w:val="left"/>
      <w:pPr>
        <w:ind w:left="720" w:hanging="360"/>
      </w:pPr>
      <w:rPr>
        <w:rFonts w:ascii="Symbol" w:hAnsi="Symbol"/>
      </w:rPr>
    </w:lvl>
    <w:lvl w:ilvl="1" w:tplc="62F267F8">
      <w:start w:val="1"/>
      <w:numFmt w:val="bullet"/>
      <w:lvlText w:val=""/>
      <w:lvlJc w:val="left"/>
      <w:pPr>
        <w:ind w:left="720" w:hanging="360"/>
      </w:pPr>
      <w:rPr>
        <w:rFonts w:ascii="Symbol" w:hAnsi="Symbol"/>
      </w:rPr>
    </w:lvl>
    <w:lvl w:ilvl="2" w:tplc="FAB0DB02">
      <w:start w:val="1"/>
      <w:numFmt w:val="bullet"/>
      <w:lvlText w:val=""/>
      <w:lvlJc w:val="left"/>
      <w:pPr>
        <w:ind w:left="720" w:hanging="360"/>
      </w:pPr>
      <w:rPr>
        <w:rFonts w:ascii="Symbol" w:hAnsi="Symbol"/>
      </w:rPr>
    </w:lvl>
    <w:lvl w:ilvl="3" w:tplc="9DE84D68">
      <w:start w:val="1"/>
      <w:numFmt w:val="bullet"/>
      <w:lvlText w:val=""/>
      <w:lvlJc w:val="left"/>
      <w:pPr>
        <w:ind w:left="720" w:hanging="360"/>
      </w:pPr>
      <w:rPr>
        <w:rFonts w:ascii="Symbol" w:hAnsi="Symbol"/>
      </w:rPr>
    </w:lvl>
    <w:lvl w:ilvl="4" w:tplc="F30EE452">
      <w:start w:val="1"/>
      <w:numFmt w:val="bullet"/>
      <w:lvlText w:val=""/>
      <w:lvlJc w:val="left"/>
      <w:pPr>
        <w:ind w:left="720" w:hanging="360"/>
      </w:pPr>
      <w:rPr>
        <w:rFonts w:ascii="Symbol" w:hAnsi="Symbol"/>
      </w:rPr>
    </w:lvl>
    <w:lvl w:ilvl="5" w:tplc="A81CC002">
      <w:start w:val="1"/>
      <w:numFmt w:val="bullet"/>
      <w:lvlText w:val=""/>
      <w:lvlJc w:val="left"/>
      <w:pPr>
        <w:ind w:left="720" w:hanging="360"/>
      </w:pPr>
      <w:rPr>
        <w:rFonts w:ascii="Symbol" w:hAnsi="Symbol"/>
      </w:rPr>
    </w:lvl>
    <w:lvl w:ilvl="6" w:tplc="9670DAAA">
      <w:start w:val="1"/>
      <w:numFmt w:val="bullet"/>
      <w:lvlText w:val=""/>
      <w:lvlJc w:val="left"/>
      <w:pPr>
        <w:ind w:left="720" w:hanging="360"/>
      </w:pPr>
      <w:rPr>
        <w:rFonts w:ascii="Symbol" w:hAnsi="Symbol"/>
      </w:rPr>
    </w:lvl>
    <w:lvl w:ilvl="7" w:tplc="56C8C6BA">
      <w:start w:val="1"/>
      <w:numFmt w:val="bullet"/>
      <w:lvlText w:val=""/>
      <w:lvlJc w:val="left"/>
      <w:pPr>
        <w:ind w:left="720" w:hanging="360"/>
      </w:pPr>
      <w:rPr>
        <w:rFonts w:ascii="Symbol" w:hAnsi="Symbol"/>
      </w:rPr>
    </w:lvl>
    <w:lvl w:ilvl="8" w:tplc="877869A4">
      <w:start w:val="1"/>
      <w:numFmt w:val="bullet"/>
      <w:lvlText w:val=""/>
      <w:lvlJc w:val="left"/>
      <w:pPr>
        <w:ind w:left="720" w:hanging="360"/>
      </w:pPr>
      <w:rPr>
        <w:rFonts w:ascii="Symbol" w:hAnsi="Symbol"/>
      </w:rPr>
    </w:lvl>
  </w:abstractNum>
  <w:abstractNum w:abstractNumId="40" w15:restartNumberingAfterBreak="0">
    <w:nsid w:val="42503427"/>
    <w:multiLevelType w:val="hybridMultilevel"/>
    <w:tmpl w:val="E2381452"/>
    <w:lvl w:ilvl="0" w:tplc="01F6A466">
      <w:start w:val="1"/>
      <w:numFmt w:val="decimal"/>
      <w:lvlText w:val="%1."/>
      <w:lvlJc w:val="left"/>
      <w:pPr>
        <w:ind w:left="720" w:hanging="360"/>
      </w:pPr>
    </w:lvl>
    <w:lvl w:ilvl="1" w:tplc="7F765D2A">
      <w:start w:val="1"/>
      <w:numFmt w:val="decimal"/>
      <w:lvlText w:val="%2."/>
      <w:lvlJc w:val="left"/>
      <w:pPr>
        <w:ind w:left="720" w:hanging="360"/>
      </w:pPr>
    </w:lvl>
    <w:lvl w:ilvl="2" w:tplc="987426B6">
      <w:start w:val="1"/>
      <w:numFmt w:val="decimal"/>
      <w:lvlText w:val="%3."/>
      <w:lvlJc w:val="left"/>
      <w:pPr>
        <w:ind w:left="720" w:hanging="360"/>
      </w:pPr>
    </w:lvl>
    <w:lvl w:ilvl="3" w:tplc="70140782">
      <w:start w:val="1"/>
      <w:numFmt w:val="decimal"/>
      <w:lvlText w:val="%4."/>
      <w:lvlJc w:val="left"/>
      <w:pPr>
        <w:ind w:left="720" w:hanging="360"/>
      </w:pPr>
    </w:lvl>
    <w:lvl w:ilvl="4" w:tplc="53126FAA">
      <w:start w:val="1"/>
      <w:numFmt w:val="decimal"/>
      <w:lvlText w:val="%5."/>
      <w:lvlJc w:val="left"/>
      <w:pPr>
        <w:ind w:left="720" w:hanging="360"/>
      </w:pPr>
    </w:lvl>
    <w:lvl w:ilvl="5" w:tplc="25CA424C">
      <w:start w:val="1"/>
      <w:numFmt w:val="decimal"/>
      <w:lvlText w:val="%6."/>
      <w:lvlJc w:val="left"/>
      <w:pPr>
        <w:ind w:left="720" w:hanging="360"/>
      </w:pPr>
    </w:lvl>
    <w:lvl w:ilvl="6" w:tplc="D766E772">
      <w:start w:val="1"/>
      <w:numFmt w:val="decimal"/>
      <w:lvlText w:val="%7."/>
      <w:lvlJc w:val="left"/>
      <w:pPr>
        <w:ind w:left="720" w:hanging="360"/>
      </w:pPr>
    </w:lvl>
    <w:lvl w:ilvl="7" w:tplc="BAE6A840">
      <w:start w:val="1"/>
      <w:numFmt w:val="decimal"/>
      <w:lvlText w:val="%8."/>
      <w:lvlJc w:val="left"/>
      <w:pPr>
        <w:ind w:left="720" w:hanging="360"/>
      </w:pPr>
    </w:lvl>
    <w:lvl w:ilvl="8" w:tplc="10643504">
      <w:start w:val="1"/>
      <w:numFmt w:val="decimal"/>
      <w:lvlText w:val="%9."/>
      <w:lvlJc w:val="left"/>
      <w:pPr>
        <w:ind w:left="720" w:hanging="360"/>
      </w:pPr>
    </w:lvl>
  </w:abstractNum>
  <w:abstractNum w:abstractNumId="41" w15:restartNumberingAfterBreak="0">
    <w:nsid w:val="4C174E7A"/>
    <w:multiLevelType w:val="multilevel"/>
    <w:tmpl w:val="7CDA3320"/>
    <w:styleLink w:val="BrattleHeadings"/>
    <w:lvl w:ilvl="0">
      <w:start w:val="1"/>
      <w:numFmt w:val="upperRoman"/>
      <w:lvlText w:val="%1."/>
      <w:lvlJc w:val="left"/>
      <w:pPr>
        <w:ind w:left="720" w:hanging="720"/>
      </w:pPr>
      <w:rPr>
        <w:rFonts w:ascii="Calibri" w:hAnsi="Calibri" w:cs="Calibri" w:hint="default"/>
        <w:b w:val="0"/>
        <w:bCs w:val="0"/>
        <w:i w:val="0"/>
        <w:iCs w:val="0"/>
        <w:caps w:val="0"/>
        <w:smallCaps w:val="0"/>
        <w:strike w:val="0"/>
        <w:dstrike w:val="0"/>
        <w:outline w:val="0"/>
        <w:shadow w:val="0"/>
        <w:emboss w:val="0"/>
        <w:imprint w:val="0"/>
        <w:noProof w:val="0"/>
        <w:vanish w:val="0"/>
        <w:color w:val="1B3D6F" w:themeColor="accent1"/>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lvlText w:val="%2."/>
      <w:lvlJc w:val="left"/>
      <w:pPr>
        <w:ind w:left="720" w:hanging="720"/>
      </w:pPr>
      <w:rPr>
        <w:rFonts w:ascii="Calibri" w:hAnsi="Calibri" w:cs="Calibri" w:hint="default"/>
        <w:b w:val="0"/>
        <w:i w:val="0"/>
        <w:color w:val="404040" w:themeColor="text1" w:themeTint="BF"/>
        <w:sz w:val="41"/>
      </w:rPr>
    </w:lvl>
    <w:lvl w:ilvl="2">
      <w:start w:val="1"/>
      <w:numFmt w:val="decimal"/>
      <w:lvlText w:val="%3."/>
      <w:lvlJc w:val="left"/>
      <w:pPr>
        <w:ind w:left="720" w:hanging="720"/>
      </w:pPr>
      <w:rPr>
        <w:rFonts w:ascii="Calibri" w:hAnsi="Calibri" w:cs="Calibri" w:hint="default"/>
        <w:b/>
        <w:i w:val="0"/>
        <w:color w:val="404040" w:themeColor="text1" w:themeTint="BF"/>
        <w:sz w:val="34"/>
      </w:rPr>
    </w:lvl>
    <w:lvl w:ilvl="3">
      <w:start w:val="1"/>
      <w:numFmt w:val="lowerLetter"/>
      <w:lvlText w:val="%4."/>
      <w:lvlJc w:val="left"/>
      <w:pPr>
        <w:ind w:left="720" w:hanging="720"/>
      </w:pPr>
      <w:rPr>
        <w:rFonts w:ascii="Calibri" w:hAnsi="Calibri" w:cs="Calibri" w:hint="default"/>
        <w:b/>
        <w:i w:val="0"/>
        <w:color w:val="2297AA" w:themeColor="accent2"/>
        <w:sz w:val="29"/>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42" w15:restartNumberingAfterBreak="0">
    <w:nsid w:val="4FF76CC1"/>
    <w:multiLevelType w:val="hybridMultilevel"/>
    <w:tmpl w:val="13340A38"/>
    <w:lvl w:ilvl="0" w:tplc="5510C798">
      <w:start w:val="1"/>
      <w:numFmt w:val="decimal"/>
      <w:lvlText w:val="%1."/>
      <w:lvlJc w:val="left"/>
      <w:pPr>
        <w:ind w:left="720" w:hanging="360"/>
      </w:pPr>
    </w:lvl>
    <w:lvl w:ilvl="1" w:tplc="B74A40FC">
      <w:start w:val="1"/>
      <w:numFmt w:val="decimal"/>
      <w:lvlText w:val="%2."/>
      <w:lvlJc w:val="left"/>
      <w:pPr>
        <w:ind w:left="720" w:hanging="360"/>
      </w:pPr>
    </w:lvl>
    <w:lvl w:ilvl="2" w:tplc="7186AF44">
      <w:start w:val="1"/>
      <w:numFmt w:val="decimal"/>
      <w:lvlText w:val="%3."/>
      <w:lvlJc w:val="left"/>
      <w:pPr>
        <w:ind w:left="720" w:hanging="360"/>
      </w:pPr>
    </w:lvl>
    <w:lvl w:ilvl="3" w:tplc="42C87770">
      <w:start w:val="1"/>
      <w:numFmt w:val="decimal"/>
      <w:lvlText w:val="%4."/>
      <w:lvlJc w:val="left"/>
      <w:pPr>
        <w:ind w:left="720" w:hanging="360"/>
      </w:pPr>
    </w:lvl>
    <w:lvl w:ilvl="4" w:tplc="6F26A75A">
      <w:start w:val="1"/>
      <w:numFmt w:val="decimal"/>
      <w:lvlText w:val="%5."/>
      <w:lvlJc w:val="left"/>
      <w:pPr>
        <w:ind w:left="720" w:hanging="360"/>
      </w:pPr>
    </w:lvl>
    <w:lvl w:ilvl="5" w:tplc="975ADC96">
      <w:start w:val="1"/>
      <w:numFmt w:val="decimal"/>
      <w:lvlText w:val="%6."/>
      <w:lvlJc w:val="left"/>
      <w:pPr>
        <w:ind w:left="720" w:hanging="360"/>
      </w:pPr>
    </w:lvl>
    <w:lvl w:ilvl="6" w:tplc="00EE15B8">
      <w:start w:val="1"/>
      <w:numFmt w:val="decimal"/>
      <w:lvlText w:val="%7."/>
      <w:lvlJc w:val="left"/>
      <w:pPr>
        <w:ind w:left="720" w:hanging="360"/>
      </w:pPr>
    </w:lvl>
    <w:lvl w:ilvl="7" w:tplc="BD2855FC">
      <w:start w:val="1"/>
      <w:numFmt w:val="decimal"/>
      <w:lvlText w:val="%8."/>
      <w:lvlJc w:val="left"/>
      <w:pPr>
        <w:ind w:left="720" w:hanging="360"/>
      </w:pPr>
    </w:lvl>
    <w:lvl w:ilvl="8" w:tplc="00F4E20A">
      <w:start w:val="1"/>
      <w:numFmt w:val="decimal"/>
      <w:lvlText w:val="%9."/>
      <w:lvlJc w:val="left"/>
      <w:pPr>
        <w:ind w:left="720" w:hanging="360"/>
      </w:pPr>
    </w:lvl>
  </w:abstractNum>
  <w:abstractNum w:abstractNumId="43" w15:restartNumberingAfterBreak="0">
    <w:nsid w:val="518C212B"/>
    <w:multiLevelType w:val="multilevel"/>
    <w:tmpl w:val="2640E34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pStyle w:val="Heading5"/>
      <w:lvlText w:val=""/>
      <w:lvlJc w:val="left"/>
    </w:lvl>
    <w:lvl w:ilvl="5">
      <w:numFmt w:val="decimal"/>
      <w:lvlText w:val=""/>
      <w:lvlJc w:val="left"/>
    </w:lvl>
    <w:lvl w:ilvl="6">
      <w:numFmt w:val="decimal"/>
      <w:pStyle w:val="Heading7"/>
      <w:lvlText w:val=""/>
      <w:lvlJc w:val="left"/>
    </w:lvl>
    <w:lvl w:ilvl="7">
      <w:numFmt w:val="decimal"/>
      <w:pStyle w:val="Heading8"/>
      <w:lvlText w:val=""/>
      <w:lvlJc w:val="left"/>
    </w:lvl>
    <w:lvl w:ilvl="8">
      <w:numFmt w:val="decimal"/>
      <w:lvlText w:val=""/>
      <w:lvlJc w:val="left"/>
    </w:lvl>
  </w:abstractNum>
  <w:abstractNum w:abstractNumId="44" w15:restartNumberingAfterBreak="0">
    <w:nsid w:val="52043629"/>
    <w:multiLevelType w:val="hybridMultilevel"/>
    <w:tmpl w:val="E29E5E30"/>
    <w:lvl w:ilvl="0" w:tplc="CB368438">
      <w:start w:val="1"/>
      <w:numFmt w:val="bullet"/>
      <w:lvlText w:val=""/>
      <w:lvlJc w:val="left"/>
      <w:pPr>
        <w:ind w:left="720" w:hanging="360"/>
      </w:pPr>
      <w:rPr>
        <w:rFonts w:ascii="Symbol" w:hAnsi="Symbol"/>
      </w:rPr>
    </w:lvl>
    <w:lvl w:ilvl="1" w:tplc="C1A8CDB8">
      <w:start w:val="1"/>
      <w:numFmt w:val="bullet"/>
      <w:lvlText w:val=""/>
      <w:lvlJc w:val="left"/>
      <w:pPr>
        <w:ind w:left="720" w:hanging="360"/>
      </w:pPr>
      <w:rPr>
        <w:rFonts w:ascii="Symbol" w:hAnsi="Symbol"/>
      </w:rPr>
    </w:lvl>
    <w:lvl w:ilvl="2" w:tplc="B292284E">
      <w:start w:val="1"/>
      <w:numFmt w:val="bullet"/>
      <w:lvlText w:val=""/>
      <w:lvlJc w:val="left"/>
      <w:pPr>
        <w:ind w:left="720" w:hanging="360"/>
      </w:pPr>
      <w:rPr>
        <w:rFonts w:ascii="Symbol" w:hAnsi="Symbol"/>
      </w:rPr>
    </w:lvl>
    <w:lvl w:ilvl="3" w:tplc="9BFA3142">
      <w:start w:val="1"/>
      <w:numFmt w:val="bullet"/>
      <w:lvlText w:val=""/>
      <w:lvlJc w:val="left"/>
      <w:pPr>
        <w:ind w:left="720" w:hanging="360"/>
      </w:pPr>
      <w:rPr>
        <w:rFonts w:ascii="Symbol" w:hAnsi="Symbol"/>
      </w:rPr>
    </w:lvl>
    <w:lvl w:ilvl="4" w:tplc="140ED4DA">
      <w:start w:val="1"/>
      <w:numFmt w:val="bullet"/>
      <w:lvlText w:val=""/>
      <w:lvlJc w:val="left"/>
      <w:pPr>
        <w:ind w:left="720" w:hanging="360"/>
      </w:pPr>
      <w:rPr>
        <w:rFonts w:ascii="Symbol" w:hAnsi="Symbol"/>
      </w:rPr>
    </w:lvl>
    <w:lvl w:ilvl="5" w:tplc="4B600DBE">
      <w:start w:val="1"/>
      <w:numFmt w:val="bullet"/>
      <w:lvlText w:val=""/>
      <w:lvlJc w:val="left"/>
      <w:pPr>
        <w:ind w:left="720" w:hanging="360"/>
      </w:pPr>
      <w:rPr>
        <w:rFonts w:ascii="Symbol" w:hAnsi="Symbol"/>
      </w:rPr>
    </w:lvl>
    <w:lvl w:ilvl="6" w:tplc="B88ED2A2">
      <w:start w:val="1"/>
      <w:numFmt w:val="bullet"/>
      <w:lvlText w:val=""/>
      <w:lvlJc w:val="left"/>
      <w:pPr>
        <w:ind w:left="720" w:hanging="360"/>
      </w:pPr>
      <w:rPr>
        <w:rFonts w:ascii="Symbol" w:hAnsi="Symbol"/>
      </w:rPr>
    </w:lvl>
    <w:lvl w:ilvl="7" w:tplc="0E52E59C">
      <w:start w:val="1"/>
      <w:numFmt w:val="bullet"/>
      <w:lvlText w:val=""/>
      <w:lvlJc w:val="left"/>
      <w:pPr>
        <w:ind w:left="720" w:hanging="360"/>
      </w:pPr>
      <w:rPr>
        <w:rFonts w:ascii="Symbol" w:hAnsi="Symbol"/>
      </w:rPr>
    </w:lvl>
    <w:lvl w:ilvl="8" w:tplc="55DEA752">
      <w:start w:val="1"/>
      <w:numFmt w:val="bullet"/>
      <w:lvlText w:val=""/>
      <w:lvlJc w:val="left"/>
      <w:pPr>
        <w:ind w:left="720" w:hanging="360"/>
      </w:pPr>
      <w:rPr>
        <w:rFonts w:ascii="Symbol" w:hAnsi="Symbol"/>
      </w:rPr>
    </w:lvl>
  </w:abstractNum>
  <w:abstractNum w:abstractNumId="45" w15:restartNumberingAfterBreak="0">
    <w:nsid w:val="5B94747A"/>
    <w:multiLevelType w:val="multilevel"/>
    <w:tmpl w:val="E57EBA0C"/>
    <w:lvl w:ilvl="0">
      <w:start w:val="1"/>
      <w:numFmt w:val="upperRoman"/>
      <w:pStyle w:val="Heading1"/>
      <w:lvlText w:val="%1."/>
      <w:lvlJc w:val="left"/>
      <w:pPr>
        <w:ind w:left="1152" w:hanging="1152"/>
      </w:pPr>
      <w:rPr>
        <w:rFonts w:ascii="Calibri" w:hAnsi="Calibri" w:cs="Calibri"/>
        <w:b w:val="0"/>
        <w:color w:val="1B3D6F" w:themeColor="accent1"/>
        <w:sz w:val="48"/>
        <w:lang w:val="en-CA"/>
      </w:rPr>
    </w:lvl>
    <w:lvl w:ilvl="1">
      <w:start w:val="1"/>
      <w:numFmt w:val="upperLetter"/>
      <w:pStyle w:val="Heading2"/>
      <w:lvlText w:val="%1.%2."/>
      <w:lvlJc w:val="left"/>
      <w:pPr>
        <w:ind w:left="1152" w:hanging="1152"/>
      </w:pPr>
      <w:rPr>
        <w:rFonts w:ascii="Calibri" w:hAnsi="Calibri" w:cs="Calibri"/>
        <w:b w:val="0"/>
        <w:color w:val="404040" w:themeColor="text1" w:themeTint="BF"/>
        <w:sz w:val="41"/>
      </w:rPr>
    </w:lvl>
    <w:lvl w:ilvl="2">
      <w:start w:val="1"/>
      <w:numFmt w:val="decimal"/>
      <w:pStyle w:val="Heading3"/>
      <w:lvlText w:val="%1.%2.%3."/>
      <w:lvlJc w:val="left"/>
      <w:pPr>
        <w:ind w:left="1152" w:hanging="1152"/>
      </w:pPr>
      <w:rPr>
        <w:rFonts w:ascii="Calibri" w:hAnsi="Calibri" w:cs="Calibri"/>
        <w:b/>
        <w:color w:val="404040" w:themeColor="text1" w:themeTint="BF"/>
        <w:sz w:val="34"/>
      </w:rPr>
    </w:lvl>
    <w:lvl w:ilvl="3">
      <w:start w:val="1"/>
      <w:numFmt w:val="lowerLetter"/>
      <w:pStyle w:val="Heading4"/>
      <w:lvlText w:val="%1.%2.%3.%4."/>
      <w:lvlJc w:val="left"/>
      <w:pPr>
        <w:ind w:left="1152" w:hanging="1152"/>
      </w:pPr>
      <w:rPr>
        <w:rFonts w:ascii="Calibri" w:hAnsi="Calibri" w:cs="Calibri"/>
        <w:b/>
        <w:color w:val="2297AA" w:themeColor="accent2"/>
        <w:sz w:val="29"/>
      </w:rPr>
    </w:lvl>
    <w:lvl w:ilvl="4">
      <w:start w:val="1"/>
      <w:numFmt w:val="lowerLetter"/>
      <w:lvlText w:val="(%5)"/>
      <w:lvlJc w:val="left"/>
      <w:pPr>
        <w:ind w:left="1152" w:hanging="1152"/>
      </w:pPr>
    </w:lvl>
    <w:lvl w:ilvl="5">
      <w:start w:val="1"/>
      <w:numFmt w:val="lowerRoman"/>
      <w:lvlText w:val="(%6)"/>
      <w:lvlJc w:val="left"/>
      <w:pPr>
        <w:ind w:left="1152" w:hanging="1152"/>
      </w:pPr>
    </w:lvl>
    <w:lvl w:ilvl="6">
      <w:start w:val="1"/>
      <w:numFmt w:val="decimal"/>
      <w:lvlText w:val="%7."/>
      <w:lvlJc w:val="left"/>
      <w:pPr>
        <w:ind w:left="1152" w:hanging="1152"/>
      </w:pPr>
    </w:lvl>
    <w:lvl w:ilvl="7">
      <w:start w:val="1"/>
      <w:numFmt w:val="lowerLetter"/>
      <w:lvlText w:val="%8."/>
      <w:lvlJc w:val="left"/>
      <w:pPr>
        <w:ind w:left="1152" w:hanging="1152"/>
      </w:pPr>
    </w:lvl>
    <w:lvl w:ilvl="8">
      <w:start w:val="1"/>
      <w:numFmt w:val="lowerRoman"/>
      <w:lvlText w:val="%9."/>
      <w:lvlJc w:val="left"/>
      <w:pPr>
        <w:ind w:left="1152" w:hanging="1152"/>
      </w:pPr>
    </w:lvl>
  </w:abstractNum>
  <w:abstractNum w:abstractNumId="46" w15:restartNumberingAfterBreak="0">
    <w:nsid w:val="5E1D4C2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1012B4F"/>
    <w:multiLevelType w:val="multilevel"/>
    <w:tmpl w:val="50901656"/>
    <w:styleLink w:val="BrattleNumbers"/>
    <w:lvl w:ilvl="0">
      <w:start w:val="1"/>
      <w:numFmt w:val="decimal"/>
      <w:pStyle w:val="ListNumber"/>
      <w:lvlText w:val="%1."/>
      <w:lvlJc w:val="left"/>
      <w:pPr>
        <w:ind w:left="360" w:hanging="360"/>
      </w:pPr>
      <w:rPr>
        <w:rFonts w:hint="default"/>
        <w:b/>
        <w:i w:val="0"/>
        <w:color w:val="2297AA" w:themeColor="accent2"/>
      </w:rPr>
    </w:lvl>
    <w:lvl w:ilvl="1">
      <w:start w:val="1"/>
      <w:numFmt w:val="lowerLetter"/>
      <w:pStyle w:val="ListNumber2"/>
      <w:lvlText w:val="%2."/>
      <w:lvlJc w:val="left"/>
      <w:pPr>
        <w:ind w:left="720" w:hanging="360"/>
      </w:pPr>
      <w:rPr>
        <w:rFonts w:hint="default"/>
        <w:color w:val="2297AA" w:themeColor="accent2"/>
      </w:rPr>
    </w:lvl>
    <w:lvl w:ilvl="2">
      <w:start w:val="1"/>
      <w:numFmt w:val="lowerRoman"/>
      <w:pStyle w:val="ListNumber3"/>
      <w:lvlText w:val="%3."/>
      <w:lvlJc w:val="left"/>
      <w:pPr>
        <w:ind w:left="1080" w:hanging="360"/>
      </w:pPr>
      <w:rPr>
        <w:rFonts w:hint="default"/>
        <w:b/>
        <w:i w:val="0"/>
        <w:color w:val="494F56" w:themeColor="background2"/>
      </w:rPr>
    </w:lvl>
    <w:lvl w:ilvl="3">
      <w:start w:val="1"/>
      <w:numFmt w:val="decimal"/>
      <w:pStyle w:val="ListNumber4"/>
      <w:lvlText w:val="(%4)"/>
      <w:lvlJc w:val="left"/>
      <w:pPr>
        <w:ind w:left="1440" w:hanging="360"/>
      </w:pPr>
      <w:rPr>
        <w:rFonts w:hint="default"/>
        <w:color w:val="494F56" w:themeColor="background2"/>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8" w15:restartNumberingAfterBreak="0">
    <w:nsid w:val="62FE6FBA"/>
    <w:multiLevelType w:val="multilevel"/>
    <w:tmpl w:val="E36E7C5C"/>
    <w:lvl w:ilvl="0">
      <w:start w:val="1"/>
      <w:numFmt w:val="decimal"/>
      <w:pStyle w:val="TestimonyQParagraph"/>
      <w:lvlText w:val="Q%1:"/>
      <w:lvlJc w:val="left"/>
      <w:pPr>
        <w:ind w:left="576" w:hanging="576"/>
      </w:pPr>
      <w:rPr>
        <w:rFonts w:hint="default"/>
      </w:rPr>
    </w:lvl>
    <w:lvl w:ilvl="1">
      <w:start w:val="1"/>
      <w:numFmt w:val="none"/>
      <w:lvlText w:val=""/>
      <w:lvlJc w:val="left"/>
      <w:pPr>
        <w:tabs>
          <w:tab w:val="num" w:pos="576"/>
        </w:tabs>
        <w:ind w:left="576" w:firstLine="0"/>
      </w:pPr>
      <w:rPr>
        <w:rFonts w:hint="default"/>
        <w:b/>
        <w:i w:val="0"/>
      </w:rPr>
    </w:lvl>
    <w:lvl w:ilvl="2">
      <w:start w:val="1"/>
      <w:numFmt w:val="bullet"/>
      <w:lvlText w:val=""/>
      <w:lvlJc w:val="left"/>
      <w:pPr>
        <w:ind w:left="864" w:hanging="288"/>
      </w:pPr>
      <w:rPr>
        <w:rFonts w:ascii="Symbol" w:hAnsi="Symbol" w:hint="default"/>
        <w:color w:val="000000" w:themeColor="text1"/>
        <w:sz w:val="20"/>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66481ABE"/>
    <w:multiLevelType w:val="multilevel"/>
    <w:tmpl w:val="B232A776"/>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50" w15:restartNumberingAfterBreak="0">
    <w:nsid w:val="6B555C81"/>
    <w:multiLevelType w:val="hybridMultilevel"/>
    <w:tmpl w:val="10C00672"/>
    <w:lvl w:ilvl="0" w:tplc="C77457D2">
      <w:start w:val="1"/>
      <w:numFmt w:val="bullet"/>
      <w:lvlText w:val=""/>
      <w:lvlJc w:val="left"/>
      <w:pPr>
        <w:ind w:left="720" w:hanging="360"/>
      </w:pPr>
      <w:rPr>
        <w:rFonts w:ascii="Symbol" w:hAnsi="Symbol"/>
      </w:rPr>
    </w:lvl>
    <w:lvl w:ilvl="1" w:tplc="A64C1C4E">
      <w:start w:val="1"/>
      <w:numFmt w:val="bullet"/>
      <w:lvlText w:val=""/>
      <w:lvlJc w:val="left"/>
      <w:pPr>
        <w:ind w:left="720" w:hanging="360"/>
      </w:pPr>
      <w:rPr>
        <w:rFonts w:ascii="Symbol" w:hAnsi="Symbol"/>
      </w:rPr>
    </w:lvl>
    <w:lvl w:ilvl="2" w:tplc="6090E07C">
      <w:start w:val="1"/>
      <w:numFmt w:val="bullet"/>
      <w:lvlText w:val=""/>
      <w:lvlJc w:val="left"/>
      <w:pPr>
        <w:ind w:left="720" w:hanging="360"/>
      </w:pPr>
      <w:rPr>
        <w:rFonts w:ascii="Symbol" w:hAnsi="Symbol"/>
      </w:rPr>
    </w:lvl>
    <w:lvl w:ilvl="3" w:tplc="904887D0">
      <w:start w:val="1"/>
      <w:numFmt w:val="bullet"/>
      <w:lvlText w:val=""/>
      <w:lvlJc w:val="left"/>
      <w:pPr>
        <w:ind w:left="720" w:hanging="360"/>
      </w:pPr>
      <w:rPr>
        <w:rFonts w:ascii="Symbol" w:hAnsi="Symbol"/>
      </w:rPr>
    </w:lvl>
    <w:lvl w:ilvl="4" w:tplc="B7CA393C">
      <w:start w:val="1"/>
      <w:numFmt w:val="bullet"/>
      <w:lvlText w:val=""/>
      <w:lvlJc w:val="left"/>
      <w:pPr>
        <w:ind w:left="720" w:hanging="360"/>
      </w:pPr>
      <w:rPr>
        <w:rFonts w:ascii="Symbol" w:hAnsi="Symbol"/>
      </w:rPr>
    </w:lvl>
    <w:lvl w:ilvl="5" w:tplc="3A9E4B76">
      <w:start w:val="1"/>
      <w:numFmt w:val="bullet"/>
      <w:lvlText w:val=""/>
      <w:lvlJc w:val="left"/>
      <w:pPr>
        <w:ind w:left="720" w:hanging="360"/>
      </w:pPr>
      <w:rPr>
        <w:rFonts w:ascii="Symbol" w:hAnsi="Symbol"/>
      </w:rPr>
    </w:lvl>
    <w:lvl w:ilvl="6" w:tplc="554EE452">
      <w:start w:val="1"/>
      <w:numFmt w:val="bullet"/>
      <w:lvlText w:val=""/>
      <w:lvlJc w:val="left"/>
      <w:pPr>
        <w:ind w:left="720" w:hanging="360"/>
      </w:pPr>
      <w:rPr>
        <w:rFonts w:ascii="Symbol" w:hAnsi="Symbol"/>
      </w:rPr>
    </w:lvl>
    <w:lvl w:ilvl="7" w:tplc="9B0ED846">
      <w:start w:val="1"/>
      <w:numFmt w:val="bullet"/>
      <w:lvlText w:val=""/>
      <w:lvlJc w:val="left"/>
      <w:pPr>
        <w:ind w:left="720" w:hanging="360"/>
      </w:pPr>
      <w:rPr>
        <w:rFonts w:ascii="Symbol" w:hAnsi="Symbol"/>
      </w:rPr>
    </w:lvl>
    <w:lvl w:ilvl="8" w:tplc="A57C3672">
      <w:start w:val="1"/>
      <w:numFmt w:val="bullet"/>
      <w:lvlText w:val=""/>
      <w:lvlJc w:val="left"/>
      <w:pPr>
        <w:ind w:left="720" w:hanging="360"/>
      </w:pPr>
      <w:rPr>
        <w:rFonts w:ascii="Symbol" w:hAnsi="Symbol"/>
      </w:rPr>
    </w:lvl>
  </w:abstractNum>
  <w:abstractNum w:abstractNumId="51" w15:restartNumberingAfterBreak="0">
    <w:nsid w:val="70E43C5B"/>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2" w15:restartNumberingAfterBreak="0">
    <w:nsid w:val="776A6322"/>
    <w:multiLevelType w:val="multilevel"/>
    <w:tmpl w:val="50901656"/>
    <w:numStyleLink w:val="BrattleNumbers"/>
  </w:abstractNum>
  <w:abstractNum w:abstractNumId="53" w15:restartNumberingAfterBreak="0">
    <w:nsid w:val="7DF1650B"/>
    <w:multiLevelType w:val="hybridMultilevel"/>
    <w:tmpl w:val="016E24CE"/>
    <w:lvl w:ilvl="0" w:tplc="9496CD5E">
      <w:start w:val="1"/>
      <w:numFmt w:val="bullet"/>
      <w:pStyle w:val="TableTextBulleted"/>
      <w:lvlText w:val=""/>
      <w:lvlJc w:val="left"/>
      <w:pPr>
        <w:ind w:left="360" w:hanging="360"/>
      </w:pPr>
      <w:rPr>
        <w:rFonts w:ascii="Symbol" w:hAnsi="Symbol" w:hint="default"/>
        <w:color w:val="19707F" w:themeColor="accent2"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5461606">
    <w:abstractNumId w:val="20"/>
  </w:num>
  <w:num w:numId="2" w16cid:durableId="403644103">
    <w:abstractNumId w:val="30"/>
  </w:num>
  <w:num w:numId="3" w16cid:durableId="335114104">
    <w:abstractNumId w:val="27"/>
  </w:num>
  <w:num w:numId="4" w16cid:durableId="1437753994">
    <w:abstractNumId w:val="35"/>
  </w:num>
  <w:num w:numId="5" w16cid:durableId="1070619046">
    <w:abstractNumId w:val="15"/>
  </w:num>
  <w:num w:numId="6" w16cid:durableId="98457394">
    <w:abstractNumId w:val="19"/>
  </w:num>
  <w:num w:numId="7" w16cid:durableId="1996062334">
    <w:abstractNumId w:val="47"/>
  </w:num>
  <w:num w:numId="8" w16cid:durableId="1707638346">
    <w:abstractNumId w:val="32"/>
  </w:num>
  <w:num w:numId="9" w16cid:durableId="959460433">
    <w:abstractNumId w:val="34"/>
  </w:num>
  <w:num w:numId="10" w16cid:durableId="1595824062">
    <w:abstractNumId w:val="26"/>
  </w:num>
  <w:num w:numId="11" w16cid:durableId="121729079">
    <w:abstractNumId w:val="43"/>
  </w:num>
  <w:num w:numId="12" w16cid:durableId="570509577">
    <w:abstractNumId w:val="1"/>
  </w:num>
  <w:num w:numId="13" w16cid:durableId="549221464">
    <w:abstractNumId w:val="5"/>
  </w:num>
  <w:num w:numId="14" w16cid:durableId="1092701998">
    <w:abstractNumId w:val="4"/>
  </w:num>
  <w:num w:numId="15" w16cid:durableId="1045714534">
    <w:abstractNumId w:val="3"/>
  </w:num>
  <w:num w:numId="16" w16cid:durableId="1418137268">
    <w:abstractNumId w:val="2"/>
  </w:num>
  <w:num w:numId="17" w16cid:durableId="1563756228">
    <w:abstractNumId w:val="49"/>
  </w:num>
  <w:num w:numId="18" w16cid:durableId="694043711">
    <w:abstractNumId w:val="25"/>
  </w:num>
  <w:num w:numId="19" w16cid:durableId="253168191">
    <w:abstractNumId w:val="36"/>
  </w:num>
  <w:num w:numId="20" w16cid:durableId="1216353502">
    <w:abstractNumId w:val="33"/>
  </w:num>
  <w:num w:numId="21" w16cid:durableId="1683704477">
    <w:abstractNumId w:val="48"/>
  </w:num>
  <w:num w:numId="22" w16cid:durableId="1911227870">
    <w:abstractNumId w:val="46"/>
  </w:num>
  <w:num w:numId="23" w16cid:durableId="1330063293">
    <w:abstractNumId w:val="23"/>
  </w:num>
  <w:num w:numId="24" w16cid:durableId="163012506">
    <w:abstractNumId w:val="51"/>
  </w:num>
  <w:num w:numId="25" w16cid:durableId="847674582">
    <w:abstractNumId w:val="41"/>
  </w:num>
  <w:num w:numId="26" w16cid:durableId="2083140550">
    <w:abstractNumId w:val="6"/>
  </w:num>
  <w:num w:numId="27" w16cid:durableId="1640914654">
    <w:abstractNumId w:val="52"/>
  </w:num>
  <w:num w:numId="28" w16cid:durableId="1497653470">
    <w:abstractNumId w:val="0"/>
  </w:num>
  <w:num w:numId="29" w16cid:durableId="1772047671">
    <w:abstractNumId w:val="28"/>
  </w:num>
  <w:num w:numId="30" w16cid:durableId="1344283281">
    <w:abstractNumId w:val="10"/>
  </w:num>
  <w:num w:numId="31" w16cid:durableId="1812094696">
    <w:abstractNumId w:val="53"/>
  </w:num>
  <w:num w:numId="32" w16cid:durableId="1402174996">
    <w:abstractNumId w:val="11"/>
  </w:num>
  <w:num w:numId="33" w16cid:durableId="1175456776">
    <w:abstractNumId w:val="45"/>
  </w:num>
  <w:num w:numId="34" w16cid:durableId="1438599678">
    <w:abstractNumId w:val="17"/>
  </w:num>
  <w:num w:numId="35" w16cid:durableId="1704748492">
    <w:abstractNumId w:val="37"/>
  </w:num>
  <w:num w:numId="36" w16cid:durableId="798689515">
    <w:abstractNumId w:val="22"/>
  </w:num>
  <w:num w:numId="37" w16cid:durableId="196243498">
    <w:abstractNumId w:val="29"/>
  </w:num>
  <w:num w:numId="38" w16cid:durableId="1170831005">
    <w:abstractNumId w:val="44"/>
  </w:num>
  <w:num w:numId="39" w16cid:durableId="583879837">
    <w:abstractNumId w:val="50"/>
  </w:num>
  <w:num w:numId="40" w16cid:durableId="709846530">
    <w:abstractNumId w:val="38"/>
  </w:num>
  <w:num w:numId="41" w16cid:durableId="1064568625">
    <w:abstractNumId w:val="12"/>
  </w:num>
  <w:num w:numId="42" w16cid:durableId="2106487404">
    <w:abstractNumId w:val="31"/>
  </w:num>
  <w:num w:numId="43" w16cid:durableId="914171845">
    <w:abstractNumId w:val="9"/>
  </w:num>
  <w:num w:numId="44" w16cid:durableId="617763852">
    <w:abstractNumId w:val="39"/>
  </w:num>
  <w:num w:numId="45" w16cid:durableId="1385442448">
    <w:abstractNumId w:val="21"/>
  </w:num>
  <w:num w:numId="46" w16cid:durableId="623586653">
    <w:abstractNumId w:val="40"/>
  </w:num>
  <w:num w:numId="47" w16cid:durableId="765469141">
    <w:abstractNumId w:val="42"/>
  </w:num>
  <w:num w:numId="48" w16cid:durableId="1821263637">
    <w:abstractNumId w:val="7"/>
  </w:num>
  <w:num w:numId="49" w16cid:durableId="2070418381">
    <w:abstractNumId w:val="8"/>
    <w:lvlOverride w:ilvl="0">
      <w:startOverride w:val="1"/>
      <w:lvl w:ilvl="0">
        <w:start w:val="1"/>
        <w:numFmt w:val="upperRoman"/>
        <w:lvlText w:val="%1."/>
        <w:lvlJc w:val="left"/>
        <w:pPr>
          <w:tabs>
            <w:tab w:val="num" w:pos="720"/>
          </w:tabs>
          <w:ind w:left="720" w:hanging="720"/>
        </w:pPr>
        <w:rPr>
          <w:rFonts w:hint="default"/>
          <w:color w:val="1B3D6F" w:themeColor="accent1"/>
        </w:rPr>
      </w:lvl>
    </w:lvlOverride>
    <w:lvlOverride w:ilvl="1">
      <w:startOverride w:val="1"/>
      <w:lvl w:ilvl="1">
        <w:start w:val="1"/>
        <w:numFmt w:val="upperLetter"/>
        <w:lvlText w:val="%2."/>
        <w:lvlJc w:val="left"/>
        <w:pPr>
          <w:tabs>
            <w:tab w:val="num" w:pos="720"/>
          </w:tabs>
          <w:ind w:left="720" w:hanging="720"/>
        </w:pPr>
        <w:rPr>
          <w:rFonts w:hint="default"/>
        </w:rPr>
      </w:lvl>
    </w:lvlOverride>
    <w:lvlOverride w:ilvl="2">
      <w:startOverride w:val="1"/>
      <w:lvl w:ilvl="2">
        <w:start w:val="1"/>
        <w:numFmt w:val="decimal"/>
        <w:lvlText w:val="%3."/>
        <w:lvlJc w:val="left"/>
        <w:pPr>
          <w:ind w:left="360" w:hanging="360"/>
        </w:pPr>
        <w:rPr>
          <w:rFonts w:hint="default"/>
        </w:rPr>
      </w:lvl>
    </w:lvlOverride>
    <w:lvlOverride w:ilvl="3">
      <w:startOverride w:val="1"/>
      <w:lvl w:ilvl="3">
        <w:start w:val="1"/>
        <w:numFmt w:val="lowerRoman"/>
        <w:lvlText w:val="%4."/>
        <w:lvlJc w:val="left"/>
        <w:pPr>
          <w:ind w:left="360" w:hanging="360"/>
        </w:pPr>
        <w:rPr>
          <w:rFonts w:hint="default"/>
        </w:rPr>
      </w:lvl>
    </w:lvlOverride>
    <w:lvlOverride w:ilvl="4">
      <w:startOverride w:val="1"/>
      <w:lvl w:ilvl="4">
        <w:start w:val="1"/>
        <w:numFmt w:val="lowerLetter"/>
        <w:lvlText w:val="%5."/>
        <w:lvlJc w:val="left"/>
        <w:pPr>
          <w:ind w:left="9576" w:hanging="360"/>
        </w:pPr>
        <w:rPr>
          <w:rFonts w:hint="default"/>
        </w:rPr>
      </w:lvl>
    </w:lvlOverride>
    <w:lvlOverride w:ilvl="5">
      <w:startOverride w:val="1"/>
      <w:lvl w:ilvl="5">
        <w:start w:val="1"/>
        <w:numFmt w:val="lowerRoman"/>
        <w:lvlText w:val="%6."/>
        <w:lvlJc w:val="right"/>
        <w:pPr>
          <w:ind w:left="10296" w:hanging="180"/>
        </w:pPr>
        <w:rPr>
          <w:rFonts w:hint="default"/>
        </w:rPr>
      </w:lvl>
    </w:lvlOverride>
    <w:lvlOverride w:ilvl="6">
      <w:startOverride w:val="1"/>
      <w:lvl w:ilvl="6">
        <w:start w:val="1"/>
        <w:numFmt w:val="decimal"/>
        <w:lvlText w:val="%7."/>
        <w:lvlJc w:val="left"/>
        <w:pPr>
          <w:ind w:left="11016" w:hanging="360"/>
        </w:pPr>
        <w:rPr>
          <w:rFonts w:hint="default"/>
        </w:rPr>
      </w:lvl>
    </w:lvlOverride>
    <w:lvlOverride w:ilvl="7">
      <w:startOverride w:val="1"/>
      <w:lvl w:ilvl="7">
        <w:start w:val="1"/>
        <w:numFmt w:val="lowerLetter"/>
        <w:lvlText w:val="%8."/>
        <w:lvlJc w:val="left"/>
        <w:pPr>
          <w:ind w:left="11736" w:hanging="360"/>
        </w:pPr>
        <w:rPr>
          <w:rFonts w:hint="default"/>
        </w:rPr>
      </w:lvl>
    </w:lvlOverride>
    <w:lvlOverride w:ilvl="8">
      <w:startOverride w:val="1"/>
      <w:lvl w:ilvl="8">
        <w:start w:val="1"/>
        <w:numFmt w:val="lowerRoman"/>
        <w:lvlText w:val="%9."/>
        <w:lvlJc w:val="right"/>
        <w:pPr>
          <w:ind w:left="12456" w:hanging="180"/>
        </w:pPr>
        <w:rPr>
          <w:rFonts w:hint="default"/>
        </w:rPr>
      </w:lvl>
    </w:lvlOverride>
  </w:num>
  <w:num w:numId="50" w16cid:durableId="2026780951">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Formatting/>
  <w:defaultTabStop w:val="1440"/>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FF6"/>
    <w:rsid w:val="00000188"/>
    <w:rsid w:val="000001ED"/>
    <w:rsid w:val="000002A1"/>
    <w:rsid w:val="0000032C"/>
    <w:rsid w:val="000005AB"/>
    <w:rsid w:val="00000636"/>
    <w:rsid w:val="00000E34"/>
    <w:rsid w:val="00000EB9"/>
    <w:rsid w:val="000010A8"/>
    <w:rsid w:val="000014DA"/>
    <w:rsid w:val="0000151E"/>
    <w:rsid w:val="00001900"/>
    <w:rsid w:val="00001B69"/>
    <w:rsid w:val="00001B8C"/>
    <w:rsid w:val="00001BA4"/>
    <w:rsid w:val="00001D3D"/>
    <w:rsid w:val="00001E81"/>
    <w:rsid w:val="0000209D"/>
    <w:rsid w:val="000020F4"/>
    <w:rsid w:val="00002160"/>
    <w:rsid w:val="00002484"/>
    <w:rsid w:val="0000248E"/>
    <w:rsid w:val="0000268B"/>
    <w:rsid w:val="000026ED"/>
    <w:rsid w:val="00002988"/>
    <w:rsid w:val="00002B8D"/>
    <w:rsid w:val="00002C7A"/>
    <w:rsid w:val="00002DC8"/>
    <w:rsid w:val="000033D6"/>
    <w:rsid w:val="0000344E"/>
    <w:rsid w:val="0000345A"/>
    <w:rsid w:val="0000385F"/>
    <w:rsid w:val="000038B3"/>
    <w:rsid w:val="000038C1"/>
    <w:rsid w:val="00003A77"/>
    <w:rsid w:val="00003C35"/>
    <w:rsid w:val="00003CB8"/>
    <w:rsid w:val="00003D8B"/>
    <w:rsid w:val="00003E8C"/>
    <w:rsid w:val="00003E9D"/>
    <w:rsid w:val="00003EDC"/>
    <w:rsid w:val="00004184"/>
    <w:rsid w:val="000045AB"/>
    <w:rsid w:val="000045DA"/>
    <w:rsid w:val="0000476C"/>
    <w:rsid w:val="00004771"/>
    <w:rsid w:val="000047C5"/>
    <w:rsid w:val="000047D0"/>
    <w:rsid w:val="0000483D"/>
    <w:rsid w:val="00004899"/>
    <w:rsid w:val="000049E7"/>
    <w:rsid w:val="00004B80"/>
    <w:rsid w:val="00004C7F"/>
    <w:rsid w:val="00004D91"/>
    <w:rsid w:val="00004F77"/>
    <w:rsid w:val="00004F89"/>
    <w:rsid w:val="00004FB7"/>
    <w:rsid w:val="0000500D"/>
    <w:rsid w:val="0000502E"/>
    <w:rsid w:val="0000507B"/>
    <w:rsid w:val="000050D6"/>
    <w:rsid w:val="0000523C"/>
    <w:rsid w:val="000054B5"/>
    <w:rsid w:val="00005531"/>
    <w:rsid w:val="00005851"/>
    <w:rsid w:val="000059F7"/>
    <w:rsid w:val="00005A77"/>
    <w:rsid w:val="00005AFB"/>
    <w:rsid w:val="00005B13"/>
    <w:rsid w:val="00005B97"/>
    <w:rsid w:val="00005DAB"/>
    <w:rsid w:val="000060F8"/>
    <w:rsid w:val="0000627E"/>
    <w:rsid w:val="00006290"/>
    <w:rsid w:val="000062F7"/>
    <w:rsid w:val="00006357"/>
    <w:rsid w:val="000066B8"/>
    <w:rsid w:val="00006821"/>
    <w:rsid w:val="0000695B"/>
    <w:rsid w:val="00006AF2"/>
    <w:rsid w:val="00006B23"/>
    <w:rsid w:val="00006C8D"/>
    <w:rsid w:val="00006CB3"/>
    <w:rsid w:val="00006FDD"/>
    <w:rsid w:val="000070C3"/>
    <w:rsid w:val="00007197"/>
    <w:rsid w:val="00007290"/>
    <w:rsid w:val="00007318"/>
    <w:rsid w:val="00007628"/>
    <w:rsid w:val="0000767B"/>
    <w:rsid w:val="000077E2"/>
    <w:rsid w:val="0000795C"/>
    <w:rsid w:val="00007961"/>
    <w:rsid w:val="0000796E"/>
    <w:rsid w:val="00007978"/>
    <w:rsid w:val="00007980"/>
    <w:rsid w:val="00007B23"/>
    <w:rsid w:val="00007D5A"/>
    <w:rsid w:val="00007DEB"/>
    <w:rsid w:val="00010149"/>
    <w:rsid w:val="000102F0"/>
    <w:rsid w:val="00010305"/>
    <w:rsid w:val="0001034C"/>
    <w:rsid w:val="000103B2"/>
    <w:rsid w:val="0001045D"/>
    <w:rsid w:val="000108F8"/>
    <w:rsid w:val="00010B78"/>
    <w:rsid w:val="00010BC8"/>
    <w:rsid w:val="00010C48"/>
    <w:rsid w:val="00010DCF"/>
    <w:rsid w:val="00010DD7"/>
    <w:rsid w:val="00010DD8"/>
    <w:rsid w:val="00010DED"/>
    <w:rsid w:val="00010DEE"/>
    <w:rsid w:val="00010FB4"/>
    <w:rsid w:val="00010FE6"/>
    <w:rsid w:val="000112A6"/>
    <w:rsid w:val="0001145D"/>
    <w:rsid w:val="000115A9"/>
    <w:rsid w:val="000117DC"/>
    <w:rsid w:val="0001196E"/>
    <w:rsid w:val="00011A9E"/>
    <w:rsid w:val="00011AA3"/>
    <w:rsid w:val="00011E0D"/>
    <w:rsid w:val="00011E26"/>
    <w:rsid w:val="00011FA2"/>
    <w:rsid w:val="00011FF3"/>
    <w:rsid w:val="00012020"/>
    <w:rsid w:val="0001208E"/>
    <w:rsid w:val="000120D2"/>
    <w:rsid w:val="000123EB"/>
    <w:rsid w:val="0001254D"/>
    <w:rsid w:val="00012629"/>
    <w:rsid w:val="0001282F"/>
    <w:rsid w:val="00012914"/>
    <w:rsid w:val="00012969"/>
    <w:rsid w:val="0001299A"/>
    <w:rsid w:val="00012A13"/>
    <w:rsid w:val="00012B3D"/>
    <w:rsid w:val="00012CE2"/>
    <w:rsid w:val="00012D3C"/>
    <w:rsid w:val="00012DDE"/>
    <w:rsid w:val="000131D8"/>
    <w:rsid w:val="00013278"/>
    <w:rsid w:val="000132F7"/>
    <w:rsid w:val="000136D0"/>
    <w:rsid w:val="00013CB3"/>
    <w:rsid w:val="00013CF6"/>
    <w:rsid w:val="00013D1D"/>
    <w:rsid w:val="00013DDB"/>
    <w:rsid w:val="00013DE6"/>
    <w:rsid w:val="00013FBC"/>
    <w:rsid w:val="000141C6"/>
    <w:rsid w:val="00014272"/>
    <w:rsid w:val="000142AB"/>
    <w:rsid w:val="000147F6"/>
    <w:rsid w:val="00014C40"/>
    <w:rsid w:val="00014C98"/>
    <w:rsid w:val="00014DD9"/>
    <w:rsid w:val="00014FE4"/>
    <w:rsid w:val="00014FEC"/>
    <w:rsid w:val="00015066"/>
    <w:rsid w:val="00015153"/>
    <w:rsid w:val="0001534A"/>
    <w:rsid w:val="0001538F"/>
    <w:rsid w:val="0001552E"/>
    <w:rsid w:val="0001561B"/>
    <w:rsid w:val="0001570C"/>
    <w:rsid w:val="00015733"/>
    <w:rsid w:val="000157A8"/>
    <w:rsid w:val="00015858"/>
    <w:rsid w:val="00015A95"/>
    <w:rsid w:val="00015CCA"/>
    <w:rsid w:val="00015DAC"/>
    <w:rsid w:val="0001601F"/>
    <w:rsid w:val="00016113"/>
    <w:rsid w:val="0001613F"/>
    <w:rsid w:val="00016273"/>
    <w:rsid w:val="000163EB"/>
    <w:rsid w:val="00016434"/>
    <w:rsid w:val="000164A6"/>
    <w:rsid w:val="0001666C"/>
    <w:rsid w:val="000166E0"/>
    <w:rsid w:val="0001673B"/>
    <w:rsid w:val="0001692A"/>
    <w:rsid w:val="00016B03"/>
    <w:rsid w:val="00016D21"/>
    <w:rsid w:val="0001701D"/>
    <w:rsid w:val="0001721B"/>
    <w:rsid w:val="00017357"/>
    <w:rsid w:val="00017412"/>
    <w:rsid w:val="0001748D"/>
    <w:rsid w:val="000174A7"/>
    <w:rsid w:val="000174A9"/>
    <w:rsid w:val="000175C0"/>
    <w:rsid w:val="0001762D"/>
    <w:rsid w:val="000176FD"/>
    <w:rsid w:val="00017839"/>
    <w:rsid w:val="00017865"/>
    <w:rsid w:val="00017AC9"/>
    <w:rsid w:val="00017AF3"/>
    <w:rsid w:val="00017C83"/>
    <w:rsid w:val="00017CF3"/>
    <w:rsid w:val="00017D4D"/>
    <w:rsid w:val="00017F8F"/>
    <w:rsid w:val="0002018F"/>
    <w:rsid w:val="000204DF"/>
    <w:rsid w:val="0002069E"/>
    <w:rsid w:val="000208C1"/>
    <w:rsid w:val="00020929"/>
    <w:rsid w:val="000209DA"/>
    <w:rsid w:val="00020B59"/>
    <w:rsid w:val="00020BCB"/>
    <w:rsid w:val="0002104C"/>
    <w:rsid w:val="000212C2"/>
    <w:rsid w:val="00021351"/>
    <w:rsid w:val="00021370"/>
    <w:rsid w:val="000214D1"/>
    <w:rsid w:val="00021668"/>
    <w:rsid w:val="000217E7"/>
    <w:rsid w:val="00021804"/>
    <w:rsid w:val="00021970"/>
    <w:rsid w:val="000219CD"/>
    <w:rsid w:val="00021A86"/>
    <w:rsid w:val="00021B03"/>
    <w:rsid w:val="00021BEC"/>
    <w:rsid w:val="00021C37"/>
    <w:rsid w:val="00021D0C"/>
    <w:rsid w:val="00021DB9"/>
    <w:rsid w:val="00021E4B"/>
    <w:rsid w:val="00021ECD"/>
    <w:rsid w:val="00021F14"/>
    <w:rsid w:val="000222CF"/>
    <w:rsid w:val="00022369"/>
    <w:rsid w:val="00022739"/>
    <w:rsid w:val="00022796"/>
    <w:rsid w:val="00022800"/>
    <w:rsid w:val="000228C1"/>
    <w:rsid w:val="00022B1E"/>
    <w:rsid w:val="00022E49"/>
    <w:rsid w:val="00023354"/>
    <w:rsid w:val="00023488"/>
    <w:rsid w:val="000234A7"/>
    <w:rsid w:val="00023573"/>
    <w:rsid w:val="000235FC"/>
    <w:rsid w:val="0002396F"/>
    <w:rsid w:val="00023BE8"/>
    <w:rsid w:val="00023C15"/>
    <w:rsid w:val="00023D2E"/>
    <w:rsid w:val="00023FAB"/>
    <w:rsid w:val="00024080"/>
    <w:rsid w:val="00024232"/>
    <w:rsid w:val="000246BA"/>
    <w:rsid w:val="00024A76"/>
    <w:rsid w:val="00024B22"/>
    <w:rsid w:val="00024C31"/>
    <w:rsid w:val="00024D0F"/>
    <w:rsid w:val="00024FBD"/>
    <w:rsid w:val="00025018"/>
    <w:rsid w:val="0002558C"/>
    <w:rsid w:val="00025973"/>
    <w:rsid w:val="00025CCA"/>
    <w:rsid w:val="00025E46"/>
    <w:rsid w:val="00025E5A"/>
    <w:rsid w:val="000261F5"/>
    <w:rsid w:val="00026216"/>
    <w:rsid w:val="00026254"/>
    <w:rsid w:val="00026490"/>
    <w:rsid w:val="0002658D"/>
    <w:rsid w:val="000265C3"/>
    <w:rsid w:val="00026759"/>
    <w:rsid w:val="000267E5"/>
    <w:rsid w:val="00026880"/>
    <w:rsid w:val="0002689B"/>
    <w:rsid w:val="000269A6"/>
    <w:rsid w:val="00026E2F"/>
    <w:rsid w:val="00026E94"/>
    <w:rsid w:val="00026F78"/>
    <w:rsid w:val="00027051"/>
    <w:rsid w:val="000270CA"/>
    <w:rsid w:val="00027161"/>
    <w:rsid w:val="00027190"/>
    <w:rsid w:val="00027275"/>
    <w:rsid w:val="000272FD"/>
    <w:rsid w:val="0002752B"/>
    <w:rsid w:val="0002752C"/>
    <w:rsid w:val="000277A8"/>
    <w:rsid w:val="000278DF"/>
    <w:rsid w:val="0002792C"/>
    <w:rsid w:val="000279AB"/>
    <w:rsid w:val="00027B0F"/>
    <w:rsid w:val="00027D52"/>
    <w:rsid w:val="00027E05"/>
    <w:rsid w:val="00027E73"/>
    <w:rsid w:val="00027FA8"/>
    <w:rsid w:val="00030033"/>
    <w:rsid w:val="000300B6"/>
    <w:rsid w:val="00030103"/>
    <w:rsid w:val="00030237"/>
    <w:rsid w:val="000302B1"/>
    <w:rsid w:val="000303B9"/>
    <w:rsid w:val="0003058F"/>
    <w:rsid w:val="000306BB"/>
    <w:rsid w:val="00030770"/>
    <w:rsid w:val="00030B05"/>
    <w:rsid w:val="00030B6F"/>
    <w:rsid w:val="00030DE0"/>
    <w:rsid w:val="00030DE6"/>
    <w:rsid w:val="000310B8"/>
    <w:rsid w:val="00031154"/>
    <w:rsid w:val="0003122F"/>
    <w:rsid w:val="000315F7"/>
    <w:rsid w:val="00031803"/>
    <w:rsid w:val="0003180B"/>
    <w:rsid w:val="000319BA"/>
    <w:rsid w:val="00031AA5"/>
    <w:rsid w:val="00031B15"/>
    <w:rsid w:val="00031B96"/>
    <w:rsid w:val="00031BEA"/>
    <w:rsid w:val="00031C87"/>
    <w:rsid w:val="00031CD7"/>
    <w:rsid w:val="00031D44"/>
    <w:rsid w:val="00031E28"/>
    <w:rsid w:val="00032138"/>
    <w:rsid w:val="000321EE"/>
    <w:rsid w:val="000322F1"/>
    <w:rsid w:val="00032523"/>
    <w:rsid w:val="0003266C"/>
    <w:rsid w:val="000326BE"/>
    <w:rsid w:val="000326E6"/>
    <w:rsid w:val="0003277B"/>
    <w:rsid w:val="000328C0"/>
    <w:rsid w:val="00032B3C"/>
    <w:rsid w:val="00032B60"/>
    <w:rsid w:val="00032D65"/>
    <w:rsid w:val="00032E63"/>
    <w:rsid w:val="000330A1"/>
    <w:rsid w:val="000331F3"/>
    <w:rsid w:val="00033481"/>
    <w:rsid w:val="00033714"/>
    <w:rsid w:val="00033742"/>
    <w:rsid w:val="000339A0"/>
    <w:rsid w:val="000339B2"/>
    <w:rsid w:val="000339F9"/>
    <w:rsid w:val="00033A96"/>
    <w:rsid w:val="00033DAA"/>
    <w:rsid w:val="00033FC6"/>
    <w:rsid w:val="0003415B"/>
    <w:rsid w:val="0003426D"/>
    <w:rsid w:val="000342A3"/>
    <w:rsid w:val="000345EB"/>
    <w:rsid w:val="00034822"/>
    <w:rsid w:val="00034AB0"/>
    <w:rsid w:val="00034BB7"/>
    <w:rsid w:val="00034C20"/>
    <w:rsid w:val="00034EB1"/>
    <w:rsid w:val="00034EBE"/>
    <w:rsid w:val="00035009"/>
    <w:rsid w:val="000351BA"/>
    <w:rsid w:val="00035382"/>
    <w:rsid w:val="000354B0"/>
    <w:rsid w:val="000357F2"/>
    <w:rsid w:val="00035A60"/>
    <w:rsid w:val="00035B50"/>
    <w:rsid w:val="00035CA8"/>
    <w:rsid w:val="00035D76"/>
    <w:rsid w:val="00035DC3"/>
    <w:rsid w:val="000365DD"/>
    <w:rsid w:val="00036912"/>
    <w:rsid w:val="00036C73"/>
    <w:rsid w:val="00036E0F"/>
    <w:rsid w:val="00036E35"/>
    <w:rsid w:val="0003702A"/>
    <w:rsid w:val="0003702B"/>
    <w:rsid w:val="000370E9"/>
    <w:rsid w:val="000374F2"/>
    <w:rsid w:val="0003766E"/>
    <w:rsid w:val="000377A9"/>
    <w:rsid w:val="00037844"/>
    <w:rsid w:val="0003796B"/>
    <w:rsid w:val="000379CD"/>
    <w:rsid w:val="00037C2F"/>
    <w:rsid w:val="00037D71"/>
    <w:rsid w:val="00037F13"/>
    <w:rsid w:val="00037FB2"/>
    <w:rsid w:val="0004027F"/>
    <w:rsid w:val="000403B9"/>
    <w:rsid w:val="00040629"/>
    <w:rsid w:val="00040814"/>
    <w:rsid w:val="00040871"/>
    <w:rsid w:val="000409DC"/>
    <w:rsid w:val="00040A87"/>
    <w:rsid w:val="00040E2B"/>
    <w:rsid w:val="00040F73"/>
    <w:rsid w:val="00040FAF"/>
    <w:rsid w:val="0004106F"/>
    <w:rsid w:val="00041148"/>
    <w:rsid w:val="0004127B"/>
    <w:rsid w:val="00041327"/>
    <w:rsid w:val="0004138B"/>
    <w:rsid w:val="000413F9"/>
    <w:rsid w:val="00041614"/>
    <w:rsid w:val="00041627"/>
    <w:rsid w:val="00041785"/>
    <w:rsid w:val="000417C7"/>
    <w:rsid w:val="0004180B"/>
    <w:rsid w:val="000418EA"/>
    <w:rsid w:val="00041924"/>
    <w:rsid w:val="000419E7"/>
    <w:rsid w:val="00041A92"/>
    <w:rsid w:val="00041B3F"/>
    <w:rsid w:val="00041EB0"/>
    <w:rsid w:val="00042121"/>
    <w:rsid w:val="0004253E"/>
    <w:rsid w:val="0004268C"/>
    <w:rsid w:val="00042721"/>
    <w:rsid w:val="000428B6"/>
    <w:rsid w:val="00042A5A"/>
    <w:rsid w:val="00042BE0"/>
    <w:rsid w:val="00042C72"/>
    <w:rsid w:val="00042C75"/>
    <w:rsid w:val="00042D1A"/>
    <w:rsid w:val="00042D4C"/>
    <w:rsid w:val="00043103"/>
    <w:rsid w:val="000431DC"/>
    <w:rsid w:val="000433B3"/>
    <w:rsid w:val="000434A6"/>
    <w:rsid w:val="000436ED"/>
    <w:rsid w:val="000439D9"/>
    <w:rsid w:val="00043BE0"/>
    <w:rsid w:val="00043E5F"/>
    <w:rsid w:val="00043EFC"/>
    <w:rsid w:val="00043F32"/>
    <w:rsid w:val="00043F5F"/>
    <w:rsid w:val="00044055"/>
    <w:rsid w:val="000442C1"/>
    <w:rsid w:val="0004440A"/>
    <w:rsid w:val="000444ED"/>
    <w:rsid w:val="0004477D"/>
    <w:rsid w:val="00044812"/>
    <w:rsid w:val="00044ADC"/>
    <w:rsid w:val="00044B14"/>
    <w:rsid w:val="00044C43"/>
    <w:rsid w:val="00044C56"/>
    <w:rsid w:val="00044C97"/>
    <w:rsid w:val="00044EC1"/>
    <w:rsid w:val="0004502B"/>
    <w:rsid w:val="000450CE"/>
    <w:rsid w:val="000451A9"/>
    <w:rsid w:val="00045274"/>
    <w:rsid w:val="000452A5"/>
    <w:rsid w:val="0004596B"/>
    <w:rsid w:val="000459FE"/>
    <w:rsid w:val="00045A5D"/>
    <w:rsid w:val="00045B54"/>
    <w:rsid w:val="00045B6A"/>
    <w:rsid w:val="00045BBF"/>
    <w:rsid w:val="00045BCD"/>
    <w:rsid w:val="00045CF6"/>
    <w:rsid w:val="00045DA7"/>
    <w:rsid w:val="00045E04"/>
    <w:rsid w:val="00045E45"/>
    <w:rsid w:val="00045EE7"/>
    <w:rsid w:val="00045F2C"/>
    <w:rsid w:val="00045FF4"/>
    <w:rsid w:val="0004608D"/>
    <w:rsid w:val="0004624A"/>
    <w:rsid w:val="0004626D"/>
    <w:rsid w:val="0004633C"/>
    <w:rsid w:val="00046826"/>
    <w:rsid w:val="000468A1"/>
    <w:rsid w:val="00046BDF"/>
    <w:rsid w:val="00046CE3"/>
    <w:rsid w:val="00046D3D"/>
    <w:rsid w:val="00046D65"/>
    <w:rsid w:val="00046DAD"/>
    <w:rsid w:val="00046FD4"/>
    <w:rsid w:val="000471FC"/>
    <w:rsid w:val="000473FE"/>
    <w:rsid w:val="000476CD"/>
    <w:rsid w:val="0004777F"/>
    <w:rsid w:val="00047854"/>
    <w:rsid w:val="0004796B"/>
    <w:rsid w:val="000479AC"/>
    <w:rsid w:val="00047BE6"/>
    <w:rsid w:val="00047EE8"/>
    <w:rsid w:val="00047F00"/>
    <w:rsid w:val="00047F33"/>
    <w:rsid w:val="0005002C"/>
    <w:rsid w:val="00050092"/>
    <w:rsid w:val="00050113"/>
    <w:rsid w:val="000501E7"/>
    <w:rsid w:val="00050227"/>
    <w:rsid w:val="000503BD"/>
    <w:rsid w:val="00050420"/>
    <w:rsid w:val="000504DD"/>
    <w:rsid w:val="000504FC"/>
    <w:rsid w:val="00050608"/>
    <w:rsid w:val="0005061B"/>
    <w:rsid w:val="00050831"/>
    <w:rsid w:val="0005089F"/>
    <w:rsid w:val="00050A27"/>
    <w:rsid w:val="00050AC8"/>
    <w:rsid w:val="00050B9B"/>
    <w:rsid w:val="00050C67"/>
    <w:rsid w:val="000510E2"/>
    <w:rsid w:val="0005112B"/>
    <w:rsid w:val="000511C2"/>
    <w:rsid w:val="00051483"/>
    <w:rsid w:val="0005164E"/>
    <w:rsid w:val="000516B5"/>
    <w:rsid w:val="000517F1"/>
    <w:rsid w:val="000519E2"/>
    <w:rsid w:val="00051ADC"/>
    <w:rsid w:val="00051BF7"/>
    <w:rsid w:val="00051CBA"/>
    <w:rsid w:val="000523F1"/>
    <w:rsid w:val="00052506"/>
    <w:rsid w:val="00052522"/>
    <w:rsid w:val="00052544"/>
    <w:rsid w:val="00052550"/>
    <w:rsid w:val="000525E3"/>
    <w:rsid w:val="0005265A"/>
    <w:rsid w:val="0005281F"/>
    <w:rsid w:val="000529C2"/>
    <w:rsid w:val="00052A5D"/>
    <w:rsid w:val="00052B2D"/>
    <w:rsid w:val="00052C04"/>
    <w:rsid w:val="00052C18"/>
    <w:rsid w:val="00052D57"/>
    <w:rsid w:val="00052E29"/>
    <w:rsid w:val="00052EB2"/>
    <w:rsid w:val="000530EC"/>
    <w:rsid w:val="000537F7"/>
    <w:rsid w:val="0005389A"/>
    <w:rsid w:val="00053968"/>
    <w:rsid w:val="00053A39"/>
    <w:rsid w:val="00053BCF"/>
    <w:rsid w:val="00053C03"/>
    <w:rsid w:val="00053D47"/>
    <w:rsid w:val="0005435B"/>
    <w:rsid w:val="000543D2"/>
    <w:rsid w:val="00054892"/>
    <w:rsid w:val="00054946"/>
    <w:rsid w:val="00054AA7"/>
    <w:rsid w:val="00054C21"/>
    <w:rsid w:val="00054C62"/>
    <w:rsid w:val="00054CA3"/>
    <w:rsid w:val="00054F16"/>
    <w:rsid w:val="00055048"/>
    <w:rsid w:val="000552E3"/>
    <w:rsid w:val="0005552C"/>
    <w:rsid w:val="00055935"/>
    <w:rsid w:val="00055985"/>
    <w:rsid w:val="00055BAC"/>
    <w:rsid w:val="00055C75"/>
    <w:rsid w:val="00055D0F"/>
    <w:rsid w:val="00055EAD"/>
    <w:rsid w:val="00055FAF"/>
    <w:rsid w:val="00055FB9"/>
    <w:rsid w:val="000563D1"/>
    <w:rsid w:val="000565A6"/>
    <w:rsid w:val="000565F0"/>
    <w:rsid w:val="00056635"/>
    <w:rsid w:val="00056700"/>
    <w:rsid w:val="0005676A"/>
    <w:rsid w:val="000568AC"/>
    <w:rsid w:val="00056BFD"/>
    <w:rsid w:val="00056E9C"/>
    <w:rsid w:val="00056F4B"/>
    <w:rsid w:val="00056FF3"/>
    <w:rsid w:val="00057420"/>
    <w:rsid w:val="00057565"/>
    <w:rsid w:val="00057792"/>
    <w:rsid w:val="00057858"/>
    <w:rsid w:val="00057A41"/>
    <w:rsid w:val="00057D94"/>
    <w:rsid w:val="00057DDA"/>
    <w:rsid w:val="00057E97"/>
    <w:rsid w:val="0006034B"/>
    <w:rsid w:val="000603CF"/>
    <w:rsid w:val="00060420"/>
    <w:rsid w:val="0006055B"/>
    <w:rsid w:val="00060788"/>
    <w:rsid w:val="000609F6"/>
    <w:rsid w:val="00060A71"/>
    <w:rsid w:val="00060D0D"/>
    <w:rsid w:val="00060DB1"/>
    <w:rsid w:val="00060FC8"/>
    <w:rsid w:val="0006100C"/>
    <w:rsid w:val="000610C4"/>
    <w:rsid w:val="000611BF"/>
    <w:rsid w:val="0006145D"/>
    <w:rsid w:val="0006170A"/>
    <w:rsid w:val="00061714"/>
    <w:rsid w:val="00061929"/>
    <w:rsid w:val="0006198B"/>
    <w:rsid w:val="00061A32"/>
    <w:rsid w:val="00061AE3"/>
    <w:rsid w:val="00061D3B"/>
    <w:rsid w:val="00061DF2"/>
    <w:rsid w:val="00061ECB"/>
    <w:rsid w:val="00061F4A"/>
    <w:rsid w:val="0006202D"/>
    <w:rsid w:val="0006202F"/>
    <w:rsid w:val="000624CC"/>
    <w:rsid w:val="000624E4"/>
    <w:rsid w:val="000624F5"/>
    <w:rsid w:val="00062729"/>
    <w:rsid w:val="00062812"/>
    <w:rsid w:val="00062B36"/>
    <w:rsid w:val="00062CF5"/>
    <w:rsid w:val="00062EAA"/>
    <w:rsid w:val="00062EED"/>
    <w:rsid w:val="00062F9F"/>
    <w:rsid w:val="0006308D"/>
    <w:rsid w:val="0006326F"/>
    <w:rsid w:val="000633EC"/>
    <w:rsid w:val="00063448"/>
    <w:rsid w:val="0006347D"/>
    <w:rsid w:val="000638E2"/>
    <w:rsid w:val="00063992"/>
    <w:rsid w:val="00063A39"/>
    <w:rsid w:val="00063B23"/>
    <w:rsid w:val="00063B43"/>
    <w:rsid w:val="00063BB0"/>
    <w:rsid w:val="00063C6C"/>
    <w:rsid w:val="00063F53"/>
    <w:rsid w:val="00063FF8"/>
    <w:rsid w:val="00064104"/>
    <w:rsid w:val="000641D4"/>
    <w:rsid w:val="00064392"/>
    <w:rsid w:val="00064504"/>
    <w:rsid w:val="00064712"/>
    <w:rsid w:val="0006471D"/>
    <w:rsid w:val="000647E6"/>
    <w:rsid w:val="00064879"/>
    <w:rsid w:val="00064A45"/>
    <w:rsid w:val="00064A8C"/>
    <w:rsid w:val="00064AAA"/>
    <w:rsid w:val="00064CFE"/>
    <w:rsid w:val="00065055"/>
    <w:rsid w:val="000651AC"/>
    <w:rsid w:val="000651FD"/>
    <w:rsid w:val="0006521B"/>
    <w:rsid w:val="00065717"/>
    <w:rsid w:val="00065E31"/>
    <w:rsid w:val="0006613C"/>
    <w:rsid w:val="00066198"/>
    <w:rsid w:val="000664F7"/>
    <w:rsid w:val="00066550"/>
    <w:rsid w:val="00066660"/>
    <w:rsid w:val="0006685A"/>
    <w:rsid w:val="00066A69"/>
    <w:rsid w:val="00066AFF"/>
    <w:rsid w:val="00066B58"/>
    <w:rsid w:val="00066DBA"/>
    <w:rsid w:val="000670B5"/>
    <w:rsid w:val="000670D8"/>
    <w:rsid w:val="00067142"/>
    <w:rsid w:val="00067357"/>
    <w:rsid w:val="0006739E"/>
    <w:rsid w:val="0006749F"/>
    <w:rsid w:val="000675EF"/>
    <w:rsid w:val="00067835"/>
    <w:rsid w:val="00067938"/>
    <w:rsid w:val="00067D89"/>
    <w:rsid w:val="00070065"/>
    <w:rsid w:val="00070354"/>
    <w:rsid w:val="00070366"/>
    <w:rsid w:val="000704C8"/>
    <w:rsid w:val="00070543"/>
    <w:rsid w:val="0007065D"/>
    <w:rsid w:val="000706F2"/>
    <w:rsid w:val="000707A8"/>
    <w:rsid w:val="00070821"/>
    <w:rsid w:val="00070938"/>
    <w:rsid w:val="00070952"/>
    <w:rsid w:val="000709E5"/>
    <w:rsid w:val="00070A7E"/>
    <w:rsid w:val="00070C93"/>
    <w:rsid w:val="00070D3D"/>
    <w:rsid w:val="00070E56"/>
    <w:rsid w:val="0007107B"/>
    <w:rsid w:val="00071186"/>
    <w:rsid w:val="00071198"/>
    <w:rsid w:val="000711F9"/>
    <w:rsid w:val="00071229"/>
    <w:rsid w:val="000714B1"/>
    <w:rsid w:val="000716DB"/>
    <w:rsid w:val="00071939"/>
    <w:rsid w:val="00071969"/>
    <w:rsid w:val="00071A77"/>
    <w:rsid w:val="00071B20"/>
    <w:rsid w:val="00071B8B"/>
    <w:rsid w:val="00071BE5"/>
    <w:rsid w:val="00071C92"/>
    <w:rsid w:val="00071CC6"/>
    <w:rsid w:val="00072223"/>
    <w:rsid w:val="00072633"/>
    <w:rsid w:val="000726F2"/>
    <w:rsid w:val="00072748"/>
    <w:rsid w:val="00072764"/>
    <w:rsid w:val="00072766"/>
    <w:rsid w:val="000727C6"/>
    <w:rsid w:val="00072806"/>
    <w:rsid w:val="00072879"/>
    <w:rsid w:val="000728F1"/>
    <w:rsid w:val="00072A3E"/>
    <w:rsid w:val="00072B62"/>
    <w:rsid w:val="00072CEB"/>
    <w:rsid w:val="00072DF7"/>
    <w:rsid w:val="00072EAD"/>
    <w:rsid w:val="0007321F"/>
    <w:rsid w:val="000734B6"/>
    <w:rsid w:val="000734C7"/>
    <w:rsid w:val="000735AE"/>
    <w:rsid w:val="00073686"/>
    <w:rsid w:val="000736D0"/>
    <w:rsid w:val="0007381D"/>
    <w:rsid w:val="00073834"/>
    <w:rsid w:val="00073A41"/>
    <w:rsid w:val="00073CD8"/>
    <w:rsid w:val="00073DB2"/>
    <w:rsid w:val="00073E34"/>
    <w:rsid w:val="00073EFF"/>
    <w:rsid w:val="00074380"/>
    <w:rsid w:val="0007453F"/>
    <w:rsid w:val="00074575"/>
    <w:rsid w:val="00074580"/>
    <w:rsid w:val="000745C9"/>
    <w:rsid w:val="0007466B"/>
    <w:rsid w:val="000746F7"/>
    <w:rsid w:val="0007483E"/>
    <w:rsid w:val="00074874"/>
    <w:rsid w:val="000748AD"/>
    <w:rsid w:val="00074CBE"/>
    <w:rsid w:val="00074E26"/>
    <w:rsid w:val="00074F19"/>
    <w:rsid w:val="0007506E"/>
    <w:rsid w:val="000755BE"/>
    <w:rsid w:val="000757D5"/>
    <w:rsid w:val="000757F0"/>
    <w:rsid w:val="000759C6"/>
    <w:rsid w:val="00075AFB"/>
    <w:rsid w:val="00075B03"/>
    <w:rsid w:val="00075DAB"/>
    <w:rsid w:val="00075F6C"/>
    <w:rsid w:val="00076040"/>
    <w:rsid w:val="0007613D"/>
    <w:rsid w:val="0007614A"/>
    <w:rsid w:val="0007627F"/>
    <w:rsid w:val="00076297"/>
    <w:rsid w:val="000762D5"/>
    <w:rsid w:val="0007632B"/>
    <w:rsid w:val="000765DA"/>
    <w:rsid w:val="0007665F"/>
    <w:rsid w:val="00076675"/>
    <w:rsid w:val="00076790"/>
    <w:rsid w:val="0007679B"/>
    <w:rsid w:val="000767CA"/>
    <w:rsid w:val="00076908"/>
    <w:rsid w:val="00076A14"/>
    <w:rsid w:val="00076CB0"/>
    <w:rsid w:val="00076E6E"/>
    <w:rsid w:val="00076F92"/>
    <w:rsid w:val="000770CE"/>
    <w:rsid w:val="00077241"/>
    <w:rsid w:val="00077444"/>
    <w:rsid w:val="00077455"/>
    <w:rsid w:val="00077662"/>
    <w:rsid w:val="00077696"/>
    <w:rsid w:val="0007794E"/>
    <w:rsid w:val="00077A65"/>
    <w:rsid w:val="00077AF4"/>
    <w:rsid w:val="00077B20"/>
    <w:rsid w:val="00077B3C"/>
    <w:rsid w:val="00077B49"/>
    <w:rsid w:val="00077BC7"/>
    <w:rsid w:val="00077D45"/>
    <w:rsid w:val="00077D8C"/>
    <w:rsid w:val="00077E29"/>
    <w:rsid w:val="00077FB5"/>
    <w:rsid w:val="0008003B"/>
    <w:rsid w:val="0008004F"/>
    <w:rsid w:val="00080079"/>
    <w:rsid w:val="000800AB"/>
    <w:rsid w:val="0008012C"/>
    <w:rsid w:val="00080481"/>
    <w:rsid w:val="000804BB"/>
    <w:rsid w:val="00080736"/>
    <w:rsid w:val="0008077E"/>
    <w:rsid w:val="00080786"/>
    <w:rsid w:val="00080907"/>
    <w:rsid w:val="00080927"/>
    <w:rsid w:val="00080A6C"/>
    <w:rsid w:val="00080BC4"/>
    <w:rsid w:val="00080D0F"/>
    <w:rsid w:val="00080F59"/>
    <w:rsid w:val="00081085"/>
    <w:rsid w:val="000810AF"/>
    <w:rsid w:val="00081201"/>
    <w:rsid w:val="0008129E"/>
    <w:rsid w:val="000812CC"/>
    <w:rsid w:val="000813A2"/>
    <w:rsid w:val="00081454"/>
    <w:rsid w:val="00081476"/>
    <w:rsid w:val="000817CC"/>
    <w:rsid w:val="00081818"/>
    <w:rsid w:val="000818AE"/>
    <w:rsid w:val="000819E0"/>
    <w:rsid w:val="00081B2D"/>
    <w:rsid w:val="00081DA4"/>
    <w:rsid w:val="00081EE5"/>
    <w:rsid w:val="000821DE"/>
    <w:rsid w:val="000821FF"/>
    <w:rsid w:val="00082249"/>
    <w:rsid w:val="00082620"/>
    <w:rsid w:val="000826CE"/>
    <w:rsid w:val="000829FA"/>
    <w:rsid w:val="00082A4F"/>
    <w:rsid w:val="00082BCF"/>
    <w:rsid w:val="000831DA"/>
    <w:rsid w:val="00083795"/>
    <w:rsid w:val="000837C6"/>
    <w:rsid w:val="000837F9"/>
    <w:rsid w:val="00083A90"/>
    <w:rsid w:val="00083BCA"/>
    <w:rsid w:val="00083DE2"/>
    <w:rsid w:val="00083F96"/>
    <w:rsid w:val="00083FEF"/>
    <w:rsid w:val="000849AA"/>
    <w:rsid w:val="00084A9F"/>
    <w:rsid w:val="00084C78"/>
    <w:rsid w:val="00085161"/>
    <w:rsid w:val="00085177"/>
    <w:rsid w:val="000853BD"/>
    <w:rsid w:val="000854A9"/>
    <w:rsid w:val="00085528"/>
    <w:rsid w:val="00085676"/>
    <w:rsid w:val="0008569B"/>
    <w:rsid w:val="000856A4"/>
    <w:rsid w:val="000856AB"/>
    <w:rsid w:val="000856B1"/>
    <w:rsid w:val="000856D4"/>
    <w:rsid w:val="0008597C"/>
    <w:rsid w:val="00085C5F"/>
    <w:rsid w:val="00085D94"/>
    <w:rsid w:val="00085F3F"/>
    <w:rsid w:val="000860E1"/>
    <w:rsid w:val="000861E7"/>
    <w:rsid w:val="00086682"/>
    <w:rsid w:val="00086704"/>
    <w:rsid w:val="000867B8"/>
    <w:rsid w:val="00086869"/>
    <w:rsid w:val="000868C9"/>
    <w:rsid w:val="000869EE"/>
    <w:rsid w:val="00086AD5"/>
    <w:rsid w:val="00086ADA"/>
    <w:rsid w:val="00086BC4"/>
    <w:rsid w:val="00086C00"/>
    <w:rsid w:val="00086C38"/>
    <w:rsid w:val="00086D1E"/>
    <w:rsid w:val="00086E79"/>
    <w:rsid w:val="00086F6A"/>
    <w:rsid w:val="00086FFC"/>
    <w:rsid w:val="000873B3"/>
    <w:rsid w:val="00087465"/>
    <w:rsid w:val="000874EC"/>
    <w:rsid w:val="0008754F"/>
    <w:rsid w:val="000876FC"/>
    <w:rsid w:val="00087722"/>
    <w:rsid w:val="000877E3"/>
    <w:rsid w:val="0008786A"/>
    <w:rsid w:val="00087A43"/>
    <w:rsid w:val="00087C10"/>
    <w:rsid w:val="00087EFC"/>
    <w:rsid w:val="00090055"/>
    <w:rsid w:val="00090116"/>
    <w:rsid w:val="0009021D"/>
    <w:rsid w:val="0009027B"/>
    <w:rsid w:val="00090316"/>
    <w:rsid w:val="00090384"/>
    <w:rsid w:val="00090651"/>
    <w:rsid w:val="00090800"/>
    <w:rsid w:val="00090837"/>
    <w:rsid w:val="0009093A"/>
    <w:rsid w:val="000909B6"/>
    <w:rsid w:val="000909BE"/>
    <w:rsid w:val="00090A3B"/>
    <w:rsid w:val="00090BBF"/>
    <w:rsid w:val="00090D42"/>
    <w:rsid w:val="00090F85"/>
    <w:rsid w:val="0009119D"/>
    <w:rsid w:val="00091363"/>
    <w:rsid w:val="0009169B"/>
    <w:rsid w:val="000916C2"/>
    <w:rsid w:val="00091831"/>
    <w:rsid w:val="000918F6"/>
    <w:rsid w:val="00091928"/>
    <w:rsid w:val="00091965"/>
    <w:rsid w:val="00091BBF"/>
    <w:rsid w:val="00091FDF"/>
    <w:rsid w:val="0009210A"/>
    <w:rsid w:val="000922D1"/>
    <w:rsid w:val="000923BD"/>
    <w:rsid w:val="000925C7"/>
    <w:rsid w:val="000925DE"/>
    <w:rsid w:val="000926AD"/>
    <w:rsid w:val="000927A5"/>
    <w:rsid w:val="0009283F"/>
    <w:rsid w:val="00092A64"/>
    <w:rsid w:val="00092AB8"/>
    <w:rsid w:val="00092AC2"/>
    <w:rsid w:val="00092BDD"/>
    <w:rsid w:val="00092C33"/>
    <w:rsid w:val="00092E68"/>
    <w:rsid w:val="00092EF2"/>
    <w:rsid w:val="0009308D"/>
    <w:rsid w:val="000931ED"/>
    <w:rsid w:val="00093237"/>
    <w:rsid w:val="00093275"/>
    <w:rsid w:val="00093546"/>
    <w:rsid w:val="000935D2"/>
    <w:rsid w:val="000935FF"/>
    <w:rsid w:val="00093993"/>
    <w:rsid w:val="000939BB"/>
    <w:rsid w:val="000939D3"/>
    <w:rsid w:val="00093A0B"/>
    <w:rsid w:val="00093B3C"/>
    <w:rsid w:val="00093E6E"/>
    <w:rsid w:val="00094230"/>
    <w:rsid w:val="0009432F"/>
    <w:rsid w:val="000943F6"/>
    <w:rsid w:val="000945BA"/>
    <w:rsid w:val="00094630"/>
    <w:rsid w:val="000947EC"/>
    <w:rsid w:val="00094A62"/>
    <w:rsid w:val="00094B07"/>
    <w:rsid w:val="00094B11"/>
    <w:rsid w:val="00094E5C"/>
    <w:rsid w:val="00094E82"/>
    <w:rsid w:val="0009528C"/>
    <w:rsid w:val="000953BC"/>
    <w:rsid w:val="000955DF"/>
    <w:rsid w:val="000957D0"/>
    <w:rsid w:val="000958FD"/>
    <w:rsid w:val="00095B04"/>
    <w:rsid w:val="00095B61"/>
    <w:rsid w:val="00095BE4"/>
    <w:rsid w:val="00095C68"/>
    <w:rsid w:val="00095F5F"/>
    <w:rsid w:val="00095FA3"/>
    <w:rsid w:val="00095FD8"/>
    <w:rsid w:val="00096118"/>
    <w:rsid w:val="000961BD"/>
    <w:rsid w:val="00096307"/>
    <w:rsid w:val="0009668E"/>
    <w:rsid w:val="0009670E"/>
    <w:rsid w:val="0009698A"/>
    <w:rsid w:val="00096B57"/>
    <w:rsid w:val="00096BAB"/>
    <w:rsid w:val="00096EB8"/>
    <w:rsid w:val="00096FE9"/>
    <w:rsid w:val="00097195"/>
    <w:rsid w:val="000972A0"/>
    <w:rsid w:val="00097457"/>
    <w:rsid w:val="0009769B"/>
    <w:rsid w:val="0009798F"/>
    <w:rsid w:val="00097D1C"/>
    <w:rsid w:val="00097FB9"/>
    <w:rsid w:val="000A01A7"/>
    <w:rsid w:val="000A0231"/>
    <w:rsid w:val="000A035E"/>
    <w:rsid w:val="000A044F"/>
    <w:rsid w:val="000A0485"/>
    <w:rsid w:val="000A05AB"/>
    <w:rsid w:val="000A09B7"/>
    <w:rsid w:val="000A09FD"/>
    <w:rsid w:val="000A0B9D"/>
    <w:rsid w:val="000A0C98"/>
    <w:rsid w:val="000A0D0E"/>
    <w:rsid w:val="000A0E6A"/>
    <w:rsid w:val="000A1294"/>
    <w:rsid w:val="000A15BB"/>
    <w:rsid w:val="000A17A4"/>
    <w:rsid w:val="000A18CA"/>
    <w:rsid w:val="000A1956"/>
    <w:rsid w:val="000A1CFA"/>
    <w:rsid w:val="000A23A2"/>
    <w:rsid w:val="000A25D6"/>
    <w:rsid w:val="000A2647"/>
    <w:rsid w:val="000A26EF"/>
    <w:rsid w:val="000A2A77"/>
    <w:rsid w:val="000A2AE4"/>
    <w:rsid w:val="000A2D7A"/>
    <w:rsid w:val="000A2E23"/>
    <w:rsid w:val="000A2F1E"/>
    <w:rsid w:val="000A30A4"/>
    <w:rsid w:val="000A30E3"/>
    <w:rsid w:val="000A31D4"/>
    <w:rsid w:val="000A3220"/>
    <w:rsid w:val="000A3275"/>
    <w:rsid w:val="000A342B"/>
    <w:rsid w:val="000A3685"/>
    <w:rsid w:val="000A3710"/>
    <w:rsid w:val="000A3760"/>
    <w:rsid w:val="000A37FA"/>
    <w:rsid w:val="000A3858"/>
    <w:rsid w:val="000A38F1"/>
    <w:rsid w:val="000A3CF0"/>
    <w:rsid w:val="000A3EFE"/>
    <w:rsid w:val="000A4373"/>
    <w:rsid w:val="000A4416"/>
    <w:rsid w:val="000A4647"/>
    <w:rsid w:val="000A47A6"/>
    <w:rsid w:val="000A4C73"/>
    <w:rsid w:val="000A4E0E"/>
    <w:rsid w:val="000A515A"/>
    <w:rsid w:val="000A5234"/>
    <w:rsid w:val="000A52DD"/>
    <w:rsid w:val="000A55ED"/>
    <w:rsid w:val="000A5AF8"/>
    <w:rsid w:val="000A5CA0"/>
    <w:rsid w:val="000A5DF4"/>
    <w:rsid w:val="000A5E71"/>
    <w:rsid w:val="000A606B"/>
    <w:rsid w:val="000A60E7"/>
    <w:rsid w:val="000A61D4"/>
    <w:rsid w:val="000A62CC"/>
    <w:rsid w:val="000A6332"/>
    <w:rsid w:val="000A6498"/>
    <w:rsid w:val="000A6548"/>
    <w:rsid w:val="000A6605"/>
    <w:rsid w:val="000A667F"/>
    <w:rsid w:val="000A66EF"/>
    <w:rsid w:val="000A6874"/>
    <w:rsid w:val="000A68E3"/>
    <w:rsid w:val="000A6988"/>
    <w:rsid w:val="000A69A2"/>
    <w:rsid w:val="000A6A00"/>
    <w:rsid w:val="000A6B61"/>
    <w:rsid w:val="000A6CBA"/>
    <w:rsid w:val="000A6CD9"/>
    <w:rsid w:val="000A6CEE"/>
    <w:rsid w:val="000A6F65"/>
    <w:rsid w:val="000A7134"/>
    <w:rsid w:val="000A714B"/>
    <w:rsid w:val="000A7163"/>
    <w:rsid w:val="000A73A7"/>
    <w:rsid w:val="000A7445"/>
    <w:rsid w:val="000A745F"/>
    <w:rsid w:val="000A7662"/>
    <w:rsid w:val="000A77BB"/>
    <w:rsid w:val="000A7841"/>
    <w:rsid w:val="000A7931"/>
    <w:rsid w:val="000A7944"/>
    <w:rsid w:val="000A7A2A"/>
    <w:rsid w:val="000A7A9B"/>
    <w:rsid w:val="000A7B8F"/>
    <w:rsid w:val="000A7C1E"/>
    <w:rsid w:val="000A7CD5"/>
    <w:rsid w:val="000A7D13"/>
    <w:rsid w:val="000A7DB5"/>
    <w:rsid w:val="000A7E34"/>
    <w:rsid w:val="000A7F61"/>
    <w:rsid w:val="000B031C"/>
    <w:rsid w:val="000B037A"/>
    <w:rsid w:val="000B0546"/>
    <w:rsid w:val="000B066F"/>
    <w:rsid w:val="000B0899"/>
    <w:rsid w:val="000B0C3C"/>
    <w:rsid w:val="000B0CF7"/>
    <w:rsid w:val="000B0D66"/>
    <w:rsid w:val="000B0E23"/>
    <w:rsid w:val="000B1010"/>
    <w:rsid w:val="000B1038"/>
    <w:rsid w:val="000B109F"/>
    <w:rsid w:val="000B1222"/>
    <w:rsid w:val="000B13C0"/>
    <w:rsid w:val="000B14CD"/>
    <w:rsid w:val="000B1651"/>
    <w:rsid w:val="000B1B55"/>
    <w:rsid w:val="000B1B87"/>
    <w:rsid w:val="000B1C68"/>
    <w:rsid w:val="000B1DE7"/>
    <w:rsid w:val="000B1E14"/>
    <w:rsid w:val="000B1FEB"/>
    <w:rsid w:val="000B206E"/>
    <w:rsid w:val="000B207E"/>
    <w:rsid w:val="000B213C"/>
    <w:rsid w:val="000B21E5"/>
    <w:rsid w:val="000B2289"/>
    <w:rsid w:val="000B228E"/>
    <w:rsid w:val="000B23A6"/>
    <w:rsid w:val="000B2574"/>
    <w:rsid w:val="000B259C"/>
    <w:rsid w:val="000B268E"/>
    <w:rsid w:val="000B2AD5"/>
    <w:rsid w:val="000B2CFF"/>
    <w:rsid w:val="000B2E27"/>
    <w:rsid w:val="000B2F9A"/>
    <w:rsid w:val="000B301C"/>
    <w:rsid w:val="000B306E"/>
    <w:rsid w:val="000B31A3"/>
    <w:rsid w:val="000B3487"/>
    <w:rsid w:val="000B3499"/>
    <w:rsid w:val="000B3642"/>
    <w:rsid w:val="000B3B82"/>
    <w:rsid w:val="000B3BFF"/>
    <w:rsid w:val="000B3C38"/>
    <w:rsid w:val="000B3CF0"/>
    <w:rsid w:val="000B3DA0"/>
    <w:rsid w:val="000B3ED1"/>
    <w:rsid w:val="000B4028"/>
    <w:rsid w:val="000B4052"/>
    <w:rsid w:val="000B4086"/>
    <w:rsid w:val="000B43A8"/>
    <w:rsid w:val="000B4722"/>
    <w:rsid w:val="000B4838"/>
    <w:rsid w:val="000B4943"/>
    <w:rsid w:val="000B4A95"/>
    <w:rsid w:val="000B4B0B"/>
    <w:rsid w:val="000B4D80"/>
    <w:rsid w:val="000B4D90"/>
    <w:rsid w:val="000B4F5F"/>
    <w:rsid w:val="000B4FA3"/>
    <w:rsid w:val="000B4FD1"/>
    <w:rsid w:val="000B5022"/>
    <w:rsid w:val="000B5053"/>
    <w:rsid w:val="000B5140"/>
    <w:rsid w:val="000B51CA"/>
    <w:rsid w:val="000B52E9"/>
    <w:rsid w:val="000B5337"/>
    <w:rsid w:val="000B5417"/>
    <w:rsid w:val="000B547D"/>
    <w:rsid w:val="000B54F2"/>
    <w:rsid w:val="000B56CD"/>
    <w:rsid w:val="000B573D"/>
    <w:rsid w:val="000B57B7"/>
    <w:rsid w:val="000B5836"/>
    <w:rsid w:val="000B5850"/>
    <w:rsid w:val="000B585C"/>
    <w:rsid w:val="000B5886"/>
    <w:rsid w:val="000B5A4E"/>
    <w:rsid w:val="000B5A6F"/>
    <w:rsid w:val="000B5B65"/>
    <w:rsid w:val="000B5B6D"/>
    <w:rsid w:val="000B5E62"/>
    <w:rsid w:val="000B5E9A"/>
    <w:rsid w:val="000B5EE0"/>
    <w:rsid w:val="000B6570"/>
    <w:rsid w:val="000B6777"/>
    <w:rsid w:val="000B6A0E"/>
    <w:rsid w:val="000B6B16"/>
    <w:rsid w:val="000B6D13"/>
    <w:rsid w:val="000B6EFF"/>
    <w:rsid w:val="000B7188"/>
    <w:rsid w:val="000B7194"/>
    <w:rsid w:val="000B72FD"/>
    <w:rsid w:val="000B7382"/>
    <w:rsid w:val="000B7595"/>
    <w:rsid w:val="000B7784"/>
    <w:rsid w:val="000B789A"/>
    <w:rsid w:val="000B7A12"/>
    <w:rsid w:val="000B7A44"/>
    <w:rsid w:val="000B7B60"/>
    <w:rsid w:val="000B7BE1"/>
    <w:rsid w:val="000B7DBC"/>
    <w:rsid w:val="000C0081"/>
    <w:rsid w:val="000C0280"/>
    <w:rsid w:val="000C03F0"/>
    <w:rsid w:val="000C0710"/>
    <w:rsid w:val="000C0B0C"/>
    <w:rsid w:val="000C0B3D"/>
    <w:rsid w:val="000C0B52"/>
    <w:rsid w:val="000C12A1"/>
    <w:rsid w:val="000C1589"/>
    <w:rsid w:val="000C15FA"/>
    <w:rsid w:val="000C18C7"/>
    <w:rsid w:val="000C19C4"/>
    <w:rsid w:val="000C1AE3"/>
    <w:rsid w:val="000C1BA0"/>
    <w:rsid w:val="000C1F1D"/>
    <w:rsid w:val="000C2074"/>
    <w:rsid w:val="000C20A0"/>
    <w:rsid w:val="000C2219"/>
    <w:rsid w:val="000C2316"/>
    <w:rsid w:val="000C233D"/>
    <w:rsid w:val="000C2409"/>
    <w:rsid w:val="000C247F"/>
    <w:rsid w:val="000C25AB"/>
    <w:rsid w:val="000C2689"/>
    <w:rsid w:val="000C273F"/>
    <w:rsid w:val="000C2792"/>
    <w:rsid w:val="000C2881"/>
    <w:rsid w:val="000C2AE2"/>
    <w:rsid w:val="000C2C3E"/>
    <w:rsid w:val="000C2C76"/>
    <w:rsid w:val="000C2D74"/>
    <w:rsid w:val="000C2DAA"/>
    <w:rsid w:val="000C30C6"/>
    <w:rsid w:val="000C31E5"/>
    <w:rsid w:val="000C33B0"/>
    <w:rsid w:val="000C34A3"/>
    <w:rsid w:val="000C35F0"/>
    <w:rsid w:val="000C3697"/>
    <w:rsid w:val="000C3936"/>
    <w:rsid w:val="000C3A75"/>
    <w:rsid w:val="000C3B33"/>
    <w:rsid w:val="000C3C5E"/>
    <w:rsid w:val="000C4157"/>
    <w:rsid w:val="000C41A8"/>
    <w:rsid w:val="000C41AF"/>
    <w:rsid w:val="000C4366"/>
    <w:rsid w:val="000C43D3"/>
    <w:rsid w:val="000C445C"/>
    <w:rsid w:val="000C462E"/>
    <w:rsid w:val="000C46CD"/>
    <w:rsid w:val="000C483C"/>
    <w:rsid w:val="000C4849"/>
    <w:rsid w:val="000C49FC"/>
    <w:rsid w:val="000C4BBE"/>
    <w:rsid w:val="000C4D06"/>
    <w:rsid w:val="000C4F42"/>
    <w:rsid w:val="000C5026"/>
    <w:rsid w:val="000C50D1"/>
    <w:rsid w:val="000C527D"/>
    <w:rsid w:val="000C5467"/>
    <w:rsid w:val="000C552A"/>
    <w:rsid w:val="000C5583"/>
    <w:rsid w:val="000C55F5"/>
    <w:rsid w:val="000C56EC"/>
    <w:rsid w:val="000C5C96"/>
    <w:rsid w:val="000C5DE1"/>
    <w:rsid w:val="000C5FEA"/>
    <w:rsid w:val="000C6165"/>
    <w:rsid w:val="000C61F8"/>
    <w:rsid w:val="000C6404"/>
    <w:rsid w:val="000C6518"/>
    <w:rsid w:val="000C655B"/>
    <w:rsid w:val="000C67C0"/>
    <w:rsid w:val="000C69A2"/>
    <w:rsid w:val="000C6A10"/>
    <w:rsid w:val="000C6A76"/>
    <w:rsid w:val="000C6AD2"/>
    <w:rsid w:val="000C6D9D"/>
    <w:rsid w:val="000C6F51"/>
    <w:rsid w:val="000C7184"/>
    <w:rsid w:val="000C71AA"/>
    <w:rsid w:val="000C7210"/>
    <w:rsid w:val="000C7321"/>
    <w:rsid w:val="000C7336"/>
    <w:rsid w:val="000C7503"/>
    <w:rsid w:val="000C76C4"/>
    <w:rsid w:val="000C7821"/>
    <w:rsid w:val="000C79CF"/>
    <w:rsid w:val="000C7D79"/>
    <w:rsid w:val="000C7D81"/>
    <w:rsid w:val="000C7EC9"/>
    <w:rsid w:val="000C7F7A"/>
    <w:rsid w:val="000D01E2"/>
    <w:rsid w:val="000D03E1"/>
    <w:rsid w:val="000D04DD"/>
    <w:rsid w:val="000D0636"/>
    <w:rsid w:val="000D0644"/>
    <w:rsid w:val="000D08A6"/>
    <w:rsid w:val="000D08D4"/>
    <w:rsid w:val="000D08E7"/>
    <w:rsid w:val="000D0DE6"/>
    <w:rsid w:val="000D0F6C"/>
    <w:rsid w:val="000D1255"/>
    <w:rsid w:val="000D18E3"/>
    <w:rsid w:val="000D1A11"/>
    <w:rsid w:val="000D1A1B"/>
    <w:rsid w:val="000D1A4A"/>
    <w:rsid w:val="000D1A6B"/>
    <w:rsid w:val="000D1AA4"/>
    <w:rsid w:val="000D1BE6"/>
    <w:rsid w:val="000D1F20"/>
    <w:rsid w:val="000D1F56"/>
    <w:rsid w:val="000D2061"/>
    <w:rsid w:val="000D2429"/>
    <w:rsid w:val="000D268A"/>
    <w:rsid w:val="000D27F8"/>
    <w:rsid w:val="000D2ADB"/>
    <w:rsid w:val="000D2B9F"/>
    <w:rsid w:val="000D2BEE"/>
    <w:rsid w:val="000D2CFF"/>
    <w:rsid w:val="000D2E1C"/>
    <w:rsid w:val="000D3002"/>
    <w:rsid w:val="000D3278"/>
    <w:rsid w:val="000D32E6"/>
    <w:rsid w:val="000D3355"/>
    <w:rsid w:val="000D369E"/>
    <w:rsid w:val="000D36B0"/>
    <w:rsid w:val="000D36F3"/>
    <w:rsid w:val="000D3ADB"/>
    <w:rsid w:val="000D3AFB"/>
    <w:rsid w:val="000D3BB5"/>
    <w:rsid w:val="000D3C52"/>
    <w:rsid w:val="000D3C9E"/>
    <w:rsid w:val="000D43B8"/>
    <w:rsid w:val="000D4632"/>
    <w:rsid w:val="000D468E"/>
    <w:rsid w:val="000D4703"/>
    <w:rsid w:val="000D47D4"/>
    <w:rsid w:val="000D4825"/>
    <w:rsid w:val="000D4968"/>
    <w:rsid w:val="000D4A1F"/>
    <w:rsid w:val="000D4D1F"/>
    <w:rsid w:val="000D4D20"/>
    <w:rsid w:val="000D4EEC"/>
    <w:rsid w:val="000D4F87"/>
    <w:rsid w:val="000D50B9"/>
    <w:rsid w:val="000D50EE"/>
    <w:rsid w:val="000D54A1"/>
    <w:rsid w:val="000D5558"/>
    <w:rsid w:val="000D5578"/>
    <w:rsid w:val="000D5783"/>
    <w:rsid w:val="000D5D27"/>
    <w:rsid w:val="000D607F"/>
    <w:rsid w:val="000D60A9"/>
    <w:rsid w:val="000D63C3"/>
    <w:rsid w:val="000D668B"/>
    <w:rsid w:val="000D67ED"/>
    <w:rsid w:val="000D6854"/>
    <w:rsid w:val="000D68B7"/>
    <w:rsid w:val="000D69C6"/>
    <w:rsid w:val="000D6AE0"/>
    <w:rsid w:val="000D6C55"/>
    <w:rsid w:val="000D6D2B"/>
    <w:rsid w:val="000D6D60"/>
    <w:rsid w:val="000D6D69"/>
    <w:rsid w:val="000D6DF7"/>
    <w:rsid w:val="000D6F36"/>
    <w:rsid w:val="000D7086"/>
    <w:rsid w:val="000D714E"/>
    <w:rsid w:val="000D7368"/>
    <w:rsid w:val="000D7474"/>
    <w:rsid w:val="000D74EC"/>
    <w:rsid w:val="000D753A"/>
    <w:rsid w:val="000D75FD"/>
    <w:rsid w:val="000D7627"/>
    <w:rsid w:val="000D7729"/>
    <w:rsid w:val="000D7777"/>
    <w:rsid w:val="000D7976"/>
    <w:rsid w:val="000D7C78"/>
    <w:rsid w:val="000D7CD6"/>
    <w:rsid w:val="000D7D7B"/>
    <w:rsid w:val="000D7D8C"/>
    <w:rsid w:val="000D7E37"/>
    <w:rsid w:val="000E0220"/>
    <w:rsid w:val="000E041D"/>
    <w:rsid w:val="000E0430"/>
    <w:rsid w:val="000E04F0"/>
    <w:rsid w:val="000E051E"/>
    <w:rsid w:val="000E0742"/>
    <w:rsid w:val="000E0AFA"/>
    <w:rsid w:val="000E0C7B"/>
    <w:rsid w:val="000E0CDA"/>
    <w:rsid w:val="000E1317"/>
    <w:rsid w:val="000E1596"/>
    <w:rsid w:val="000E1844"/>
    <w:rsid w:val="000E199B"/>
    <w:rsid w:val="000E19AE"/>
    <w:rsid w:val="000E1A9C"/>
    <w:rsid w:val="000E1AD6"/>
    <w:rsid w:val="000E1BA4"/>
    <w:rsid w:val="000E1BC9"/>
    <w:rsid w:val="000E1D9E"/>
    <w:rsid w:val="000E1DC1"/>
    <w:rsid w:val="000E2199"/>
    <w:rsid w:val="000E23EA"/>
    <w:rsid w:val="000E2429"/>
    <w:rsid w:val="000E255C"/>
    <w:rsid w:val="000E260B"/>
    <w:rsid w:val="000E262A"/>
    <w:rsid w:val="000E301F"/>
    <w:rsid w:val="000E3168"/>
    <w:rsid w:val="000E3172"/>
    <w:rsid w:val="000E3211"/>
    <w:rsid w:val="000E35DF"/>
    <w:rsid w:val="000E375E"/>
    <w:rsid w:val="000E3BB2"/>
    <w:rsid w:val="000E3E8E"/>
    <w:rsid w:val="000E3ED8"/>
    <w:rsid w:val="000E3FE6"/>
    <w:rsid w:val="000E4051"/>
    <w:rsid w:val="000E434E"/>
    <w:rsid w:val="000E43BB"/>
    <w:rsid w:val="000E444A"/>
    <w:rsid w:val="000E464A"/>
    <w:rsid w:val="000E4786"/>
    <w:rsid w:val="000E47A3"/>
    <w:rsid w:val="000E49E7"/>
    <w:rsid w:val="000E4D89"/>
    <w:rsid w:val="000E4E88"/>
    <w:rsid w:val="000E4F05"/>
    <w:rsid w:val="000E4FD1"/>
    <w:rsid w:val="000E5040"/>
    <w:rsid w:val="000E51D3"/>
    <w:rsid w:val="000E5228"/>
    <w:rsid w:val="000E5478"/>
    <w:rsid w:val="000E5A14"/>
    <w:rsid w:val="000E5A38"/>
    <w:rsid w:val="000E5B7E"/>
    <w:rsid w:val="000E5BA0"/>
    <w:rsid w:val="000E5CE6"/>
    <w:rsid w:val="000E5DF1"/>
    <w:rsid w:val="000E5F17"/>
    <w:rsid w:val="000E5F22"/>
    <w:rsid w:val="000E5FDF"/>
    <w:rsid w:val="000E612F"/>
    <w:rsid w:val="000E6188"/>
    <w:rsid w:val="000E623D"/>
    <w:rsid w:val="000E628B"/>
    <w:rsid w:val="000E62E3"/>
    <w:rsid w:val="000E6326"/>
    <w:rsid w:val="000E6463"/>
    <w:rsid w:val="000E6496"/>
    <w:rsid w:val="000E64E8"/>
    <w:rsid w:val="000E670A"/>
    <w:rsid w:val="000E670C"/>
    <w:rsid w:val="000E672E"/>
    <w:rsid w:val="000E69B7"/>
    <w:rsid w:val="000E69FD"/>
    <w:rsid w:val="000E6B42"/>
    <w:rsid w:val="000E6D14"/>
    <w:rsid w:val="000E6D66"/>
    <w:rsid w:val="000E6E08"/>
    <w:rsid w:val="000E70ED"/>
    <w:rsid w:val="000E7129"/>
    <w:rsid w:val="000E7162"/>
    <w:rsid w:val="000E744D"/>
    <w:rsid w:val="000E75C8"/>
    <w:rsid w:val="000E78A7"/>
    <w:rsid w:val="000E7BD3"/>
    <w:rsid w:val="000E7C09"/>
    <w:rsid w:val="000E7D2C"/>
    <w:rsid w:val="000E7EBD"/>
    <w:rsid w:val="000F005D"/>
    <w:rsid w:val="000F0067"/>
    <w:rsid w:val="000F0083"/>
    <w:rsid w:val="000F03F8"/>
    <w:rsid w:val="000F04A9"/>
    <w:rsid w:val="000F0574"/>
    <w:rsid w:val="000F0661"/>
    <w:rsid w:val="000F0831"/>
    <w:rsid w:val="000F088C"/>
    <w:rsid w:val="000F0911"/>
    <w:rsid w:val="000F0913"/>
    <w:rsid w:val="000F0BB4"/>
    <w:rsid w:val="000F0BDC"/>
    <w:rsid w:val="000F0C4D"/>
    <w:rsid w:val="000F0C93"/>
    <w:rsid w:val="000F0D24"/>
    <w:rsid w:val="000F0FC8"/>
    <w:rsid w:val="000F1358"/>
    <w:rsid w:val="000F1677"/>
    <w:rsid w:val="000F1724"/>
    <w:rsid w:val="000F18DC"/>
    <w:rsid w:val="000F1969"/>
    <w:rsid w:val="000F19E3"/>
    <w:rsid w:val="000F1A69"/>
    <w:rsid w:val="000F1A81"/>
    <w:rsid w:val="000F1BA9"/>
    <w:rsid w:val="000F1D64"/>
    <w:rsid w:val="000F1E0F"/>
    <w:rsid w:val="000F1EF0"/>
    <w:rsid w:val="000F203D"/>
    <w:rsid w:val="000F20C0"/>
    <w:rsid w:val="000F22C8"/>
    <w:rsid w:val="000F2348"/>
    <w:rsid w:val="000F252B"/>
    <w:rsid w:val="000F2565"/>
    <w:rsid w:val="000F267D"/>
    <w:rsid w:val="000F2734"/>
    <w:rsid w:val="000F2835"/>
    <w:rsid w:val="000F2856"/>
    <w:rsid w:val="000F2AED"/>
    <w:rsid w:val="000F2F0D"/>
    <w:rsid w:val="000F3418"/>
    <w:rsid w:val="000F3421"/>
    <w:rsid w:val="000F3758"/>
    <w:rsid w:val="000F377B"/>
    <w:rsid w:val="000F38B6"/>
    <w:rsid w:val="000F3970"/>
    <w:rsid w:val="000F39CD"/>
    <w:rsid w:val="000F39FA"/>
    <w:rsid w:val="000F3A56"/>
    <w:rsid w:val="000F3C71"/>
    <w:rsid w:val="000F3D1D"/>
    <w:rsid w:val="000F3D6A"/>
    <w:rsid w:val="000F3DE1"/>
    <w:rsid w:val="000F3E1B"/>
    <w:rsid w:val="000F3F93"/>
    <w:rsid w:val="000F3F96"/>
    <w:rsid w:val="000F40A9"/>
    <w:rsid w:val="000F41C1"/>
    <w:rsid w:val="000F425B"/>
    <w:rsid w:val="000F493C"/>
    <w:rsid w:val="000F4B12"/>
    <w:rsid w:val="000F4B3C"/>
    <w:rsid w:val="000F4CE6"/>
    <w:rsid w:val="000F4D0A"/>
    <w:rsid w:val="000F52F6"/>
    <w:rsid w:val="000F5512"/>
    <w:rsid w:val="000F5825"/>
    <w:rsid w:val="000F5885"/>
    <w:rsid w:val="000F5899"/>
    <w:rsid w:val="000F5A3E"/>
    <w:rsid w:val="000F5CC3"/>
    <w:rsid w:val="000F5EF3"/>
    <w:rsid w:val="000F5FC9"/>
    <w:rsid w:val="000F60EC"/>
    <w:rsid w:val="000F6161"/>
    <w:rsid w:val="000F6207"/>
    <w:rsid w:val="000F62EE"/>
    <w:rsid w:val="000F6347"/>
    <w:rsid w:val="000F642B"/>
    <w:rsid w:val="000F6661"/>
    <w:rsid w:val="000F6749"/>
    <w:rsid w:val="000F68E4"/>
    <w:rsid w:val="000F694D"/>
    <w:rsid w:val="000F69F8"/>
    <w:rsid w:val="000F6CC8"/>
    <w:rsid w:val="000F6D2C"/>
    <w:rsid w:val="000F6EF1"/>
    <w:rsid w:val="000F6F1E"/>
    <w:rsid w:val="000F6FCC"/>
    <w:rsid w:val="000F702A"/>
    <w:rsid w:val="000F70CB"/>
    <w:rsid w:val="000F7192"/>
    <w:rsid w:val="000F7305"/>
    <w:rsid w:val="000F7F85"/>
    <w:rsid w:val="000F7FC7"/>
    <w:rsid w:val="000F7FEE"/>
    <w:rsid w:val="0010006D"/>
    <w:rsid w:val="00100143"/>
    <w:rsid w:val="00100254"/>
    <w:rsid w:val="00100274"/>
    <w:rsid w:val="00100286"/>
    <w:rsid w:val="0010034B"/>
    <w:rsid w:val="001003C1"/>
    <w:rsid w:val="00100599"/>
    <w:rsid w:val="0010061C"/>
    <w:rsid w:val="001007C1"/>
    <w:rsid w:val="00100A61"/>
    <w:rsid w:val="00100A68"/>
    <w:rsid w:val="00100B69"/>
    <w:rsid w:val="00100CCB"/>
    <w:rsid w:val="00101174"/>
    <w:rsid w:val="00101176"/>
    <w:rsid w:val="001012AE"/>
    <w:rsid w:val="00101378"/>
    <w:rsid w:val="00101618"/>
    <w:rsid w:val="001017A6"/>
    <w:rsid w:val="00101B3B"/>
    <w:rsid w:val="00101DD1"/>
    <w:rsid w:val="00102154"/>
    <w:rsid w:val="00102185"/>
    <w:rsid w:val="001021F6"/>
    <w:rsid w:val="001022F1"/>
    <w:rsid w:val="001023B7"/>
    <w:rsid w:val="00102405"/>
    <w:rsid w:val="0010273A"/>
    <w:rsid w:val="00102A28"/>
    <w:rsid w:val="00102BCF"/>
    <w:rsid w:val="00102BF5"/>
    <w:rsid w:val="00102C51"/>
    <w:rsid w:val="00102D35"/>
    <w:rsid w:val="00102E03"/>
    <w:rsid w:val="00102E19"/>
    <w:rsid w:val="00102F0B"/>
    <w:rsid w:val="00102FBD"/>
    <w:rsid w:val="00102FDA"/>
    <w:rsid w:val="001036E9"/>
    <w:rsid w:val="0010374C"/>
    <w:rsid w:val="0010385E"/>
    <w:rsid w:val="001038FC"/>
    <w:rsid w:val="00103959"/>
    <w:rsid w:val="00103A84"/>
    <w:rsid w:val="00103CC8"/>
    <w:rsid w:val="00103CCA"/>
    <w:rsid w:val="00103E6C"/>
    <w:rsid w:val="00103EF2"/>
    <w:rsid w:val="00103F68"/>
    <w:rsid w:val="00104003"/>
    <w:rsid w:val="0010417B"/>
    <w:rsid w:val="00104536"/>
    <w:rsid w:val="001045C7"/>
    <w:rsid w:val="00104602"/>
    <w:rsid w:val="00104808"/>
    <w:rsid w:val="00104F34"/>
    <w:rsid w:val="00104F46"/>
    <w:rsid w:val="00104FC4"/>
    <w:rsid w:val="0010536B"/>
    <w:rsid w:val="001053A6"/>
    <w:rsid w:val="00105480"/>
    <w:rsid w:val="001054C3"/>
    <w:rsid w:val="001054EA"/>
    <w:rsid w:val="001056CC"/>
    <w:rsid w:val="00105836"/>
    <w:rsid w:val="00105858"/>
    <w:rsid w:val="00105C85"/>
    <w:rsid w:val="0010621A"/>
    <w:rsid w:val="0010645B"/>
    <w:rsid w:val="0010682C"/>
    <w:rsid w:val="001068E5"/>
    <w:rsid w:val="00106938"/>
    <w:rsid w:val="00106A42"/>
    <w:rsid w:val="00106B2F"/>
    <w:rsid w:val="00106D71"/>
    <w:rsid w:val="00106DFF"/>
    <w:rsid w:val="00106E5E"/>
    <w:rsid w:val="00106E60"/>
    <w:rsid w:val="00106EA0"/>
    <w:rsid w:val="00106ECD"/>
    <w:rsid w:val="001070F5"/>
    <w:rsid w:val="001071E7"/>
    <w:rsid w:val="001072D7"/>
    <w:rsid w:val="001072DA"/>
    <w:rsid w:val="00107347"/>
    <w:rsid w:val="0010734A"/>
    <w:rsid w:val="00107362"/>
    <w:rsid w:val="001076FD"/>
    <w:rsid w:val="001077E0"/>
    <w:rsid w:val="001078BB"/>
    <w:rsid w:val="00107A86"/>
    <w:rsid w:val="00107AA5"/>
    <w:rsid w:val="00107BA9"/>
    <w:rsid w:val="00107EE0"/>
    <w:rsid w:val="0011008D"/>
    <w:rsid w:val="00110114"/>
    <w:rsid w:val="001105CA"/>
    <w:rsid w:val="00110A61"/>
    <w:rsid w:val="00110BA2"/>
    <w:rsid w:val="00110E05"/>
    <w:rsid w:val="00110F48"/>
    <w:rsid w:val="00111048"/>
    <w:rsid w:val="0011104A"/>
    <w:rsid w:val="00111128"/>
    <w:rsid w:val="001111ED"/>
    <w:rsid w:val="00111244"/>
    <w:rsid w:val="00111367"/>
    <w:rsid w:val="001113DC"/>
    <w:rsid w:val="00111461"/>
    <w:rsid w:val="00111477"/>
    <w:rsid w:val="0011159B"/>
    <w:rsid w:val="001115E0"/>
    <w:rsid w:val="001115E2"/>
    <w:rsid w:val="00111643"/>
    <w:rsid w:val="0011170B"/>
    <w:rsid w:val="00111830"/>
    <w:rsid w:val="00111976"/>
    <w:rsid w:val="00111B3E"/>
    <w:rsid w:val="00111C3C"/>
    <w:rsid w:val="00111CB6"/>
    <w:rsid w:val="00111CF2"/>
    <w:rsid w:val="00111DC8"/>
    <w:rsid w:val="0011216E"/>
    <w:rsid w:val="0011222D"/>
    <w:rsid w:val="0011223F"/>
    <w:rsid w:val="001124A0"/>
    <w:rsid w:val="00112520"/>
    <w:rsid w:val="00112535"/>
    <w:rsid w:val="00112723"/>
    <w:rsid w:val="001128D4"/>
    <w:rsid w:val="001128E5"/>
    <w:rsid w:val="001129F6"/>
    <w:rsid w:val="00112A4C"/>
    <w:rsid w:val="00112A6E"/>
    <w:rsid w:val="00112B2B"/>
    <w:rsid w:val="00112BBE"/>
    <w:rsid w:val="00112D61"/>
    <w:rsid w:val="00112D86"/>
    <w:rsid w:val="0011341E"/>
    <w:rsid w:val="00113462"/>
    <w:rsid w:val="001135DD"/>
    <w:rsid w:val="00113652"/>
    <w:rsid w:val="00113671"/>
    <w:rsid w:val="00113C16"/>
    <w:rsid w:val="00113C49"/>
    <w:rsid w:val="00113EEE"/>
    <w:rsid w:val="001140F0"/>
    <w:rsid w:val="0011425E"/>
    <w:rsid w:val="00114302"/>
    <w:rsid w:val="0011450D"/>
    <w:rsid w:val="00114563"/>
    <w:rsid w:val="001145C5"/>
    <w:rsid w:val="0011472C"/>
    <w:rsid w:val="00114CAA"/>
    <w:rsid w:val="00114EBB"/>
    <w:rsid w:val="001150C7"/>
    <w:rsid w:val="00115274"/>
    <w:rsid w:val="0011550B"/>
    <w:rsid w:val="00115584"/>
    <w:rsid w:val="0011594C"/>
    <w:rsid w:val="00115AF4"/>
    <w:rsid w:val="00115C66"/>
    <w:rsid w:val="00115C8F"/>
    <w:rsid w:val="00115D0E"/>
    <w:rsid w:val="00115D19"/>
    <w:rsid w:val="00115F61"/>
    <w:rsid w:val="00116022"/>
    <w:rsid w:val="00116171"/>
    <w:rsid w:val="001162E8"/>
    <w:rsid w:val="001163FE"/>
    <w:rsid w:val="00116601"/>
    <w:rsid w:val="0011673A"/>
    <w:rsid w:val="0011673D"/>
    <w:rsid w:val="001168BD"/>
    <w:rsid w:val="001169A5"/>
    <w:rsid w:val="001169EE"/>
    <w:rsid w:val="00116A3B"/>
    <w:rsid w:val="00116A63"/>
    <w:rsid w:val="00116A6B"/>
    <w:rsid w:val="00116AA7"/>
    <w:rsid w:val="00116AEC"/>
    <w:rsid w:val="00116C2E"/>
    <w:rsid w:val="00116D09"/>
    <w:rsid w:val="00116E56"/>
    <w:rsid w:val="00116F8F"/>
    <w:rsid w:val="001171BC"/>
    <w:rsid w:val="00117323"/>
    <w:rsid w:val="001175BA"/>
    <w:rsid w:val="001176B2"/>
    <w:rsid w:val="001176D9"/>
    <w:rsid w:val="0011772D"/>
    <w:rsid w:val="00117774"/>
    <w:rsid w:val="00117A04"/>
    <w:rsid w:val="00117A4B"/>
    <w:rsid w:val="00117B2B"/>
    <w:rsid w:val="00117B76"/>
    <w:rsid w:val="00117C77"/>
    <w:rsid w:val="00117D25"/>
    <w:rsid w:val="00117E5F"/>
    <w:rsid w:val="001200CE"/>
    <w:rsid w:val="001201E0"/>
    <w:rsid w:val="001202A6"/>
    <w:rsid w:val="0012047B"/>
    <w:rsid w:val="001204C2"/>
    <w:rsid w:val="001204E0"/>
    <w:rsid w:val="00120602"/>
    <w:rsid w:val="00120611"/>
    <w:rsid w:val="00120703"/>
    <w:rsid w:val="001208EA"/>
    <w:rsid w:val="00120A5E"/>
    <w:rsid w:val="00120AAD"/>
    <w:rsid w:val="00120AF7"/>
    <w:rsid w:val="00120CC6"/>
    <w:rsid w:val="00120F34"/>
    <w:rsid w:val="00120F54"/>
    <w:rsid w:val="001211E7"/>
    <w:rsid w:val="001212A5"/>
    <w:rsid w:val="00121495"/>
    <w:rsid w:val="001216CB"/>
    <w:rsid w:val="00121834"/>
    <w:rsid w:val="0012194C"/>
    <w:rsid w:val="00121B31"/>
    <w:rsid w:val="00121EAC"/>
    <w:rsid w:val="00121ED0"/>
    <w:rsid w:val="00121F55"/>
    <w:rsid w:val="00121FF1"/>
    <w:rsid w:val="001221E9"/>
    <w:rsid w:val="0012245F"/>
    <w:rsid w:val="00122551"/>
    <w:rsid w:val="00122621"/>
    <w:rsid w:val="00122643"/>
    <w:rsid w:val="0012280D"/>
    <w:rsid w:val="0012287F"/>
    <w:rsid w:val="001228BC"/>
    <w:rsid w:val="001229B3"/>
    <w:rsid w:val="001229BC"/>
    <w:rsid w:val="00122A3A"/>
    <w:rsid w:val="00122A8C"/>
    <w:rsid w:val="00122B7E"/>
    <w:rsid w:val="00122D81"/>
    <w:rsid w:val="00122F8A"/>
    <w:rsid w:val="0012306D"/>
    <w:rsid w:val="00123657"/>
    <w:rsid w:val="00123679"/>
    <w:rsid w:val="001237B0"/>
    <w:rsid w:val="00123894"/>
    <w:rsid w:val="001239BE"/>
    <w:rsid w:val="00123D15"/>
    <w:rsid w:val="00123E02"/>
    <w:rsid w:val="001241A3"/>
    <w:rsid w:val="00124315"/>
    <w:rsid w:val="00124404"/>
    <w:rsid w:val="00124440"/>
    <w:rsid w:val="00124516"/>
    <w:rsid w:val="001245A8"/>
    <w:rsid w:val="0012465A"/>
    <w:rsid w:val="001247A6"/>
    <w:rsid w:val="0012482C"/>
    <w:rsid w:val="001249F2"/>
    <w:rsid w:val="00124CD9"/>
    <w:rsid w:val="001250BC"/>
    <w:rsid w:val="001250FC"/>
    <w:rsid w:val="001252EE"/>
    <w:rsid w:val="0012538E"/>
    <w:rsid w:val="001254B2"/>
    <w:rsid w:val="00125ACB"/>
    <w:rsid w:val="00125B03"/>
    <w:rsid w:val="00125B77"/>
    <w:rsid w:val="00125BA7"/>
    <w:rsid w:val="00125BED"/>
    <w:rsid w:val="00125CC8"/>
    <w:rsid w:val="00125D10"/>
    <w:rsid w:val="00125E6C"/>
    <w:rsid w:val="001263CB"/>
    <w:rsid w:val="00126AA9"/>
    <w:rsid w:val="00126AF0"/>
    <w:rsid w:val="00126D35"/>
    <w:rsid w:val="00126DBC"/>
    <w:rsid w:val="00126E97"/>
    <w:rsid w:val="00126F62"/>
    <w:rsid w:val="00127028"/>
    <w:rsid w:val="001271FD"/>
    <w:rsid w:val="0012723C"/>
    <w:rsid w:val="001274AF"/>
    <w:rsid w:val="0012768E"/>
    <w:rsid w:val="0012787C"/>
    <w:rsid w:val="001279D1"/>
    <w:rsid w:val="00127AEC"/>
    <w:rsid w:val="00127BE3"/>
    <w:rsid w:val="00127C11"/>
    <w:rsid w:val="00127C5E"/>
    <w:rsid w:val="00127F31"/>
    <w:rsid w:val="00130154"/>
    <w:rsid w:val="001301D5"/>
    <w:rsid w:val="00130307"/>
    <w:rsid w:val="0013049B"/>
    <w:rsid w:val="00130780"/>
    <w:rsid w:val="0013080D"/>
    <w:rsid w:val="00130850"/>
    <w:rsid w:val="00130AD0"/>
    <w:rsid w:val="00130C3C"/>
    <w:rsid w:val="00130D13"/>
    <w:rsid w:val="00130D38"/>
    <w:rsid w:val="00130F2C"/>
    <w:rsid w:val="00130F99"/>
    <w:rsid w:val="0013104D"/>
    <w:rsid w:val="001310DA"/>
    <w:rsid w:val="001312A1"/>
    <w:rsid w:val="0013136F"/>
    <w:rsid w:val="00131454"/>
    <w:rsid w:val="001316C1"/>
    <w:rsid w:val="001318D9"/>
    <w:rsid w:val="00131C22"/>
    <w:rsid w:val="00131C58"/>
    <w:rsid w:val="00131D0E"/>
    <w:rsid w:val="00131D86"/>
    <w:rsid w:val="0013203B"/>
    <w:rsid w:val="001322D0"/>
    <w:rsid w:val="001323EB"/>
    <w:rsid w:val="0013251D"/>
    <w:rsid w:val="0013255D"/>
    <w:rsid w:val="00132560"/>
    <w:rsid w:val="001329F7"/>
    <w:rsid w:val="001329F8"/>
    <w:rsid w:val="00132A38"/>
    <w:rsid w:val="00132AA0"/>
    <w:rsid w:val="00132AEC"/>
    <w:rsid w:val="00132B8A"/>
    <w:rsid w:val="00132C3E"/>
    <w:rsid w:val="00132CE6"/>
    <w:rsid w:val="00132D0E"/>
    <w:rsid w:val="00132D71"/>
    <w:rsid w:val="00132D96"/>
    <w:rsid w:val="00132E54"/>
    <w:rsid w:val="00132FBC"/>
    <w:rsid w:val="0013308C"/>
    <w:rsid w:val="00133637"/>
    <w:rsid w:val="00133794"/>
    <w:rsid w:val="001337AF"/>
    <w:rsid w:val="00133837"/>
    <w:rsid w:val="00133B3F"/>
    <w:rsid w:val="00133B5F"/>
    <w:rsid w:val="00133F28"/>
    <w:rsid w:val="00133FF3"/>
    <w:rsid w:val="001341D7"/>
    <w:rsid w:val="0013423E"/>
    <w:rsid w:val="00134298"/>
    <w:rsid w:val="001342AF"/>
    <w:rsid w:val="00134359"/>
    <w:rsid w:val="00134588"/>
    <w:rsid w:val="00134674"/>
    <w:rsid w:val="001346DB"/>
    <w:rsid w:val="00134767"/>
    <w:rsid w:val="00134965"/>
    <w:rsid w:val="00134A41"/>
    <w:rsid w:val="00134BA5"/>
    <w:rsid w:val="0013504B"/>
    <w:rsid w:val="001350A4"/>
    <w:rsid w:val="0013533E"/>
    <w:rsid w:val="001354EE"/>
    <w:rsid w:val="001357EF"/>
    <w:rsid w:val="00135976"/>
    <w:rsid w:val="00135A38"/>
    <w:rsid w:val="00135BA2"/>
    <w:rsid w:val="00135D52"/>
    <w:rsid w:val="00135FE3"/>
    <w:rsid w:val="00136001"/>
    <w:rsid w:val="0013601D"/>
    <w:rsid w:val="00136079"/>
    <w:rsid w:val="00136169"/>
    <w:rsid w:val="00136224"/>
    <w:rsid w:val="00136237"/>
    <w:rsid w:val="001362E5"/>
    <w:rsid w:val="001363AC"/>
    <w:rsid w:val="001367E3"/>
    <w:rsid w:val="001368F0"/>
    <w:rsid w:val="00136A8A"/>
    <w:rsid w:val="00136F22"/>
    <w:rsid w:val="00137098"/>
    <w:rsid w:val="001370B4"/>
    <w:rsid w:val="001370DA"/>
    <w:rsid w:val="00137101"/>
    <w:rsid w:val="001371C2"/>
    <w:rsid w:val="001372DA"/>
    <w:rsid w:val="00137381"/>
    <w:rsid w:val="00137383"/>
    <w:rsid w:val="00137419"/>
    <w:rsid w:val="0013765E"/>
    <w:rsid w:val="001376CE"/>
    <w:rsid w:val="00137792"/>
    <w:rsid w:val="00137804"/>
    <w:rsid w:val="00137830"/>
    <w:rsid w:val="00137A30"/>
    <w:rsid w:val="00137D64"/>
    <w:rsid w:val="00140237"/>
    <w:rsid w:val="00140358"/>
    <w:rsid w:val="00140579"/>
    <w:rsid w:val="00140783"/>
    <w:rsid w:val="00140CCD"/>
    <w:rsid w:val="00140D27"/>
    <w:rsid w:val="00140E99"/>
    <w:rsid w:val="00140EE4"/>
    <w:rsid w:val="00140EE8"/>
    <w:rsid w:val="0014126C"/>
    <w:rsid w:val="0014162F"/>
    <w:rsid w:val="0014180B"/>
    <w:rsid w:val="0014187E"/>
    <w:rsid w:val="00141944"/>
    <w:rsid w:val="00141DCD"/>
    <w:rsid w:val="00141E51"/>
    <w:rsid w:val="00141FD0"/>
    <w:rsid w:val="0014205D"/>
    <w:rsid w:val="0014211B"/>
    <w:rsid w:val="00142173"/>
    <w:rsid w:val="0014218E"/>
    <w:rsid w:val="001423D9"/>
    <w:rsid w:val="001427AC"/>
    <w:rsid w:val="00142811"/>
    <w:rsid w:val="001429DF"/>
    <w:rsid w:val="00142A63"/>
    <w:rsid w:val="00142BDC"/>
    <w:rsid w:val="00142DF4"/>
    <w:rsid w:val="00142E45"/>
    <w:rsid w:val="00143113"/>
    <w:rsid w:val="001437B5"/>
    <w:rsid w:val="00143CA9"/>
    <w:rsid w:val="00143E9A"/>
    <w:rsid w:val="00143ECF"/>
    <w:rsid w:val="00144101"/>
    <w:rsid w:val="0014423C"/>
    <w:rsid w:val="00144503"/>
    <w:rsid w:val="0014495F"/>
    <w:rsid w:val="00144988"/>
    <w:rsid w:val="001449C9"/>
    <w:rsid w:val="00144D2B"/>
    <w:rsid w:val="00144EE1"/>
    <w:rsid w:val="00145264"/>
    <w:rsid w:val="00145648"/>
    <w:rsid w:val="0014567F"/>
    <w:rsid w:val="001456A5"/>
    <w:rsid w:val="001457A3"/>
    <w:rsid w:val="001459A1"/>
    <w:rsid w:val="00145A3B"/>
    <w:rsid w:val="00145DE7"/>
    <w:rsid w:val="00145E1B"/>
    <w:rsid w:val="00145E1D"/>
    <w:rsid w:val="00145E94"/>
    <w:rsid w:val="00146191"/>
    <w:rsid w:val="00146209"/>
    <w:rsid w:val="00146254"/>
    <w:rsid w:val="00146AC5"/>
    <w:rsid w:val="00146B6A"/>
    <w:rsid w:val="00146CF3"/>
    <w:rsid w:val="00146DB4"/>
    <w:rsid w:val="00146E03"/>
    <w:rsid w:val="00146EA3"/>
    <w:rsid w:val="00146FC7"/>
    <w:rsid w:val="001470EC"/>
    <w:rsid w:val="00147104"/>
    <w:rsid w:val="00147165"/>
    <w:rsid w:val="001478C2"/>
    <w:rsid w:val="00147926"/>
    <w:rsid w:val="001479E6"/>
    <w:rsid w:val="00147A91"/>
    <w:rsid w:val="00147AC5"/>
    <w:rsid w:val="00147F14"/>
    <w:rsid w:val="00147F49"/>
    <w:rsid w:val="00147FA2"/>
    <w:rsid w:val="00150201"/>
    <w:rsid w:val="00150327"/>
    <w:rsid w:val="00150460"/>
    <w:rsid w:val="001505B5"/>
    <w:rsid w:val="0015078C"/>
    <w:rsid w:val="001507F1"/>
    <w:rsid w:val="00150881"/>
    <w:rsid w:val="001508DF"/>
    <w:rsid w:val="001508E5"/>
    <w:rsid w:val="00150BB4"/>
    <w:rsid w:val="00150C37"/>
    <w:rsid w:val="00150D98"/>
    <w:rsid w:val="00150E49"/>
    <w:rsid w:val="00150E4C"/>
    <w:rsid w:val="00150F54"/>
    <w:rsid w:val="00150F84"/>
    <w:rsid w:val="001510B2"/>
    <w:rsid w:val="00151188"/>
    <w:rsid w:val="00151291"/>
    <w:rsid w:val="0015130D"/>
    <w:rsid w:val="001514DE"/>
    <w:rsid w:val="001514EB"/>
    <w:rsid w:val="001515B3"/>
    <w:rsid w:val="00151677"/>
    <w:rsid w:val="00151681"/>
    <w:rsid w:val="001516FB"/>
    <w:rsid w:val="0015194F"/>
    <w:rsid w:val="00151975"/>
    <w:rsid w:val="0015213E"/>
    <w:rsid w:val="001521F1"/>
    <w:rsid w:val="001523E4"/>
    <w:rsid w:val="0015242C"/>
    <w:rsid w:val="001526CE"/>
    <w:rsid w:val="00152BF0"/>
    <w:rsid w:val="001530CF"/>
    <w:rsid w:val="00153174"/>
    <w:rsid w:val="001531D0"/>
    <w:rsid w:val="001534B0"/>
    <w:rsid w:val="00153659"/>
    <w:rsid w:val="001538F2"/>
    <w:rsid w:val="00153B60"/>
    <w:rsid w:val="00153FEF"/>
    <w:rsid w:val="001540EC"/>
    <w:rsid w:val="0015425A"/>
    <w:rsid w:val="001542EF"/>
    <w:rsid w:val="00154465"/>
    <w:rsid w:val="001544F4"/>
    <w:rsid w:val="00154582"/>
    <w:rsid w:val="00154652"/>
    <w:rsid w:val="001548DD"/>
    <w:rsid w:val="00154989"/>
    <w:rsid w:val="001549B5"/>
    <w:rsid w:val="00154A5A"/>
    <w:rsid w:val="00154B25"/>
    <w:rsid w:val="00154B45"/>
    <w:rsid w:val="00154C59"/>
    <w:rsid w:val="00154C97"/>
    <w:rsid w:val="00154CE7"/>
    <w:rsid w:val="00154EED"/>
    <w:rsid w:val="00154FA8"/>
    <w:rsid w:val="00155046"/>
    <w:rsid w:val="00155095"/>
    <w:rsid w:val="001550B5"/>
    <w:rsid w:val="0015525C"/>
    <w:rsid w:val="001552E9"/>
    <w:rsid w:val="0015538F"/>
    <w:rsid w:val="001554FD"/>
    <w:rsid w:val="00155682"/>
    <w:rsid w:val="0015573C"/>
    <w:rsid w:val="00155760"/>
    <w:rsid w:val="001558FE"/>
    <w:rsid w:val="00155A04"/>
    <w:rsid w:val="00155A18"/>
    <w:rsid w:val="00155A99"/>
    <w:rsid w:val="00155CAE"/>
    <w:rsid w:val="00155EE0"/>
    <w:rsid w:val="00155F2D"/>
    <w:rsid w:val="00156019"/>
    <w:rsid w:val="0015602D"/>
    <w:rsid w:val="00156112"/>
    <w:rsid w:val="001562EB"/>
    <w:rsid w:val="0015648B"/>
    <w:rsid w:val="001564F5"/>
    <w:rsid w:val="001566BD"/>
    <w:rsid w:val="00156708"/>
    <w:rsid w:val="00156864"/>
    <w:rsid w:val="0015698D"/>
    <w:rsid w:val="00156A38"/>
    <w:rsid w:val="00156D93"/>
    <w:rsid w:val="00156DB7"/>
    <w:rsid w:val="00156EBE"/>
    <w:rsid w:val="00156FFF"/>
    <w:rsid w:val="00157154"/>
    <w:rsid w:val="00157376"/>
    <w:rsid w:val="00157412"/>
    <w:rsid w:val="00157678"/>
    <w:rsid w:val="00157D59"/>
    <w:rsid w:val="00157E78"/>
    <w:rsid w:val="00160001"/>
    <w:rsid w:val="00160026"/>
    <w:rsid w:val="00160074"/>
    <w:rsid w:val="00160189"/>
    <w:rsid w:val="001602E3"/>
    <w:rsid w:val="00160357"/>
    <w:rsid w:val="00160620"/>
    <w:rsid w:val="001606CB"/>
    <w:rsid w:val="001607A8"/>
    <w:rsid w:val="001609CE"/>
    <w:rsid w:val="00160C07"/>
    <w:rsid w:val="00160E89"/>
    <w:rsid w:val="00161058"/>
    <w:rsid w:val="00161099"/>
    <w:rsid w:val="00161631"/>
    <w:rsid w:val="00161647"/>
    <w:rsid w:val="0016173D"/>
    <w:rsid w:val="00161760"/>
    <w:rsid w:val="001618BE"/>
    <w:rsid w:val="00161A30"/>
    <w:rsid w:val="00161A76"/>
    <w:rsid w:val="00161BC9"/>
    <w:rsid w:val="00161D64"/>
    <w:rsid w:val="00161FE2"/>
    <w:rsid w:val="00162051"/>
    <w:rsid w:val="001620E2"/>
    <w:rsid w:val="00162193"/>
    <w:rsid w:val="0016254C"/>
    <w:rsid w:val="001625AC"/>
    <w:rsid w:val="001625C0"/>
    <w:rsid w:val="00162630"/>
    <w:rsid w:val="00162679"/>
    <w:rsid w:val="00162938"/>
    <w:rsid w:val="00162973"/>
    <w:rsid w:val="001629DD"/>
    <w:rsid w:val="00162A5F"/>
    <w:rsid w:val="00162ED6"/>
    <w:rsid w:val="00162F61"/>
    <w:rsid w:val="0016301B"/>
    <w:rsid w:val="00163107"/>
    <w:rsid w:val="001633FF"/>
    <w:rsid w:val="001634D1"/>
    <w:rsid w:val="00163996"/>
    <w:rsid w:val="00163EC5"/>
    <w:rsid w:val="00163ED8"/>
    <w:rsid w:val="00164094"/>
    <w:rsid w:val="001640F9"/>
    <w:rsid w:val="001641EA"/>
    <w:rsid w:val="00164828"/>
    <w:rsid w:val="001648D2"/>
    <w:rsid w:val="001648EE"/>
    <w:rsid w:val="0016494F"/>
    <w:rsid w:val="00164A17"/>
    <w:rsid w:val="00164C7B"/>
    <w:rsid w:val="001650AD"/>
    <w:rsid w:val="00165108"/>
    <w:rsid w:val="001656D4"/>
    <w:rsid w:val="00165719"/>
    <w:rsid w:val="00165754"/>
    <w:rsid w:val="0016592A"/>
    <w:rsid w:val="001659B3"/>
    <w:rsid w:val="00165BE6"/>
    <w:rsid w:val="00165C3B"/>
    <w:rsid w:val="00165D65"/>
    <w:rsid w:val="00165DB2"/>
    <w:rsid w:val="00165FE4"/>
    <w:rsid w:val="0016605B"/>
    <w:rsid w:val="0016643D"/>
    <w:rsid w:val="00166489"/>
    <w:rsid w:val="00166730"/>
    <w:rsid w:val="001669A5"/>
    <w:rsid w:val="001669DA"/>
    <w:rsid w:val="001669DB"/>
    <w:rsid w:val="001669EE"/>
    <w:rsid w:val="00166B29"/>
    <w:rsid w:val="00166C5A"/>
    <w:rsid w:val="00166D4B"/>
    <w:rsid w:val="00167159"/>
    <w:rsid w:val="00167206"/>
    <w:rsid w:val="00167254"/>
    <w:rsid w:val="00167279"/>
    <w:rsid w:val="001672BC"/>
    <w:rsid w:val="00167378"/>
    <w:rsid w:val="00167856"/>
    <w:rsid w:val="00167938"/>
    <w:rsid w:val="00167A68"/>
    <w:rsid w:val="00167C40"/>
    <w:rsid w:val="00167CA3"/>
    <w:rsid w:val="00167E3C"/>
    <w:rsid w:val="001702F5"/>
    <w:rsid w:val="0017032F"/>
    <w:rsid w:val="00170890"/>
    <w:rsid w:val="00170986"/>
    <w:rsid w:val="00170ADC"/>
    <w:rsid w:val="00170BB8"/>
    <w:rsid w:val="00170CE1"/>
    <w:rsid w:val="00170DD7"/>
    <w:rsid w:val="00170DFC"/>
    <w:rsid w:val="00170F91"/>
    <w:rsid w:val="001710D3"/>
    <w:rsid w:val="00171169"/>
    <w:rsid w:val="001713C8"/>
    <w:rsid w:val="001715F3"/>
    <w:rsid w:val="00171646"/>
    <w:rsid w:val="00171762"/>
    <w:rsid w:val="001718BC"/>
    <w:rsid w:val="001719B8"/>
    <w:rsid w:val="001719D5"/>
    <w:rsid w:val="001719D6"/>
    <w:rsid w:val="00171A92"/>
    <w:rsid w:val="00171ABF"/>
    <w:rsid w:val="00171BBB"/>
    <w:rsid w:val="00171C0C"/>
    <w:rsid w:val="00171F6C"/>
    <w:rsid w:val="001723E1"/>
    <w:rsid w:val="001724F5"/>
    <w:rsid w:val="00172688"/>
    <w:rsid w:val="0017278D"/>
    <w:rsid w:val="00172CC7"/>
    <w:rsid w:val="00172E56"/>
    <w:rsid w:val="00172FA9"/>
    <w:rsid w:val="0017304E"/>
    <w:rsid w:val="0017328A"/>
    <w:rsid w:val="00173526"/>
    <w:rsid w:val="001735B6"/>
    <w:rsid w:val="0017382C"/>
    <w:rsid w:val="00173880"/>
    <w:rsid w:val="0017397B"/>
    <w:rsid w:val="001739CB"/>
    <w:rsid w:val="00173AB1"/>
    <w:rsid w:val="00173D11"/>
    <w:rsid w:val="001741FA"/>
    <w:rsid w:val="00174816"/>
    <w:rsid w:val="001748C7"/>
    <w:rsid w:val="001748D7"/>
    <w:rsid w:val="00174987"/>
    <w:rsid w:val="00174A21"/>
    <w:rsid w:val="00174AC7"/>
    <w:rsid w:val="00174CD8"/>
    <w:rsid w:val="00175246"/>
    <w:rsid w:val="00175272"/>
    <w:rsid w:val="00175328"/>
    <w:rsid w:val="00175642"/>
    <w:rsid w:val="00175664"/>
    <w:rsid w:val="00175721"/>
    <w:rsid w:val="00175739"/>
    <w:rsid w:val="001759F9"/>
    <w:rsid w:val="00175A9C"/>
    <w:rsid w:val="00175C90"/>
    <w:rsid w:val="00175E5F"/>
    <w:rsid w:val="00175E91"/>
    <w:rsid w:val="00175EE4"/>
    <w:rsid w:val="00175FAD"/>
    <w:rsid w:val="0017609C"/>
    <w:rsid w:val="001761FF"/>
    <w:rsid w:val="00176288"/>
    <w:rsid w:val="001763A4"/>
    <w:rsid w:val="0017647C"/>
    <w:rsid w:val="001765CC"/>
    <w:rsid w:val="00176749"/>
    <w:rsid w:val="0017679D"/>
    <w:rsid w:val="0017697E"/>
    <w:rsid w:val="001769B9"/>
    <w:rsid w:val="001769E3"/>
    <w:rsid w:val="001769EA"/>
    <w:rsid w:val="00176ABB"/>
    <w:rsid w:val="00176C55"/>
    <w:rsid w:val="00176C87"/>
    <w:rsid w:val="00176D6C"/>
    <w:rsid w:val="00176D75"/>
    <w:rsid w:val="00176DE7"/>
    <w:rsid w:val="00176E25"/>
    <w:rsid w:val="00176F61"/>
    <w:rsid w:val="00177021"/>
    <w:rsid w:val="00177068"/>
    <w:rsid w:val="00177094"/>
    <w:rsid w:val="00177313"/>
    <w:rsid w:val="001773FF"/>
    <w:rsid w:val="00177603"/>
    <w:rsid w:val="001776B4"/>
    <w:rsid w:val="0017778E"/>
    <w:rsid w:val="0017787F"/>
    <w:rsid w:val="0017794C"/>
    <w:rsid w:val="001779A7"/>
    <w:rsid w:val="00177A5E"/>
    <w:rsid w:val="00177C30"/>
    <w:rsid w:val="00177D89"/>
    <w:rsid w:val="00177FF0"/>
    <w:rsid w:val="00180077"/>
    <w:rsid w:val="001802EE"/>
    <w:rsid w:val="001809C9"/>
    <w:rsid w:val="00180B43"/>
    <w:rsid w:val="00180D96"/>
    <w:rsid w:val="00180DAE"/>
    <w:rsid w:val="00180E1C"/>
    <w:rsid w:val="001811D3"/>
    <w:rsid w:val="00181373"/>
    <w:rsid w:val="001813FE"/>
    <w:rsid w:val="0018143E"/>
    <w:rsid w:val="001814A6"/>
    <w:rsid w:val="00181550"/>
    <w:rsid w:val="00181AA0"/>
    <w:rsid w:val="00181B6B"/>
    <w:rsid w:val="00181B9E"/>
    <w:rsid w:val="00181D3C"/>
    <w:rsid w:val="00181E79"/>
    <w:rsid w:val="00182069"/>
    <w:rsid w:val="001820CF"/>
    <w:rsid w:val="00182156"/>
    <w:rsid w:val="00182251"/>
    <w:rsid w:val="001822F4"/>
    <w:rsid w:val="0018242B"/>
    <w:rsid w:val="00182615"/>
    <w:rsid w:val="001826F5"/>
    <w:rsid w:val="001827F1"/>
    <w:rsid w:val="001828E1"/>
    <w:rsid w:val="00182B5F"/>
    <w:rsid w:val="00182C69"/>
    <w:rsid w:val="00182CB9"/>
    <w:rsid w:val="00182D8F"/>
    <w:rsid w:val="00182EBA"/>
    <w:rsid w:val="00182ED4"/>
    <w:rsid w:val="00182F0D"/>
    <w:rsid w:val="00183089"/>
    <w:rsid w:val="0018338F"/>
    <w:rsid w:val="00183458"/>
    <w:rsid w:val="0018348E"/>
    <w:rsid w:val="00183523"/>
    <w:rsid w:val="0018355E"/>
    <w:rsid w:val="00183634"/>
    <w:rsid w:val="0018382B"/>
    <w:rsid w:val="001838BF"/>
    <w:rsid w:val="00183A1E"/>
    <w:rsid w:val="00183A52"/>
    <w:rsid w:val="00183B8D"/>
    <w:rsid w:val="00183DF5"/>
    <w:rsid w:val="00183EFD"/>
    <w:rsid w:val="00183F35"/>
    <w:rsid w:val="00183F36"/>
    <w:rsid w:val="00183F42"/>
    <w:rsid w:val="00183F95"/>
    <w:rsid w:val="00183FB3"/>
    <w:rsid w:val="00184058"/>
    <w:rsid w:val="001842E9"/>
    <w:rsid w:val="0018450D"/>
    <w:rsid w:val="00184631"/>
    <w:rsid w:val="0018475C"/>
    <w:rsid w:val="00184780"/>
    <w:rsid w:val="00184C02"/>
    <w:rsid w:val="00184CE7"/>
    <w:rsid w:val="00184E61"/>
    <w:rsid w:val="00184E81"/>
    <w:rsid w:val="00184E82"/>
    <w:rsid w:val="00184EF4"/>
    <w:rsid w:val="0018519A"/>
    <w:rsid w:val="00185241"/>
    <w:rsid w:val="00185474"/>
    <w:rsid w:val="00185541"/>
    <w:rsid w:val="001855B8"/>
    <w:rsid w:val="00185680"/>
    <w:rsid w:val="0018568D"/>
    <w:rsid w:val="00185837"/>
    <w:rsid w:val="001858B1"/>
    <w:rsid w:val="001858BA"/>
    <w:rsid w:val="00185ACD"/>
    <w:rsid w:val="00185C1C"/>
    <w:rsid w:val="00185C87"/>
    <w:rsid w:val="00186326"/>
    <w:rsid w:val="00186A8F"/>
    <w:rsid w:val="00186A9F"/>
    <w:rsid w:val="00186BF9"/>
    <w:rsid w:val="00186C29"/>
    <w:rsid w:val="00186C3A"/>
    <w:rsid w:val="00186C8F"/>
    <w:rsid w:val="00186CE1"/>
    <w:rsid w:val="00186D35"/>
    <w:rsid w:val="00186F53"/>
    <w:rsid w:val="00186F7E"/>
    <w:rsid w:val="0018712A"/>
    <w:rsid w:val="001872F5"/>
    <w:rsid w:val="00187874"/>
    <w:rsid w:val="00187A77"/>
    <w:rsid w:val="00187A9E"/>
    <w:rsid w:val="00187B06"/>
    <w:rsid w:val="00187B52"/>
    <w:rsid w:val="00187EC9"/>
    <w:rsid w:val="00187FD6"/>
    <w:rsid w:val="0019010E"/>
    <w:rsid w:val="00190122"/>
    <w:rsid w:val="0019018D"/>
    <w:rsid w:val="0019025C"/>
    <w:rsid w:val="0019029F"/>
    <w:rsid w:val="001903D7"/>
    <w:rsid w:val="00190476"/>
    <w:rsid w:val="001907DC"/>
    <w:rsid w:val="00190867"/>
    <w:rsid w:val="001909C8"/>
    <w:rsid w:val="00190A47"/>
    <w:rsid w:val="00190D77"/>
    <w:rsid w:val="00190E0B"/>
    <w:rsid w:val="00190F68"/>
    <w:rsid w:val="00191116"/>
    <w:rsid w:val="00191348"/>
    <w:rsid w:val="00191395"/>
    <w:rsid w:val="001915AE"/>
    <w:rsid w:val="001916BF"/>
    <w:rsid w:val="00191723"/>
    <w:rsid w:val="00191A5E"/>
    <w:rsid w:val="00191B8F"/>
    <w:rsid w:val="00191BC3"/>
    <w:rsid w:val="00191CFF"/>
    <w:rsid w:val="00192001"/>
    <w:rsid w:val="001920AA"/>
    <w:rsid w:val="0019242C"/>
    <w:rsid w:val="0019280B"/>
    <w:rsid w:val="00192A44"/>
    <w:rsid w:val="00192AAF"/>
    <w:rsid w:val="00192B45"/>
    <w:rsid w:val="00192C1D"/>
    <w:rsid w:val="001930D1"/>
    <w:rsid w:val="00193139"/>
    <w:rsid w:val="001931B8"/>
    <w:rsid w:val="00193502"/>
    <w:rsid w:val="00193611"/>
    <w:rsid w:val="00193826"/>
    <w:rsid w:val="00193C2D"/>
    <w:rsid w:val="00193E5E"/>
    <w:rsid w:val="00193EFF"/>
    <w:rsid w:val="00193F03"/>
    <w:rsid w:val="001941D7"/>
    <w:rsid w:val="001941DE"/>
    <w:rsid w:val="001942A8"/>
    <w:rsid w:val="00194374"/>
    <w:rsid w:val="001945D4"/>
    <w:rsid w:val="001946AD"/>
    <w:rsid w:val="0019498C"/>
    <w:rsid w:val="0019499C"/>
    <w:rsid w:val="00194AEA"/>
    <w:rsid w:val="00194C2C"/>
    <w:rsid w:val="00194C6A"/>
    <w:rsid w:val="00194E07"/>
    <w:rsid w:val="00195238"/>
    <w:rsid w:val="0019532F"/>
    <w:rsid w:val="001953C6"/>
    <w:rsid w:val="0019571E"/>
    <w:rsid w:val="001958EA"/>
    <w:rsid w:val="00195B45"/>
    <w:rsid w:val="00195C0E"/>
    <w:rsid w:val="00195F3A"/>
    <w:rsid w:val="001960DE"/>
    <w:rsid w:val="00196322"/>
    <w:rsid w:val="00196583"/>
    <w:rsid w:val="001965B8"/>
    <w:rsid w:val="0019661E"/>
    <w:rsid w:val="00196AAF"/>
    <w:rsid w:val="00196BCE"/>
    <w:rsid w:val="00196C23"/>
    <w:rsid w:val="00196CEA"/>
    <w:rsid w:val="00196DFA"/>
    <w:rsid w:val="00196E39"/>
    <w:rsid w:val="00196EA5"/>
    <w:rsid w:val="001971AF"/>
    <w:rsid w:val="00197476"/>
    <w:rsid w:val="00197723"/>
    <w:rsid w:val="0019772A"/>
    <w:rsid w:val="00197866"/>
    <w:rsid w:val="001978A7"/>
    <w:rsid w:val="00197926"/>
    <w:rsid w:val="001979A0"/>
    <w:rsid w:val="00197A29"/>
    <w:rsid w:val="00197B25"/>
    <w:rsid w:val="00197B72"/>
    <w:rsid w:val="00197C21"/>
    <w:rsid w:val="00197C63"/>
    <w:rsid w:val="00197D46"/>
    <w:rsid w:val="00197E3E"/>
    <w:rsid w:val="00197EFD"/>
    <w:rsid w:val="001A0051"/>
    <w:rsid w:val="001A0265"/>
    <w:rsid w:val="001A045E"/>
    <w:rsid w:val="001A0476"/>
    <w:rsid w:val="001A0512"/>
    <w:rsid w:val="001A0905"/>
    <w:rsid w:val="001A0BE8"/>
    <w:rsid w:val="001A0C28"/>
    <w:rsid w:val="001A0D3A"/>
    <w:rsid w:val="001A0D76"/>
    <w:rsid w:val="001A0DF0"/>
    <w:rsid w:val="001A0F09"/>
    <w:rsid w:val="001A0F66"/>
    <w:rsid w:val="001A101C"/>
    <w:rsid w:val="001A1043"/>
    <w:rsid w:val="001A116E"/>
    <w:rsid w:val="001A118D"/>
    <w:rsid w:val="001A11D5"/>
    <w:rsid w:val="001A1201"/>
    <w:rsid w:val="001A1439"/>
    <w:rsid w:val="001A165F"/>
    <w:rsid w:val="001A16C0"/>
    <w:rsid w:val="001A16FC"/>
    <w:rsid w:val="001A17E3"/>
    <w:rsid w:val="001A1805"/>
    <w:rsid w:val="001A18E6"/>
    <w:rsid w:val="001A1ACE"/>
    <w:rsid w:val="001A1CEF"/>
    <w:rsid w:val="001A1D73"/>
    <w:rsid w:val="001A1D8C"/>
    <w:rsid w:val="001A1D9F"/>
    <w:rsid w:val="001A2046"/>
    <w:rsid w:val="001A2092"/>
    <w:rsid w:val="001A28F0"/>
    <w:rsid w:val="001A29F2"/>
    <w:rsid w:val="001A2A39"/>
    <w:rsid w:val="001A2A67"/>
    <w:rsid w:val="001A2D59"/>
    <w:rsid w:val="001A2DAA"/>
    <w:rsid w:val="001A2F67"/>
    <w:rsid w:val="001A3073"/>
    <w:rsid w:val="001A317D"/>
    <w:rsid w:val="001A3215"/>
    <w:rsid w:val="001A3544"/>
    <w:rsid w:val="001A3587"/>
    <w:rsid w:val="001A364F"/>
    <w:rsid w:val="001A3684"/>
    <w:rsid w:val="001A36D5"/>
    <w:rsid w:val="001A39D0"/>
    <w:rsid w:val="001A3D33"/>
    <w:rsid w:val="001A3FAD"/>
    <w:rsid w:val="001A40E9"/>
    <w:rsid w:val="001A40F4"/>
    <w:rsid w:val="001A411B"/>
    <w:rsid w:val="001A4297"/>
    <w:rsid w:val="001A42EA"/>
    <w:rsid w:val="001A4464"/>
    <w:rsid w:val="001A46C0"/>
    <w:rsid w:val="001A480A"/>
    <w:rsid w:val="001A4832"/>
    <w:rsid w:val="001A4871"/>
    <w:rsid w:val="001A4935"/>
    <w:rsid w:val="001A4A6D"/>
    <w:rsid w:val="001A4AD9"/>
    <w:rsid w:val="001A4BAA"/>
    <w:rsid w:val="001A4BFB"/>
    <w:rsid w:val="001A4C82"/>
    <w:rsid w:val="001A4D4D"/>
    <w:rsid w:val="001A4DF6"/>
    <w:rsid w:val="001A4F92"/>
    <w:rsid w:val="001A4FDB"/>
    <w:rsid w:val="001A5133"/>
    <w:rsid w:val="001A51C0"/>
    <w:rsid w:val="001A5207"/>
    <w:rsid w:val="001A5260"/>
    <w:rsid w:val="001A52B5"/>
    <w:rsid w:val="001A5312"/>
    <w:rsid w:val="001A54FE"/>
    <w:rsid w:val="001A594D"/>
    <w:rsid w:val="001A5C3C"/>
    <w:rsid w:val="001A659B"/>
    <w:rsid w:val="001A6C90"/>
    <w:rsid w:val="001A6CC5"/>
    <w:rsid w:val="001A6E13"/>
    <w:rsid w:val="001A6E4B"/>
    <w:rsid w:val="001A6EB9"/>
    <w:rsid w:val="001A7120"/>
    <w:rsid w:val="001A7292"/>
    <w:rsid w:val="001A74A5"/>
    <w:rsid w:val="001A7516"/>
    <w:rsid w:val="001A7564"/>
    <w:rsid w:val="001A764B"/>
    <w:rsid w:val="001A77B8"/>
    <w:rsid w:val="001A77BD"/>
    <w:rsid w:val="001A7883"/>
    <w:rsid w:val="001A79FF"/>
    <w:rsid w:val="001A7BB9"/>
    <w:rsid w:val="001A7D4F"/>
    <w:rsid w:val="001A7DC8"/>
    <w:rsid w:val="001B0130"/>
    <w:rsid w:val="001B0231"/>
    <w:rsid w:val="001B032E"/>
    <w:rsid w:val="001B046D"/>
    <w:rsid w:val="001B0797"/>
    <w:rsid w:val="001B0AAB"/>
    <w:rsid w:val="001B0BEA"/>
    <w:rsid w:val="001B0C6C"/>
    <w:rsid w:val="001B0CFF"/>
    <w:rsid w:val="001B0E4D"/>
    <w:rsid w:val="001B0F54"/>
    <w:rsid w:val="001B124F"/>
    <w:rsid w:val="001B15F6"/>
    <w:rsid w:val="001B188E"/>
    <w:rsid w:val="001B1A6D"/>
    <w:rsid w:val="001B1B61"/>
    <w:rsid w:val="001B1BA0"/>
    <w:rsid w:val="001B1C5F"/>
    <w:rsid w:val="001B1C66"/>
    <w:rsid w:val="001B1CB3"/>
    <w:rsid w:val="001B1CC3"/>
    <w:rsid w:val="001B1D4B"/>
    <w:rsid w:val="001B1D71"/>
    <w:rsid w:val="001B1DC4"/>
    <w:rsid w:val="001B1EFD"/>
    <w:rsid w:val="001B20D6"/>
    <w:rsid w:val="001B20DC"/>
    <w:rsid w:val="001B23E4"/>
    <w:rsid w:val="001B2536"/>
    <w:rsid w:val="001B270D"/>
    <w:rsid w:val="001B28CA"/>
    <w:rsid w:val="001B2C33"/>
    <w:rsid w:val="001B2D95"/>
    <w:rsid w:val="001B2E5F"/>
    <w:rsid w:val="001B34F2"/>
    <w:rsid w:val="001B3689"/>
    <w:rsid w:val="001B3731"/>
    <w:rsid w:val="001B37A9"/>
    <w:rsid w:val="001B3841"/>
    <w:rsid w:val="001B3B3F"/>
    <w:rsid w:val="001B3B60"/>
    <w:rsid w:val="001B3CB3"/>
    <w:rsid w:val="001B3CB4"/>
    <w:rsid w:val="001B3F27"/>
    <w:rsid w:val="001B4045"/>
    <w:rsid w:val="001B4229"/>
    <w:rsid w:val="001B4320"/>
    <w:rsid w:val="001B4345"/>
    <w:rsid w:val="001B4434"/>
    <w:rsid w:val="001B44F6"/>
    <w:rsid w:val="001B4841"/>
    <w:rsid w:val="001B4D1C"/>
    <w:rsid w:val="001B5126"/>
    <w:rsid w:val="001B5288"/>
    <w:rsid w:val="001B554E"/>
    <w:rsid w:val="001B5558"/>
    <w:rsid w:val="001B55FA"/>
    <w:rsid w:val="001B5A11"/>
    <w:rsid w:val="001B5B9F"/>
    <w:rsid w:val="001B5C93"/>
    <w:rsid w:val="001B5CB2"/>
    <w:rsid w:val="001B5D23"/>
    <w:rsid w:val="001B5F3D"/>
    <w:rsid w:val="001B606B"/>
    <w:rsid w:val="001B653C"/>
    <w:rsid w:val="001B6585"/>
    <w:rsid w:val="001B68D5"/>
    <w:rsid w:val="001B68E5"/>
    <w:rsid w:val="001B68EB"/>
    <w:rsid w:val="001B7076"/>
    <w:rsid w:val="001B71D2"/>
    <w:rsid w:val="001B723B"/>
    <w:rsid w:val="001B73C3"/>
    <w:rsid w:val="001B73DF"/>
    <w:rsid w:val="001B74CE"/>
    <w:rsid w:val="001B7598"/>
    <w:rsid w:val="001B75A1"/>
    <w:rsid w:val="001B7664"/>
    <w:rsid w:val="001B77DA"/>
    <w:rsid w:val="001B784B"/>
    <w:rsid w:val="001B78B1"/>
    <w:rsid w:val="001B7AC3"/>
    <w:rsid w:val="001B7B5E"/>
    <w:rsid w:val="001B7C66"/>
    <w:rsid w:val="001B7CBD"/>
    <w:rsid w:val="001B7ECE"/>
    <w:rsid w:val="001B7FDF"/>
    <w:rsid w:val="001C011F"/>
    <w:rsid w:val="001C0198"/>
    <w:rsid w:val="001C01AB"/>
    <w:rsid w:val="001C0511"/>
    <w:rsid w:val="001C0872"/>
    <w:rsid w:val="001C08A8"/>
    <w:rsid w:val="001C0935"/>
    <w:rsid w:val="001C0C10"/>
    <w:rsid w:val="001C0DB4"/>
    <w:rsid w:val="001C1148"/>
    <w:rsid w:val="001C119B"/>
    <w:rsid w:val="001C12A3"/>
    <w:rsid w:val="001C139C"/>
    <w:rsid w:val="001C1565"/>
    <w:rsid w:val="001C1A9B"/>
    <w:rsid w:val="001C1B80"/>
    <w:rsid w:val="001C1C76"/>
    <w:rsid w:val="001C1C95"/>
    <w:rsid w:val="001C1D90"/>
    <w:rsid w:val="001C1DBE"/>
    <w:rsid w:val="001C1F44"/>
    <w:rsid w:val="001C1FAF"/>
    <w:rsid w:val="001C20BF"/>
    <w:rsid w:val="001C22FA"/>
    <w:rsid w:val="001C245E"/>
    <w:rsid w:val="001C26CE"/>
    <w:rsid w:val="001C278E"/>
    <w:rsid w:val="001C285A"/>
    <w:rsid w:val="001C287B"/>
    <w:rsid w:val="001C2999"/>
    <w:rsid w:val="001C29C0"/>
    <w:rsid w:val="001C29D5"/>
    <w:rsid w:val="001C2CD5"/>
    <w:rsid w:val="001C2DA0"/>
    <w:rsid w:val="001C2F99"/>
    <w:rsid w:val="001C304F"/>
    <w:rsid w:val="001C33CF"/>
    <w:rsid w:val="001C3694"/>
    <w:rsid w:val="001C3939"/>
    <w:rsid w:val="001C3940"/>
    <w:rsid w:val="001C3954"/>
    <w:rsid w:val="001C3D56"/>
    <w:rsid w:val="001C3E92"/>
    <w:rsid w:val="001C4440"/>
    <w:rsid w:val="001C478D"/>
    <w:rsid w:val="001C491D"/>
    <w:rsid w:val="001C492B"/>
    <w:rsid w:val="001C4B69"/>
    <w:rsid w:val="001C4F8E"/>
    <w:rsid w:val="001C5171"/>
    <w:rsid w:val="001C527E"/>
    <w:rsid w:val="001C5547"/>
    <w:rsid w:val="001C564E"/>
    <w:rsid w:val="001C5838"/>
    <w:rsid w:val="001C587F"/>
    <w:rsid w:val="001C588C"/>
    <w:rsid w:val="001C5A2F"/>
    <w:rsid w:val="001C5C36"/>
    <w:rsid w:val="001C5D56"/>
    <w:rsid w:val="001C5F5A"/>
    <w:rsid w:val="001C603B"/>
    <w:rsid w:val="001C60A6"/>
    <w:rsid w:val="001C614D"/>
    <w:rsid w:val="001C6230"/>
    <w:rsid w:val="001C62C9"/>
    <w:rsid w:val="001C634E"/>
    <w:rsid w:val="001C6582"/>
    <w:rsid w:val="001C68DA"/>
    <w:rsid w:val="001C6920"/>
    <w:rsid w:val="001C6D0B"/>
    <w:rsid w:val="001C6EA2"/>
    <w:rsid w:val="001C7040"/>
    <w:rsid w:val="001C7055"/>
    <w:rsid w:val="001C7147"/>
    <w:rsid w:val="001C71C2"/>
    <w:rsid w:val="001C735A"/>
    <w:rsid w:val="001C7876"/>
    <w:rsid w:val="001C78B5"/>
    <w:rsid w:val="001C7934"/>
    <w:rsid w:val="001C7935"/>
    <w:rsid w:val="001C7950"/>
    <w:rsid w:val="001C7D41"/>
    <w:rsid w:val="001C7D43"/>
    <w:rsid w:val="001C7DE6"/>
    <w:rsid w:val="001C7E32"/>
    <w:rsid w:val="001C7FB7"/>
    <w:rsid w:val="001C7FC6"/>
    <w:rsid w:val="001D018F"/>
    <w:rsid w:val="001D059A"/>
    <w:rsid w:val="001D05E7"/>
    <w:rsid w:val="001D05FA"/>
    <w:rsid w:val="001D064B"/>
    <w:rsid w:val="001D07B4"/>
    <w:rsid w:val="001D0CC9"/>
    <w:rsid w:val="001D0E17"/>
    <w:rsid w:val="001D0EF7"/>
    <w:rsid w:val="001D108A"/>
    <w:rsid w:val="001D1247"/>
    <w:rsid w:val="001D156E"/>
    <w:rsid w:val="001D16DC"/>
    <w:rsid w:val="001D176F"/>
    <w:rsid w:val="001D18EE"/>
    <w:rsid w:val="001D1990"/>
    <w:rsid w:val="001D19E9"/>
    <w:rsid w:val="001D1AF2"/>
    <w:rsid w:val="001D1B45"/>
    <w:rsid w:val="001D1D8C"/>
    <w:rsid w:val="001D1E76"/>
    <w:rsid w:val="001D1E80"/>
    <w:rsid w:val="001D21E8"/>
    <w:rsid w:val="001D25E9"/>
    <w:rsid w:val="001D27C3"/>
    <w:rsid w:val="001D27F6"/>
    <w:rsid w:val="001D27F7"/>
    <w:rsid w:val="001D29EE"/>
    <w:rsid w:val="001D2B16"/>
    <w:rsid w:val="001D2C11"/>
    <w:rsid w:val="001D2DE7"/>
    <w:rsid w:val="001D2ED5"/>
    <w:rsid w:val="001D2F24"/>
    <w:rsid w:val="001D300E"/>
    <w:rsid w:val="001D30CF"/>
    <w:rsid w:val="001D31B9"/>
    <w:rsid w:val="001D326D"/>
    <w:rsid w:val="001D32FB"/>
    <w:rsid w:val="001D341D"/>
    <w:rsid w:val="001D368A"/>
    <w:rsid w:val="001D37E5"/>
    <w:rsid w:val="001D390F"/>
    <w:rsid w:val="001D3AFF"/>
    <w:rsid w:val="001D3BF9"/>
    <w:rsid w:val="001D3E42"/>
    <w:rsid w:val="001D3EFC"/>
    <w:rsid w:val="001D3F79"/>
    <w:rsid w:val="001D402F"/>
    <w:rsid w:val="001D403D"/>
    <w:rsid w:val="001D4130"/>
    <w:rsid w:val="001D4151"/>
    <w:rsid w:val="001D41C9"/>
    <w:rsid w:val="001D41D8"/>
    <w:rsid w:val="001D4317"/>
    <w:rsid w:val="001D4613"/>
    <w:rsid w:val="001D4623"/>
    <w:rsid w:val="001D46C0"/>
    <w:rsid w:val="001D4750"/>
    <w:rsid w:val="001D47FB"/>
    <w:rsid w:val="001D4975"/>
    <w:rsid w:val="001D4A98"/>
    <w:rsid w:val="001D4D7A"/>
    <w:rsid w:val="001D4FD3"/>
    <w:rsid w:val="001D5037"/>
    <w:rsid w:val="001D5130"/>
    <w:rsid w:val="001D5406"/>
    <w:rsid w:val="001D54EB"/>
    <w:rsid w:val="001D5719"/>
    <w:rsid w:val="001D5842"/>
    <w:rsid w:val="001D5A79"/>
    <w:rsid w:val="001D5B59"/>
    <w:rsid w:val="001D5D16"/>
    <w:rsid w:val="001D5DB7"/>
    <w:rsid w:val="001D5F41"/>
    <w:rsid w:val="001D5F58"/>
    <w:rsid w:val="001D5F6F"/>
    <w:rsid w:val="001D6044"/>
    <w:rsid w:val="001D6198"/>
    <w:rsid w:val="001D6325"/>
    <w:rsid w:val="001D6479"/>
    <w:rsid w:val="001D64D9"/>
    <w:rsid w:val="001D6640"/>
    <w:rsid w:val="001D6771"/>
    <w:rsid w:val="001D68C3"/>
    <w:rsid w:val="001D69BF"/>
    <w:rsid w:val="001D6B19"/>
    <w:rsid w:val="001D6D2E"/>
    <w:rsid w:val="001D6EC5"/>
    <w:rsid w:val="001D6F16"/>
    <w:rsid w:val="001D6F69"/>
    <w:rsid w:val="001D73FF"/>
    <w:rsid w:val="001D78B4"/>
    <w:rsid w:val="001D78CF"/>
    <w:rsid w:val="001D7A7E"/>
    <w:rsid w:val="001E001C"/>
    <w:rsid w:val="001E004A"/>
    <w:rsid w:val="001E0078"/>
    <w:rsid w:val="001E0178"/>
    <w:rsid w:val="001E01BB"/>
    <w:rsid w:val="001E0267"/>
    <w:rsid w:val="001E028D"/>
    <w:rsid w:val="001E06A3"/>
    <w:rsid w:val="001E08CE"/>
    <w:rsid w:val="001E0997"/>
    <w:rsid w:val="001E0CF7"/>
    <w:rsid w:val="001E0D0E"/>
    <w:rsid w:val="001E0D8B"/>
    <w:rsid w:val="001E0DEF"/>
    <w:rsid w:val="001E0EE8"/>
    <w:rsid w:val="001E107C"/>
    <w:rsid w:val="001E1207"/>
    <w:rsid w:val="001E1243"/>
    <w:rsid w:val="001E129F"/>
    <w:rsid w:val="001E12D9"/>
    <w:rsid w:val="001E13EC"/>
    <w:rsid w:val="001E14FE"/>
    <w:rsid w:val="001E15FE"/>
    <w:rsid w:val="001E160F"/>
    <w:rsid w:val="001E1677"/>
    <w:rsid w:val="001E198F"/>
    <w:rsid w:val="001E1A9F"/>
    <w:rsid w:val="001E1AAC"/>
    <w:rsid w:val="001E1BE9"/>
    <w:rsid w:val="001E1C1D"/>
    <w:rsid w:val="001E1EA8"/>
    <w:rsid w:val="001E1FF5"/>
    <w:rsid w:val="001E222C"/>
    <w:rsid w:val="001E226D"/>
    <w:rsid w:val="001E2371"/>
    <w:rsid w:val="001E2458"/>
    <w:rsid w:val="001E25EB"/>
    <w:rsid w:val="001E265D"/>
    <w:rsid w:val="001E275A"/>
    <w:rsid w:val="001E278E"/>
    <w:rsid w:val="001E27F2"/>
    <w:rsid w:val="001E28E1"/>
    <w:rsid w:val="001E2C5B"/>
    <w:rsid w:val="001E2CF5"/>
    <w:rsid w:val="001E2D59"/>
    <w:rsid w:val="001E32AE"/>
    <w:rsid w:val="001E333F"/>
    <w:rsid w:val="001E3399"/>
    <w:rsid w:val="001E3423"/>
    <w:rsid w:val="001E35C8"/>
    <w:rsid w:val="001E376E"/>
    <w:rsid w:val="001E37C0"/>
    <w:rsid w:val="001E39DD"/>
    <w:rsid w:val="001E3D2F"/>
    <w:rsid w:val="001E3DCC"/>
    <w:rsid w:val="001E3E20"/>
    <w:rsid w:val="001E3EA3"/>
    <w:rsid w:val="001E410D"/>
    <w:rsid w:val="001E418C"/>
    <w:rsid w:val="001E41A8"/>
    <w:rsid w:val="001E4231"/>
    <w:rsid w:val="001E47D3"/>
    <w:rsid w:val="001E4A31"/>
    <w:rsid w:val="001E4B3F"/>
    <w:rsid w:val="001E4C40"/>
    <w:rsid w:val="001E4CB9"/>
    <w:rsid w:val="001E4F59"/>
    <w:rsid w:val="001E5410"/>
    <w:rsid w:val="001E55B6"/>
    <w:rsid w:val="001E560F"/>
    <w:rsid w:val="001E57A3"/>
    <w:rsid w:val="001E5934"/>
    <w:rsid w:val="001E59BB"/>
    <w:rsid w:val="001E5B05"/>
    <w:rsid w:val="001E5E33"/>
    <w:rsid w:val="001E5FAB"/>
    <w:rsid w:val="001E5FC1"/>
    <w:rsid w:val="001E5FF1"/>
    <w:rsid w:val="001E61D5"/>
    <w:rsid w:val="001E6267"/>
    <w:rsid w:val="001E626D"/>
    <w:rsid w:val="001E62B3"/>
    <w:rsid w:val="001E639C"/>
    <w:rsid w:val="001E64D4"/>
    <w:rsid w:val="001E666C"/>
    <w:rsid w:val="001E67D4"/>
    <w:rsid w:val="001E6959"/>
    <w:rsid w:val="001E6BB9"/>
    <w:rsid w:val="001E6BD5"/>
    <w:rsid w:val="001E6C2A"/>
    <w:rsid w:val="001E6CE5"/>
    <w:rsid w:val="001E6D2C"/>
    <w:rsid w:val="001E6E58"/>
    <w:rsid w:val="001E6F45"/>
    <w:rsid w:val="001E71A6"/>
    <w:rsid w:val="001E765B"/>
    <w:rsid w:val="001E76B0"/>
    <w:rsid w:val="001E77A3"/>
    <w:rsid w:val="001E77BE"/>
    <w:rsid w:val="001E7810"/>
    <w:rsid w:val="001E7A23"/>
    <w:rsid w:val="001E7AD5"/>
    <w:rsid w:val="001E7B93"/>
    <w:rsid w:val="001E7BE2"/>
    <w:rsid w:val="001E7DA4"/>
    <w:rsid w:val="001F0025"/>
    <w:rsid w:val="001F0186"/>
    <w:rsid w:val="001F0196"/>
    <w:rsid w:val="001F01A1"/>
    <w:rsid w:val="001F02A2"/>
    <w:rsid w:val="001F0D02"/>
    <w:rsid w:val="001F0E27"/>
    <w:rsid w:val="001F0EA8"/>
    <w:rsid w:val="001F0ECF"/>
    <w:rsid w:val="001F11BD"/>
    <w:rsid w:val="001F1342"/>
    <w:rsid w:val="001F1362"/>
    <w:rsid w:val="001F1505"/>
    <w:rsid w:val="001F1975"/>
    <w:rsid w:val="001F1B49"/>
    <w:rsid w:val="001F1E03"/>
    <w:rsid w:val="001F1E6B"/>
    <w:rsid w:val="001F1F40"/>
    <w:rsid w:val="001F2490"/>
    <w:rsid w:val="001F258F"/>
    <w:rsid w:val="001F25E1"/>
    <w:rsid w:val="001F28EA"/>
    <w:rsid w:val="001F29D5"/>
    <w:rsid w:val="001F2A16"/>
    <w:rsid w:val="001F2A63"/>
    <w:rsid w:val="001F2DDA"/>
    <w:rsid w:val="001F2FFA"/>
    <w:rsid w:val="001F339C"/>
    <w:rsid w:val="001F33E0"/>
    <w:rsid w:val="001F3490"/>
    <w:rsid w:val="001F3497"/>
    <w:rsid w:val="001F34BD"/>
    <w:rsid w:val="001F3610"/>
    <w:rsid w:val="001F3697"/>
    <w:rsid w:val="001F389B"/>
    <w:rsid w:val="001F38E0"/>
    <w:rsid w:val="001F3ABC"/>
    <w:rsid w:val="001F3BC0"/>
    <w:rsid w:val="001F3C0D"/>
    <w:rsid w:val="001F3C38"/>
    <w:rsid w:val="001F3C66"/>
    <w:rsid w:val="001F3FF0"/>
    <w:rsid w:val="001F44A0"/>
    <w:rsid w:val="001F453B"/>
    <w:rsid w:val="001F45AA"/>
    <w:rsid w:val="001F467B"/>
    <w:rsid w:val="001F4961"/>
    <w:rsid w:val="001F4A0F"/>
    <w:rsid w:val="001F4ADE"/>
    <w:rsid w:val="001F4BD9"/>
    <w:rsid w:val="001F4DA6"/>
    <w:rsid w:val="001F4DF4"/>
    <w:rsid w:val="001F4F47"/>
    <w:rsid w:val="001F5068"/>
    <w:rsid w:val="001F5309"/>
    <w:rsid w:val="001F530F"/>
    <w:rsid w:val="001F5381"/>
    <w:rsid w:val="001F53BF"/>
    <w:rsid w:val="001F54A1"/>
    <w:rsid w:val="001F56E4"/>
    <w:rsid w:val="001F5842"/>
    <w:rsid w:val="001F58D5"/>
    <w:rsid w:val="001F58F7"/>
    <w:rsid w:val="001F5906"/>
    <w:rsid w:val="001F5977"/>
    <w:rsid w:val="001F5A09"/>
    <w:rsid w:val="001F5B43"/>
    <w:rsid w:val="001F5BF4"/>
    <w:rsid w:val="001F5C0E"/>
    <w:rsid w:val="001F5E35"/>
    <w:rsid w:val="001F5E75"/>
    <w:rsid w:val="001F5F73"/>
    <w:rsid w:val="001F604A"/>
    <w:rsid w:val="001F6126"/>
    <w:rsid w:val="001F6397"/>
    <w:rsid w:val="001F64BE"/>
    <w:rsid w:val="001F668D"/>
    <w:rsid w:val="001F66C5"/>
    <w:rsid w:val="001F66F5"/>
    <w:rsid w:val="001F672C"/>
    <w:rsid w:val="001F68A4"/>
    <w:rsid w:val="001F6943"/>
    <w:rsid w:val="001F6A2F"/>
    <w:rsid w:val="001F6D01"/>
    <w:rsid w:val="001F6E40"/>
    <w:rsid w:val="001F6E5D"/>
    <w:rsid w:val="001F6EFF"/>
    <w:rsid w:val="001F6F38"/>
    <w:rsid w:val="001F70B4"/>
    <w:rsid w:val="001F7336"/>
    <w:rsid w:val="001F753E"/>
    <w:rsid w:val="001F7C82"/>
    <w:rsid w:val="001F7CCD"/>
    <w:rsid w:val="001F7CD9"/>
    <w:rsid w:val="001F7DA5"/>
    <w:rsid w:val="001F7DFD"/>
    <w:rsid w:val="001F7E60"/>
    <w:rsid w:val="00200072"/>
    <w:rsid w:val="0020027C"/>
    <w:rsid w:val="0020032D"/>
    <w:rsid w:val="00200724"/>
    <w:rsid w:val="002007E2"/>
    <w:rsid w:val="00200B38"/>
    <w:rsid w:val="00200B7E"/>
    <w:rsid w:val="00200C35"/>
    <w:rsid w:val="00200D83"/>
    <w:rsid w:val="00200E8A"/>
    <w:rsid w:val="00200F05"/>
    <w:rsid w:val="00200F8B"/>
    <w:rsid w:val="00201058"/>
    <w:rsid w:val="002010C5"/>
    <w:rsid w:val="002013BF"/>
    <w:rsid w:val="002013F3"/>
    <w:rsid w:val="00201528"/>
    <w:rsid w:val="0020157C"/>
    <w:rsid w:val="00201815"/>
    <w:rsid w:val="00201986"/>
    <w:rsid w:val="00201A21"/>
    <w:rsid w:val="00201A23"/>
    <w:rsid w:val="00201D8B"/>
    <w:rsid w:val="002021C0"/>
    <w:rsid w:val="00202414"/>
    <w:rsid w:val="00202464"/>
    <w:rsid w:val="0020273C"/>
    <w:rsid w:val="00202852"/>
    <w:rsid w:val="00202B28"/>
    <w:rsid w:val="00202D2E"/>
    <w:rsid w:val="00203236"/>
    <w:rsid w:val="002032AE"/>
    <w:rsid w:val="00203391"/>
    <w:rsid w:val="002033E9"/>
    <w:rsid w:val="0020342C"/>
    <w:rsid w:val="002034CB"/>
    <w:rsid w:val="00203663"/>
    <w:rsid w:val="00203693"/>
    <w:rsid w:val="00203866"/>
    <w:rsid w:val="002038DE"/>
    <w:rsid w:val="00203950"/>
    <w:rsid w:val="002039EF"/>
    <w:rsid w:val="00203B35"/>
    <w:rsid w:val="00203BC2"/>
    <w:rsid w:val="00203E85"/>
    <w:rsid w:val="00203EAE"/>
    <w:rsid w:val="00203EFF"/>
    <w:rsid w:val="00203F7D"/>
    <w:rsid w:val="00204074"/>
    <w:rsid w:val="00204086"/>
    <w:rsid w:val="00204612"/>
    <w:rsid w:val="00204623"/>
    <w:rsid w:val="0020496C"/>
    <w:rsid w:val="0020497D"/>
    <w:rsid w:val="00204AA4"/>
    <w:rsid w:val="00204ABE"/>
    <w:rsid w:val="00204C96"/>
    <w:rsid w:val="00204DDD"/>
    <w:rsid w:val="00205200"/>
    <w:rsid w:val="00205235"/>
    <w:rsid w:val="002052A8"/>
    <w:rsid w:val="002053CC"/>
    <w:rsid w:val="00205413"/>
    <w:rsid w:val="0020549E"/>
    <w:rsid w:val="0020553C"/>
    <w:rsid w:val="002056B5"/>
    <w:rsid w:val="002056CB"/>
    <w:rsid w:val="00205813"/>
    <w:rsid w:val="00205A8B"/>
    <w:rsid w:val="00205CCC"/>
    <w:rsid w:val="00205CD8"/>
    <w:rsid w:val="00205D27"/>
    <w:rsid w:val="0020601D"/>
    <w:rsid w:val="002061D0"/>
    <w:rsid w:val="0020624F"/>
    <w:rsid w:val="0020629B"/>
    <w:rsid w:val="0020636E"/>
    <w:rsid w:val="0020650C"/>
    <w:rsid w:val="00206580"/>
    <w:rsid w:val="002065EE"/>
    <w:rsid w:val="00206737"/>
    <w:rsid w:val="00206758"/>
    <w:rsid w:val="002069EA"/>
    <w:rsid w:val="00206D91"/>
    <w:rsid w:val="00206DBC"/>
    <w:rsid w:val="00206E9C"/>
    <w:rsid w:val="002070BF"/>
    <w:rsid w:val="00207325"/>
    <w:rsid w:val="00207814"/>
    <w:rsid w:val="00207815"/>
    <w:rsid w:val="002078C6"/>
    <w:rsid w:val="002078EA"/>
    <w:rsid w:val="0020793E"/>
    <w:rsid w:val="0020797C"/>
    <w:rsid w:val="00207DC3"/>
    <w:rsid w:val="00207E26"/>
    <w:rsid w:val="0021019E"/>
    <w:rsid w:val="002103DB"/>
    <w:rsid w:val="00210468"/>
    <w:rsid w:val="00210470"/>
    <w:rsid w:val="00210667"/>
    <w:rsid w:val="002108F6"/>
    <w:rsid w:val="00210C2F"/>
    <w:rsid w:val="00210C54"/>
    <w:rsid w:val="00210DA3"/>
    <w:rsid w:val="00210E99"/>
    <w:rsid w:val="00210EEC"/>
    <w:rsid w:val="0021142F"/>
    <w:rsid w:val="00211508"/>
    <w:rsid w:val="0021152F"/>
    <w:rsid w:val="002115E8"/>
    <w:rsid w:val="002118C9"/>
    <w:rsid w:val="002119CD"/>
    <w:rsid w:val="00211A50"/>
    <w:rsid w:val="00211C15"/>
    <w:rsid w:val="00211CC1"/>
    <w:rsid w:val="00211DA4"/>
    <w:rsid w:val="00211DB4"/>
    <w:rsid w:val="00211F36"/>
    <w:rsid w:val="0021204A"/>
    <w:rsid w:val="00212072"/>
    <w:rsid w:val="0021214A"/>
    <w:rsid w:val="0021219A"/>
    <w:rsid w:val="00212262"/>
    <w:rsid w:val="002122B3"/>
    <w:rsid w:val="0021243B"/>
    <w:rsid w:val="002126BB"/>
    <w:rsid w:val="002128A5"/>
    <w:rsid w:val="002129C9"/>
    <w:rsid w:val="00212CFD"/>
    <w:rsid w:val="00212F3D"/>
    <w:rsid w:val="00212F46"/>
    <w:rsid w:val="00213100"/>
    <w:rsid w:val="002131CB"/>
    <w:rsid w:val="00213312"/>
    <w:rsid w:val="00213351"/>
    <w:rsid w:val="0021337B"/>
    <w:rsid w:val="002134AD"/>
    <w:rsid w:val="002137D3"/>
    <w:rsid w:val="002138D6"/>
    <w:rsid w:val="0021391B"/>
    <w:rsid w:val="00213972"/>
    <w:rsid w:val="002139D4"/>
    <w:rsid w:val="00213AA4"/>
    <w:rsid w:val="00213B1B"/>
    <w:rsid w:val="002142E7"/>
    <w:rsid w:val="002143F2"/>
    <w:rsid w:val="0021443B"/>
    <w:rsid w:val="00214533"/>
    <w:rsid w:val="002146C8"/>
    <w:rsid w:val="002146D4"/>
    <w:rsid w:val="00214A6E"/>
    <w:rsid w:val="00214C11"/>
    <w:rsid w:val="00214D23"/>
    <w:rsid w:val="00214EB0"/>
    <w:rsid w:val="00215150"/>
    <w:rsid w:val="00215179"/>
    <w:rsid w:val="00215245"/>
    <w:rsid w:val="0021528D"/>
    <w:rsid w:val="002152AE"/>
    <w:rsid w:val="002152E5"/>
    <w:rsid w:val="00215323"/>
    <w:rsid w:val="00215684"/>
    <w:rsid w:val="0021586A"/>
    <w:rsid w:val="00215F90"/>
    <w:rsid w:val="0021600A"/>
    <w:rsid w:val="00216235"/>
    <w:rsid w:val="00216703"/>
    <w:rsid w:val="00216837"/>
    <w:rsid w:val="00216B2D"/>
    <w:rsid w:val="00216BDD"/>
    <w:rsid w:val="00216D86"/>
    <w:rsid w:val="00216F5F"/>
    <w:rsid w:val="00217035"/>
    <w:rsid w:val="002170EC"/>
    <w:rsid w:val="002172C5"/>
    <w:rsid w:val="002172E8"/>
    <w:rsid w:val="00217419"/>
    <w:rsid w:val="0021741B"/>
    <w:rsid w:val="002175B2"/>
    <w:rsid w:val="002175B7"/>
    <w:rsid w:val="002175D6"/>
    <w:rsid w:val="00217613"/>
    <w:rsid w:val="00217663"/>
    <w:rsid w:val="002177C3"/>
    <w:rsid w:val="002179C5"/>
    <w:rsid w:val="00217A46"/>
    <w:rsid w:val="00217A5C"/>
    <w:rsid w:val="00217AA7"/>
    <w:rsid w:val="00217D21"/>
    <w:rsid w:val="00217D47"/>
    <w:rsid w:val="00217D6F"/>
    <w:rsid w:val="00217ED3"/>
    <w:rsid w:val="002201CC"/>
    <w:rsid w:val="0022022F"/>
    <w:rsid w:val="002202BE"/>
    <w:rsid w:val="00220687"/>
    <w:rsid w:val="00220732"/>
    <w:rsid w:val="00220747"/>
    <w:rsid w:val="00220758"/>
    <w:rsid w:val="002207E2"/>
    <w:rsid w:val="00220878"/>
    <w:rsid w:val="0022087B"/>
    <w:rsid w:val="002208F3"/>
    <w:rsid w:val="002208F6"/>
    <w:rsid w:val="00220B1E"/>
    <w:rsid w:val="00220BCB"/>
    <w:rsid w:val="00220C59"/>
    <w:rsid w:val="00220C90"/>
    <w:rsid w:val="00220CD0"/>
    <w:rsid w:val="00220D3E"/>
    <w:rsid w:val="00220DF3"/>
    <w:rsid w:val="00220E84"/>
    <w:rsid w:val="00220E9C"/>
    <w:rsid w:val="00220F8D"/>
    <w:rsid w:val="00221097"/>
    <w:rsid w:val="002211C3"/>
    <w:rsid w:val="002212FA"/>
    <w:rsid w:val="00221498"/>
    <w:rsid w:val="002214B7"/>
    <w:rsid w:val="002214CF"/>
    <w:rsid w:val="00221566"/>
    <w:rsid w:val="0022164D"/>
    <w:rsid w:val="002219DD"/>
    <w:rsid w:val="00221A9E"/>
    <w:rsid w:val="00221C2D"/>
    <w:rsid w:val="00221E89"/>
    <w:rsid w:val="002221EF"/>
    <w:rsid w:val="00222200"/>
    <w:rsid w:val="00222374"/>
    <w:rsid w:val="0022238A"/>
    <w:rsid w:val="002229C1"/>
    <w:rsid w:val="00222B78"/>
    <w:rsid w:val="00222CFD"/>
    <w:rsid w:val="00222F60"/>
    <w:rsid w:val="002231BA"/>
    <w:rsid w:val="002233CA"/>
    <w:rsid w:val="00223532"/>
    <w:rsid w:val="00223722"/>
    <w:rsid w:val="0022395B"/>
    <w:rsid w:val="00223AE6"/>
    <w:rsid w:val="00223BAD"/>
    <w:rsid w:val="00223EAE"/>
    <w:rsid w:val="00223EB0"/>
    <w:rsid w:val="00223F17"/>
    <w:rsid w:val="00223F28"/>
    <w:rsid w:val="00223FD7"/>
    <w:rsid w:val="00224112"/>
    <w:rsid w:val="0022413B"/>
    <w:rsid w:val="002241B6"/>
    <w:rsid w:val="0022423F"/>
    <w:rsid w:val="002244A6"/>
    <w:rsid w:val="002248DD"/>
    <w:rsid w:val="002249C9"/>
    <w:rsid w:val="00224A98"/>
    <w:rsid w:val="00224CBF"/>
    <w:rsid w:val="00224DD9"/>
    <w:rsid w:val="00224EBE"/>
    <w:rsid w:val="00224ED8"/>
    <w:rsid w:val="00224F70"/>
    <w:rsid w:val="00224F9F"/>
    <w:rsid w:val="0022508F"/>
    <w:rsid w:val="002250D8"/>
    <w:rsid w:val="00225264"/>
    <w:rsid w:val="0022542C"/>
    <w:rsid w:val="00225467"/>
    <w:rsid w:val="002254B1"/>
    <w:rsid w:val="002254F5"/>
    <w:rsid w:val="0022589D"/>
    <w:rsid w:val="002259BE"/>
    <w:rsid w:val="00225D9E"/>
    <w:rsid w:val="00225DD8"/>
    <w:rsid w:val="00225FD0"/>
    <w:rsid w:val="002260F0"/>
    <w:rsid w:val="002261ED"/>
    <w:rsid w:val="002263BA"/>
    <w:rsid w:val="002264E5"/>
    <w:rsid w:val="002266B8"/>
    <w:rsid w:val="002267DE"/>
    <w:rsid w:val="002268D5"/>
    <w:rsid w:val="00226924"/>
    <w:rsid w:val="002269DA"/>
    <w:rsid w:val="002269FF"/>
    <w:rsid w:val="00226AC3"/>
    <w:rsid w:val="00226AF5"/>
    <w:rsid w:val="00226C17"/>
    <w:rsid w:val="00226E2F"/>
    <w:rsid w:val="00226F7D"/>
    <w:rsid w:val="00226F95"/>
    <w:rsid w:val="00226FD5"/>
    <w:rsid w:val="002272CE"/>
    <w:rsid w:val="0022732C"/>
    <w:rsid w:val="00227378"/>
    <w:rsid w:val="00227444"/>
    <w:rsid w:val="00227464"/>
    <w:rsid w:val="0022746E"/>
    <w:rsid w:val="00227521"/>
    <w:rsid w:val="002276B3"/>
    <w:rsid w:val="0022775B"/>
    <w:rsid w:val="0022777E"/>
    <w:rsid w:val="002277C6"/>
    <w:rsid w:val="002279B8"/>
    <w:rsid w:val="002279F6"/>
    <w:rsid w:val="00227A71"/>
    <w:rsid w:val="0023011A"/>
    <w:rsid w:val="002301C3"/>
    <w:rsid w:val="0023024E"/>
    <w:rsid w:val="00230254"/>
    <w:rsid w:val="00230311"/>
    <w:rsid w:val="00230487"/>
    <w:rsid w:val="0023049F"/>
    <w:rsid w:val="00230729"/>
    <w:rsid w:val="002309EE"/>
    <w:rsid w:val="00230A44"/>
    <w:rsid w:val="00230A77"/>
    <w:rsid w:val="00230CCD"/>
    <w:rsid w:val="00230D00"/>
    <w:rsid w:val="00230D1A"/>
    <w:rsid w:val="00230D32"/>
    <w:rsid w:val="00231134"/>
    <w:rsid w:val="002311D7"/>
    <w:rsid w:val="00231318"/>
    <w:rsid w:val="0023158B"/>
    <w:rsid w:val="0023170F"/>
    <w:rsid w:val="00231833"/>
    <w:rsid w:val="0023195E"/>
    <w:rsid w:val="00231B0B"/>
    <w:rsid w:val="00231C00"/>
    <w:rsid w:val="00231C7E"/>
    <w:rsid w:val="00232060"/>
    <w:rsid w:val="0023206F"/>
    <w:rsid w:val="002320CF"/>
    <w:rsid w:val="0023235A"/>
    <w:rsid w:val="0023238F"/>
    <w:rsid w:val="0023241B"/>
    <w:rsid w:val="002324DC"/>
    <w:rsid w:val="0023285C"/>
    <w:rsid w:val="002329C3"/>
    <w:rsid w:val="00232E0A"/>
    <w:rsid w:val="00232EC6"/>
    <w:rsid w:val="00233040"/>
    <w:rsid w:val="0023308D"/>
    <w:rsid w:val="002338FA"/>
    <w:rsid w:val="00233BDD"/>
    <w:rsid w:val="00233C00"/>
    <w:rsid w:val="00233DFD"/>
    <w:rsid w:val="00233E49"/>
    <w:rsid w:val="00233F9F"/>
    <w:rsid w:val="0023404D"/>
    <w:rsid w:val="002340E7"/>
    <w:rsid w:val="0023418C"/>
    <w:rsid w:val="00234207"/>
    <w:rsid w:val="002342E3"/>
    <w:rsid w:val="002342EB"/>
    <w:rsid w:val="00234370"/>
    <w:rsid w:val="002343C3"/>
    <w:rsid w:val="00234409"/>
    <w:rsid w:val="00234469"/>
    <w:rsid w:val="002344A0"/>
    <w:rsid w:val="002344EC"/>
    <w:rsid w:val="00234737"/>
    <w:rsid w:val="00234787"/>
    <w:rsid w:val="002347AF"/>
    <w:rsid w:val="0023483D"/>
    <w:rsid w:val="0023486B"/>
    <w:rsid w:val="00234911"/>
    <w:rsid w:val="002349DE"/>
    <w:rsid w:val="00234AC4"/>
    <w:rsid w:val="00234B6C"/>
    <w:rsid w:val="00234BB7"/>
    <w:rsid w:val="00234C87"/>
    <w:rsid w:val="00234CCC"/>
    <w:rsid w:val="00234CDB"/>
    <w:rsid w:val="00234DBA"/>
    <w:rsid w:val="00234EBB"/>
    <w:rsid w:val="00234F84"/>
    <w:rsid w:val="00234FF8"/>
    <w:rsid w:val="0023526F"/>
    <w:rsid w:val="002353C3"/>
    <w:rsid w:val="0023548D"/>
    <w:rsid w:val="002355EB"/>
    <w:rsid w:val="002356A1"/>
    <w:rsid w:val="00235857"/>
    <w:rsid w:val="00235A39"/>
    <w:rsid w:val="00235AC8"/>
    <w:rsid w:val="00235CA2"/>
    <w:rsid w:val="00235E4D"/>
    <w:rsid w:val="00235EBA"/>
    <w:rsid w:val="00235F1C"/>
    <w:rsid w:val="00235FA6"/>
    <w:rsid w:val="00236097"/>
    <w:rsid w:val="0023657A"/>
    <w:rsid w:val="002365CE"/>
    <w:rsid w:val="00236632"/>
    <w:rsid w:val="00236658"/>
    <w:rsid w:val="0023667C"/>
    <w:rsid w:val="002366EE"/>
    <w:rsid w:val="00236AF1"/>
    <w:rsid w:val="00236BF0"/>
    <w:rsid w:val="00236C10"/>
    <w:rsid w:val="00236E09"/>
    <w:rsid w:val="00236E6B"/>
    <w:rsid w:val="00236F28"/>
    <w:rsid w:val="00236F3B"/>
    <w:rsid w:val="002370F3"/>
    <w:rsid w:val="00237231"/>
    <w:rsid w:val="002375DA"/>
    <w:rsid w:val="00237714"/>
    <w:rsid w:val="00237733"/>
    <w:rsid w:val="00237812"/>
    <w:rsid w:val="00237A17"/>
    <w:rsid w:val="00237A55"/>
    <w:rsid w:val="00237C1C"/>
    <w:rsid w:val="00237CDE"/>
    <w:rsid w:val="00237D32"/>
    <w:rsid w:val="00237DCC"/>
    <w:rsid w:val="00237DCD"/>
    <w:rsid w:val="00237E78"/>
    <w:rsid w:val="0024006B"/>
    <w:rsid w:val="0024009D"/>
    <w:rsid w:val="002400A0"/>
    <w:rsid w:val="002400A7"/>
    <w:rsid w:val="002409D1"/>
    <w:rsid w:val="00240A03"/>
    <w:rsid w:val="00240C02"/>
    <w:rsid w:val="00240EE2"/>
    <w:rsid w:val="00241211"/>
    <w:rsid w:val="0024124A"/>
    <w:rsid w:val="002413C3"/>
    <w:rsid w:val="002413E0"/>
    <w:rsid w:val="00241428"/>
    <w:rsid w:val="0024159C"/>
    <w:rsid w:val="002416ED"/>
    <w:rsid w:val="002418D3"/>
    <w:rsid w:val="002419AB"/>
    <w:rsid w:val="00241AC2"/>
    <w:rsid w:val="00241AC9"/>
    <w:rsid w:val="00241AE1"/>
    <w:rsid w:val="00241BA8"/>
    <w:rsid w:val="00241C64"/>
    <w:rsid w:val="00241E95"/>
    <w:rsid w:val="00241F97"/>
    <w:rsid w:val="00242003"/>
    <w:rsid w:val="002420F9"/>
    <w:rsid w:val="00242189"/>
    <w:rsid w:val="0024245C"/>
    <w:rsid w:val="002424A7"/>
    <w:rsid w:val="002429A4"/>
    <w:rsid w:val="00242F75"/>
    <w:rsid w:val="00243034"/>
    <w:rsid w:val="00243271"/>
    <w:rsid w:val="002437C9"/>
    <w:rsid w:val="002438B1"/>
    <w:rsid w:val="00243B98"/>
    <w:rsid w:val="00243DB3"/>
    <w:rsid w:val="00244276"/>
    <w:rsid w:val="0024441A"/>
    <w:rsid w:val="00244610"/>
    <w:rsid w:val="002446C7"/>
    <w:rsid w:val="00244899"/>
    <w:rsid w:val="00244B14"/>
    <w:rsid w:val="00244B66"/>
    <w:rsid w:val="00244F1F"/>
    <w:rsid w:val="00244FCC"/>
    <w:rsid w:val="00244FE1"/>
    <w:rsid w:val="002451F9"/>
    <w:rsid w:val="0024533F"/>
    <w:rsid w:val="002455DE"/>
    <w:rsid w:val="00245B3E"/>
    <w:rsid w:val="00245B46"/>
    <w:rsid w:val="00245B4A"/>
    <w:rsid w:val="00245BA6"/>
    <w:rsid w:val="00245DA1"/>
    <w:rsid w:val="00245E2E"/>
    <w:rsid w:val="00245E5F"/>
    <w:rsid w:val="00245EF7"/>
    <w:rsid w:val="00245FC6"/>
    <w:rsid w:val="00245FE2"/>
    <w:rsid w:val="00246154"/>
    <w:rsid w:val="002461FF"/>
    <w:rsid w:val="0024653E"/>
    <w:rsid w:val="00246633"/>
    <w:rsid w:val="00246A3A"/>
    <w:rsid w:val="00246A46"/>
    <w:rsid w:val="00246A55"/>
    <w:rsid w:val="00246B43"/>
    <w:rsid w:val="00246E45"/>
    <w:rsid w:val="00246EF7"/>
    <w:rsid w:val="00246F07"/>
    <w:rsid w:val="00247188"/>
    <w:rsid w:val="00247306"/>
    <w:rsid w:val="0024733E"/>
    <w:rsid w:val="002473E2"/>
    <w:rsid w:val="002473E9"/>
    <w:rsid w:val="002474A2"/>
    <w:rsid w:val="00247754"/>
    <w:rsid w:val="002477E5"/>
    <w:rsid w:val="002479FD"/>
    <w:rsid w:val="00247E9A"/>
    <w:rsid w:val="00247EE3"/>
    <w:rsid w:val="00247F47"/>
    <w:rsid w:val="00250105"/>
    <w:rsid w:val="00250155"/>
    <w:rsid w:val="002502AE"/>
    <w:rsid w:val="002502C5"/>
    <w:rsid w:val="00250354"/>
    <w:rsid w:val="00250630"/>
    <w:rsid w:val="00250789"/>
    <w:rsid w:val="002507D8"/>
    <w:rsid w:val="002507E6"/>
    <w:rsid w:val="0025085E"/>
    <w:rsid w:val="00250A94"/>
    <w:rsid w:val="00250DC9"/>
    <w:rsid w:val="00250E24"/>
    <w:rsid w:val="00250F32"/>
    <w:rsid w:val="00251140"/>
    <w:rsid w:val="0025128B"/>
    <w:rsid w:val="002513CE"/>
    <w:rsid w:val="002513DB"/>
    <w:rsid w:val="00251488"/>
    <w:rsid w:val="00251494"/>
    <w:rsid w:val="002514C2"/>
    <w:rsid w:val="0025153A"/>
    <w:rsid w:val="0025174D"/>
    <w:rsid w:val="002517F0"/>
    <w:rsid w:val="00251A1F"/>
    <w:rsid w:val="00251A6B"/>
    <w:rsid w:val="00251DF6"/>
    <w:rsid w:val="00251E42"/>
    <w:rsid w:val="0025242F"/>
    <w:rsid w:val="00252489"/>
    <w:rsid w:val="00252B67"/>
    <w:rsid w:val="00252BC4"/>
    <w:rsid w:val="00252F36"/>
    <w:rsid w:val="00252FCD"/>
    <w:rsid w:val="0025304F"/>
    <w:rsid w:val="00253095"/>
    <w:rsid w:val="0025312B"/>
    <w:rsid w:val="002534B7"/>
    <w:rsid w:val="002538B4"/>
    <w:rsid w:val="002539A7"/>
    <w:rsid w:val="00253B9A"/>
    <w:rsid w:val="00253BED"/>
    <w:rsid w:val="00253C45"/>
    <w:rsid w:val="00253D29"/>
    <w:rsid w:val="00253E0A"/>
    <w:rsid w:val="00253ECB"/>
    <w:rsid w:val="00253FA4"/>
    <w:rsid w:val="0025404C"/>
    <w:rsid w:val="00254470"/>
    <w:rsid w:val="00254548"/>
    <w:rsid w:val="0025463F"/>
    <w:rsid w:val="00254797"/>
    <w:rsid w:val="00254836"/>
    <w:rsid w:val="002549E1"/>
    <w:rsid w:val="00254CBA"/>
    <w:rsid w:val="00254CBF"/>
    <w:rsid w:val="00254E39"/>
    <w:rsid w:val="0025500E"/>
    <w:rsid w:val="0025513E"/>
    <w:rsid w:val="00255216"/>
    <w:rsid w:val="00255343"/>
    <w:rsid w:val="0025547B"/>
    <w:rsid w:val="002554E1"/>
    <w:rsid w:val="002555F9"/>
    <w:rsid w:val="00255761"/>
    <w:rsid w:val="00255874"/>
    <w:rsid w:val="002558A6"/>
    <w:rsid w:val="002559BC"/>
    <w:rsid w:val="00255A7B"/>
    <w:rsid w:val="00255AF3"/>
    <w:rsid w:val="00255BDB"/>
    <w:rsid w:val="00255C3C"/>
    <w:rsid w:val="00255C7C"/>
    <w:rsid w:val="00255D3F"/>
    <w:rsid w:val="00255E36"/>
    <w:rsid w:val="00255E83"/>
    <w:rsid w:val="00256034"/>
    <w:rsid w:val="00256035"/>
    <w:rsid w:val="002560BB"/>
    <w:rsid w:val="00256179"/>
    <w:rsid w:val="002562D1"/>
    <w:rsid w:val="00256327"/>
    <w:rsid w:val="002564CE"/>
    <w:rsid w:val="0025658D"/>
    <w:rsid w:val="0025677B"/>
    <w:rsid w:val="00256A09"/>
    <w:rsid w:val="00256A2A"/>
    <w:rsid w:val="00256D6C"/>
    <w:rsid w:val="00256F67"/>
    <w:rsid w:val="00256FE8"/>
    <w:rsid w:val="0025700F"/>
    <w:rsid w:val="0025716D"/>
    <w:rsid w:val="0025753E"/>
    <w:rsid w:val="0025765F"/>
    <w:rsid w:val="002578D3"/>
    <w:rsid w:val="00257967"/>
    <w:rsid w:val="00257A0D"/>
    <w:rsid w:val="00257A45"/>
    <w:rsid w:val="00257AEE"/>
    <w:rsid w:val="00257AFF"/>
    <w:rsid w:val="00257F89"/>
    <w:rsid w:val="002602D9"/>
    <w:rsid w:val="0026035A"/>
    <w:rsid w:val="0026039C"/>
    <w:rsid w:val="0026044F"/>
    <w:rsid w:val="002605C9"/>
    <w:rsid w:val="002608BD"/>
    <w:rsid w:val="00260C2E"/>
    <w:rsid w:val="00260C6E"/>
    <w:rsid w:val="00260CD2"/>
    <w:rsid w:val="00260E9E"/>
    <w:rsid w:val="00260F64"/>
    <w:rsid w:val="0026102E"/>
    <w:rsid w:val="0026119E"/>
    <w:rsid w:val="00261466"/>
    <w:rsid w:val="0026148B"/>
    <w:rsid w:val="00261924"/>
    <w:rsid w:val="002619A5"/>
    <w:rsid w:val="00261B62"/>
    <w:rsid w:val="00261F16"/>
    <w:rsid w:val="00261F44"/>
    <w:rsid w:val="002621A5"/>
    <w:rsid w:val="002623BF"/>
    <w:rsid w:val="002624FA"/>
    <w:rsid w:val="00262556"/>
    <w:rsid w:val="002626D8"/>
    <w:rsid w:val="002628D6"/>
    <w:rsid w:val="002628F0"/>
    <w:rsid w:val="00262971"/>
    <w:rsid w:val="00262AAD"/>
    <w:rsid w:val="00262D2A"/>
    <w:rsid w:val="00262E56"/>
    <w:rsid w:val="00263036"/>
    <w:rsid w:val="0026313D"/>
    <w:rsid w:val="00263238"/>
    <w:rsid w:val="0026335E"/>
    <w:rsid w:val="00263378"/>
    <w:rsid w:val="002633CC"/>
    <w:rsid w:val="002635B5"/>
    <w:rsid w:val="002635DF"/>
    <w:rsid w:val="0026367A"/>
    <w:rsid w:val="002636E2"/>
    <w:rsid w:val="0026383C"/>
    <w:rsid w:val="00263B46"/>
    <w:rsid w:val="00263C2F"/>
    <w:rsid w:val="00263E71"/>
    <w:rsid w:val="002640EB"/>
    <w:rsid w:val="002642BB"/>
    <w:rsid w:val="002642C8"/>
    <w:rsid w:val="002643A2"/>
    <w:rsid w:val="00264463"/>
    <w:rsid w:val="00264490"/>
    <w:rsid w:val="00264DE4"/>
    <w:rsid w:val="00264FC3"/>
    <w:rsid w:val="002652CB"/>
    <w:rsid w:val="002652D1"/>
    <w:rsid w:val="0026548B"/>
    <w:rsid w:val="0026565B"/>
    <w:rsid w:val="00265760"/>
    <w:rsid w:val="00265A37"/>
    <w:rsid w:val="00265B79"/>
    <w:rsid w:val="00265F4D"/>
    <w:rsid w:val="002665B4"/>
    <w:rsid w:val="0026667C"/>
    <w:rsid w:val="002667F3"/>
    <w:rsid w:val="00266A0C"/>
    <w:rsid w:val="00266D76"/>
    <w:rsid w:val="00266E7A"/>
    <w:rsid w:val="0026756D"/>
    <w:rsid w:val="002675CA"/>
    <w:rsid w:val="00267AD4"/>
    <w:rsid w:val="00267E01"/>
    <w:rsid w:val="00267FDD"/>
    <w:rsid w:val="002700CF"/>
    <w:rsid w:val="00270188"/>
    <w:rsid w:val="0027019E"/>
    <w:rsid w:val="00270401"/>
    <w:rsid w:val="002707C0"/>
    <w:rsid w:val="00270909"/>
    <w:rsid w:val="00270C73"/>
    <w:rsid w:val="00270D1B"/>
    <w:rsid w:val="00270E4B"/>
    <w:rsid w:val="00270F62"/>
    <w:rsid w:val="002710C5"/>
    <w:rsid w:val="00271366"/>
    <w:rsid w:val="00271462"/>
    <w:rsid w:val="00271542"/>
    <w:rsid w:val="00271667"/>
    <w:rsid w:val="0027185F"/>
    <w:rsid w:val="002718B5"/>
    <w:rsid w:val="00271932"/>
    <w:rsid w:val="002719F7"/>
    <w:rsid w:val="00271BE0"/>
    <w:rsid w:val="00271C46"/>
    <w:rsid w:val="00271DFB"/>
    <w:rsid w:val="0027204C"/>
    <w:rsid w:val="002720FF"/>
    <w:rsid w:val="002727FF"/>
    <w:rsid w:val="00272825"/>
    <w:rsid w:val="002728BB"/>
    <w:rsid w:val="00272ACD"/>
    <w:rsid w:val="00272BC5"/>
    <w:rsid w:val="00272BE5"/>
    <w:rsid w:val="00272D9E"/>
    <w:rsid w:val="00272E93"/>
    <w:rsid w:val="00272F01"/>
    <w:rsid w:val="00272FD2"/>
    <w:rsid w:val="00273184"/>
    <w:rsid w:val="0027321E"/>
    <w:rsid w:val="002733CD"/>
    <w:rsid w:val="002734DC"/>
    <w:rsid w:val="002735AA"/>
    <w:rsid w:val="002735C7"/>
    <w:rsid w:val="0027369B"/>
    <w:rsid w:val="002737D9"/>
    <w:rsid w:val="00273906"/>
    <w:rsid w:val="00273B74"/>
    <w:rsid w:val="00273BF5"/>
    <w:rsid w:val="00273DD8"/>
    <w:rsid w:val="00273E1F"/>
    <w:rsid w:val="00273EC0"/>
    <w:rsid w:val="002742A7"/>
    <w:rsid w:val="00274390"/>
    <w:rsid w:val="002743B4"/>
    <w:rsid w:val="002743DC"/>
    <w:rsid w:val="0027444A"/>
    <w:rsid w:val="00274487"/>
    <w:rsid w:val="00274AA3"/>
    <w:rsid w:val="00274B12"/>
    <w:rsid w:val="00274C94"/>
    <w:rsid w:val="00274EA7"/>
    <w:rsid w:val="00275336"/>
    <w:rsid w:val="0027539C"/>
    <w:rsid w:val="002753F3"/>
    <w:rsid w:val="002754F8"/>
    <w:rsid w:val="0027559F"/>
    <w:rsid w:val="0027569F"/>
    <w:rsid w:val="00275757"/>
    <w:rsid w:val="00275820"/>
    <w:rsid w:val="00275BE0"/>
    <w:rsid w:val="00275C4B"/>
    <w:rsid w:val="00275DC3"/>
    <w:rsid w:val="0027607C"/>
    <w:rsid w:val="00276254"/>
    <w:rsid w:val="00276493"/>
    <w:rsid w:val="00276554"/>
    <w:rsid w:val="00276856"/>
    <w:rsid w:val="00276ABE"/>
    <w:rsid w:val="00276D58"/>
    <w:rsid w:val="00276DED"/>
    <w:rsid w:val="00276EC8"/>
    <w:rsid w:val="00276EFD"/>
    <w:rsid w:val="00277262"/>
    <w:rsid w:val="002772F7"/>
    <w:rsid w:val="00277382"/>
    <w:rsid w:val="00277464"/>
    <w:rsid w:val="00277639"/>
    <w:rsid w:val="0027783D"/>
    <w:rsid w:val="00277971"/>
    <w:rsid w:val="00277A90"/>
    <w:rsid w:val="00277B94"/>
    <w:rsid w:val="00277BCA"/>
    <w:rsid w:val="00277C4F"/>
    <w:rsid w:val="00277CDC"/>
    <w:rsid w:val="00277D29"/>
    <w:rsid w:val="00277D58"/>
    <w:rsid w:val="00277D88"/>
    <w:rsid w:val="00277DC4"/>
    <w:rsid w:val="00277E1D"/>
    <w:rsid w:val="00277E38"/>
    <w:rsid w:val="0028045B"/>
    <w:rsid w:val="00280532"/>
    <w:rsid w:val="00280645"/>
    <w:rsid w:val="002807DB"/>
    <w:rsid w:val="002807F4"/>
    <w:rsid w:val="002808E4"/>
    <w:rsid w:val="00280ABD"/>
    <w:rsid w:val="00280B32"/>
    <w:rsid w:val="00280CC3"/>
    <w:rsid w:val="00280DB0"/>
    <w:rsid w:val="002810FB"/>
    <w:rsid w:val="00281200"/>
    <w:rsid w:val="002812C5"/>
    <w:rsid w:val="00281461"/>
    <w:rsid w:val="002814BC"/>
    <w:rsid w:val="00281551"/>
    <w:rsid w:val="00281576"/>
    <w:rsid w:val="00281635"/>
    <w:rsid w:val="00281732"/>
    <w:rsid w:val="0028186E"/>
    <w:rsid w:val="00281A6F"/>
    <w:rsid w:val="00281F37"/>
    <w:rsid w:val="00281F8D"/>
    <w:rsid w:val="00282162"/>
    <w:rsid w:val="002822D4"/>
    <w:rsid w:val="002825F3"/>
    <w:rsid w:val="0028267E"/>
    <w:rsid w:val="00282790"/>
    <w:rsid w:val="002827DC"/>
    <w:rsid w:val="0028290A"/>
    <w:rsid w:val="00282960"/>
    <w:rsid w:val="00282D03"/>
    <w:rsid w:val="00282D24"/>
    <w:rsid w:val="00282D86"/>
    <w:rsid w:val="00282E85"/>
    <w:rsid w:val="00283452"/>
    <w:rsid w:val="002834B0"/>
    <w:rsid w:val="002835F4"/>
    <w:rsid w:val="00283636"/>
    <w:rsid w:val="00283698"/>
    <w:rsid w:val="0028371E"/>
    <w:rsid w:val="002837E8"/>
    <w:rsid w:val="00283890"/>
    <w:rsid w:val="002838F6"/>
    <w:rsid w:val="0028392B"/>
    <w:rsid w:val="0028396B"/>
    <w:rsid w:val="00283BC1"/>
    <w:rsid w:val="00283F8E"/>
    <w:rsid w:val="002840CA"/>
    <w:rsid w:val="0028447E"/>
    <w:rsid w:val="002846BD"/>
    <w:rsid w:val="00284933"/>
    <w:rsid w:val="002849F8"/>
    <w:rsid w:val="00284D55"/>
    <w:rsid w:val="00284DD5"/>
    <w:rsid w:val="00284DE3"/>
    <w:rsid w:val="00284F7E"/>
    <w:rsid w:val="00285195"/>
    <w:rsid w:val="002851AA"/>
    <w:rsid w:val="0028558C"/>
    <w:rsid w:val="002857E5"/>
    <w:rsid w:val="00285996"/>
    <w:rsid w:val="002859FC"/>
    <w:rsid w:val="00285D97"/>
    <w:rsid w:val="00285FB0"/>
    <w:rsid w:val="00285FEB"/>
    <w:rsid w:val="0028608B"/>
    <w:rsid w:val="00286173"/>
    <w:rsid w:val="002861AC"/>
    <w:rsid w:val="00286324"/>
    <w:rsid w:val="002864AD"/>
    <w:rsid w:val="0028681F"/>
    <w:rsid w:val="00286B04"/>
    <w:rsid w:val="00286C8C"/>
    <w:rsid w:val="00286CA7"/>
    <w:rsid w:val="00286E59"/>
    <w:rsid w:val="00286F3C"/>
    <w:rsid w:val="002871A6"/>
    <w:rsid w:val="002871ED"/>
    <w:rsid w:val="0028782B"/>
    <w:rsid w:val="00287959"/>
    <w:rsid w:val="00287AC4"/>
    <w:rsid w:val="00287D9C"/>
    <w:rsid w:val="00290330"/>
    <w:rsid w:val="0029045E"/>
    <w:rsid w:val="00290506"/>
    <w:rsid w:val="00290510"/>
    <w:rsid w:val="0029076F"/>
    <w:rsid w:val="0029094C"/>
    <w:rsid w:val="00290ACA"/>
    <w:rsid w:val="00290B1C"/>
    <w:rsid w:val="00290B56"/>
    <w:rsid w:val="00290CC4"/>
    <w:rsid w:val="00290F7B"/>
    <w:rsid w:val="00290FCE"/>
    <w:rsid w:val="0029130C"/>
    <w:rsid w:val="002913D3"/>
    <w:rsid w:val="002913DF"/>
    <w:rsid w:val="002913E9"/>
    <w:rsid w:val="00291432"/>
    <w:rsid w:val="00291576"/>
    <w:rsid w:val="00291954"/>
    <w:rsid w:val="0029198B"/>
    <w:rsid w:val="00291AE7"/>
    <w:rsid w:val="00291CAA"/>
    <w:rsid w:val="00291D54"/>
    <w:rsid w:val="00291DDA"/>
    <w:rsid w:val="00291E03"/>
    <w:rsid w:val="00291E10"/>
    <w:rsid w:val="00291F20"/>
    <w:rsid w:val="00291F6D"/>
    <w:rsid w:val="002920D4"/>
    <w:rsid w:val="002921AA"/>
    <w:rsid w:val="00292200"/>
    <w:rsid w:val="0029230E"/>
    <w:rsid w:val="00292415"/>
    <w:rsid w:val="002924A8"/>
    <w:rsid w:val="002924AB"/>
    <w:rsid w:val="00292724"/>
    <w:rsid w:val="002928EC"/>
    <w:rsid w:val="0029291F"/>
    <w:rsid w:val="00292B03"/>
    <w:rsid w:val="00292C1E"/>
    <w:rsid w:val="00292CA5"/>
    <w:rsid w:val="00292CD8"/>
    <w:rsid w:val="00292DDF"/>
    <w:rsid w:val="002932E6"/>
    <w:rsid w:val="002934CC"/>
    <w:rsid w:val="00293747"/>
    <w:rsid w:val="0029386D"/>
    <w:rsid w:val="00293A7C"/>
    <w:rsid w:val="00293DB4"/>
    <w:rsid w:val="00293E46"/>
    <w:rsid w:val="00293FF6"/>
    <w:rsid w:val="0029437F"/>
    <w:rsid w:val="002944CC"/>
    <w:rsid w:val="00294666"/>
    <w:rsid w:val="00294731"/>
    <w:rsid w:val="00294878"/>
    <w:rsid w:val="00294A81"/>
    <w:rsid w:val="00294B6D"/>
    <w:rsid w:val="00294C8F"/>
    <w:rsid w:val="002951CB"/>
    <w:rsid w:val="00295225"/>
    <w:rsid w:val="002952B1"/>
    <w:rsid w:val="002954F9"/>
    <w:rsid w:val="00295D73"/>
    <w:rsid w:val="00295E3E"/>
    <w:rsid w:val="00295E40"/>
    <w:rsid w:val="00295F39"/>
    <w:rsid w:val="0029621C"/>
    <w:rsid w:val="00296250"/>
    <w:rsid w:val="00296330"/>
    <w:rsid w:val="002963EC"/>
    <w:rsid w:val="00296408"/>
    <w:rsid w:val="002964CD"/>
    <w:rsid w:val="00296725"/>
    <w:rsid w:val="00296934"/>
    <w:rsid w:val="00296935"/>
    <w:rsid w:val="00296E33"/>
    <w:rsid w:val="002972FD"/>
    <w:rsid w:val="002978CD"/>
    <w:rsid w:val="00297952"/>
    <w:rsid w:val="00297970"/>
    <w:rsid w:val="0029799B"/>
    <w:rsid w:val="00297A0D"/>
    <w:rsid w:val="00297A60"/>
    <w:rsid w:val="00297EA6"/>
    <w:rsid w:val="002A019C"/>
    <w:rsid w:val="002A0286"/>
    <w:rsid w:val="002A041C"/>
    <w:rsid w:val="002A05AA"/>
    <w:rsid w:val="002A0656"/>
    <w:rsid w:val="002A068B"/>
    <w:rsid w:val="002A073A"/>
    <w:rsid w:val="002A0928"/>
    <w:rsid w:val="002A0E2B"/>
    <w:rsid w:val="002A0F45"/>
    <w:rsid w:val="002A134D"/>
    <w:rsid w:val="002A13A2"/>
    <w:rsid w:val="002A13F5"/>
    <w:rsid w:val="002A1801"/>
    <w:rsid w:val="002A1929"/>
    <w:rsid w:val="002A1D29"/>
    <w:rsid w:val="002A1E9B"/>
    <w:rsid w:val="002A1FD4"/>
    <w:rsid w:val="002A2311"/>
    <w:rsid w:val="002A23DB"/>
    <w:rsid w:val="002A25E0"/>
    <w:rsid w:val="002A2866"/>
    <w:rsid w:val="002A293A"/>
    <w:rsid w:val="002A2A3F"/>
    <w:rsid w:val="002A2E23"/>
    <w:rsid w:val="002A2F37"/>
    <w:rsid w:val="002A2FC1"/>
    <w:rsid w:val="002A2FF1"/>
    <w:rsid w:val="002A2FF2"/>
    <w:rsid w:val="002A319E"/>
    <w:rsid w:val="002A31B7"/>
    <w:rsid w:val="002A3249"/>
    <w:rsid w:val="002A33BB"/>
    <w:rsid w:val="002A3569"/>
    <w:rsid w:val="002A3590"/>
    <w:rsid w:val="002A38BF"/>
    <w:rsid w:val="002A392C"/>
    <w:rsid w:val="002A3A29"/>
    <w:rsid w:val="002A3C01"/>
    <w:rsid w:val="002A3C2A"/>
    <w:rsid w:val="002A3CB2"/>
    <w:rsid w:val="002A3DD4"/>
    <w:rsid w:val="002A3E80"/>
    <w:rsid w:val="002A40B2"/>
    <w:rsid w:val="002A420D"/>
    <w:rsid w:val="002A447B"/>
    <w:rsid w:val="002A47E2"/>
    <w:rsid w:val="002A4860"/>
    <w:rsid w:val="002A4929"/>
    <w:rsid w:val="002A4972"/>
    <w:rsid w:val="002A49B4"/>
    <w:rsid w:val="002A4A7E"/>
    <w:rsid w:val="002A4B59"/>
    <w:rsid w:val="002A4C59"/>
    <w:rsid w:val="002A4E7E"/>
    <w:rsid w:val="002A50F4"/>
    <w:rsid w:val="002A53EF"/>
    <w:rsid w:val="002A5593"/>
    <w:rsid w:val="002A55D5"/>
    <w:rsid w:val="002A56C4"/>
    <w:rsid w:val="002A5756"/>
    <w:rsid w:val="002A5D6C"/>
    <w:rsid w:val="002A5DA7"/>
    <w:rsid w:val="002A5DCD"/>
    <w:rsid w:val="002A5DF1"/>
    <w:rsid w:val="002A5E3E"/>
    <w:rsid w:val="002A5E85"/>
    <w:rsid w:val="002A5FB1"/>
    <w:rsid w:val="002A61E3"/>
    <w:rsid w:val="002A627C"/>
    <w:rsid w:val="002A64A9"/>
    <w:rsid w:val="002A6576"/>
    <w:rsid w:val="002A6666"/>
    <w:rsid w:val="002A6798"/>
    <w:rsid w:val="002A6885"/>
    <w:rsid w:val="002A6890"/>
    <w:rsid w:val="002A6A4E"/>
    <w:rsid w:val="002A6B81"/>
    <w:rsid w:val="002A6B99"/>
    <w:rsid w:val="002A6D1A"/>
    <w:rsid w:val="002A6DFE"/>
    <w:rsid w:val="002A6F6E"/>
    <w:rsid w:val="002A70AE"/>
    <w:rsid w:val="002A70E9"/>
    <w:rsid w:val="002A71F4"/>
    <w:rsid w:val="002A729A"/>
    <w:rsid w:val="002A7709"/>
    <w:rsid w:val="002A78F7"/>
    <w:rsid w:val="002A7940"/>
    <w:rsid w:val="002A7986"/>
    <w:rsid w:val="002A7A36"/>
    <w:rsid w:val="002A7C2B"/>
    <w:rsid w:val="002A7C34"/>
    <w:rsid w:val="002A7DA7"/>
    <w:rsid w:val="002A7DCC"/>
    <w:rsid w:val="002A7E43"/>
    <w:rsid w:val="002A7E47"/>
    <w:rsid w:val="002B0097"/>
    <w:rsid w:val="002B00AD"/>
    <w:rsid w:val="002B00B2"/>
    <w:rsid w:val="002B03F2"/>
    <w:rsid w:val="002B0656"/>
    <w:rsid w:val="002B07F3"/>
    <w:rsid w:val="002B0889"/>
    <w:rsid w:val="002B0937"/>
    <w:rsid w:val="002B0AA0"/>
    <w:rsid w:val="002B0F94"/>
    <w:rsid w:val="002B10EB"/>
    <w:rsid w:val="002B10FA"/>
    <w:rsid w:val="002B11C5"/>
    <w:rsid w:val="002B1224"/>
    <w:rsid w:val="002B1240"/>
    <w:rsid w:val="002B124E"/>
    <w:rsid w:val="002B1355"/>
    <w:rsid w:val="002B16E3"/>
    <w:rsid w:val="002B1D10"/>
    <w:rsid w:val="002B1D85"/>
    <w:rsid w:val="002B1DD3"/>
    <w:rsid w:val="002B1E0D"/>
    <w:rsid w:val="002B1FC0"/>
    <w:rsid w:val="002B2176"/>
    <w:rsid w:val="002B227C"/>
    <w:rsid w:val="002B233F"/>
    <w:rsid w:val="002B24CA"/>
    <w:rsid w:val="002B265D"/>
    <w:rsid w:val="002B2991"/>
    <w:rsid w:val="002B2CA6"/>
    <w:rsid w:val="002B2DF2"/>
    <w:rsid w:val="002B2EC6"/>
    <w:rsid w:val="002B2F08"/>
    <w:rsid w:val="002B2FDB"/>
    <w:rsid w:val="002B30E8"/>
    <w:rsid w:val="002B31D0"/>
    <w:rsid w:val="002B3407"/>
    <w:rsid w:val="002B3851"/>
    <w:rsid w:val="002B3892"/>
    <w:rsid w:val="002B3A6E"/>
    <w:rsid w:val="002B3A99"/>
    <w:rsid w:val="002B3CBC"/>
    <w:rsid w:val="002B3D27"/>
    <w:rsid w:val="002B3EBF"/>
    <w:rsid w:val="002B41EB"/>
    <w:rsid w:val="002B455F"/>
    <w:rsid w:val="002B47AB"/>
    <w:rsid w:val="002B4BB3"/>
    <w:rsid w:val="002B4F45"/>
    <w:rsid w:val="002B4FC5"/>
    <w:rsid w:val="002B5366"/>
    <w:rsid w:val="002B53B9"/>
    <w:rsid w:val="002B53C5"/>
    <w:rsid w:val="002B55AB"/>
    <w:rsid w:val="002B5718"/>
    <w:rsid w:val="002B58DE"/>
    <w:rsid w:val="002B5EA6"/>
    <w:rsid w:val="002B5F05"/>
    <w:rsid w:val="002B605F"/>
    <w:rsid w:val="002B6095"/>
    <w:rsid w:val="002B60B1"/>
    <w:rsid w:val="002B6141"/>
    <w:rsid w:val="002B62E0"/>
    <w:rsid w:val="002B633F"/>
    <w:rsid w:val="002B657D"/>
    <w:rsid w:val="002B66D9"/>
    <w:rsid w:val="002B691A"/>
    <w:rsid w:val="002B6958"/>
    <w:rsid w:val="002B698C"/>
    <w:rsid w:val="002B69DD"/>
    <w:rsid w:val="002B6A08"/>
    <w:rsid w:val="002B6A75"/>
    <w:rsid w:val="002B6B22"/>
    <w:rsid w:val="002B6CCD"/>
    <w:rsid w:val="002B6D52"/>
    <w:rsid w:val="002B71B9"/>
    <w:rsid w:val="002B71D6"/>
    <w:rsid w:val="002B71FC"/>
    <w:rsid w:val="002B722C"/>
    <w:rsid w:val="002B7568"/>
    <w:rsid w:val="002B7688"/>
    <w:rsid w:val="002B7750"/>
    <w:rsid w:val="002B7772"/>
    <w:rsid w:val="002B7A22"/>
    <w:rsid w:val="002B7C06"/>
    <w:rsid w:val="002C0027"/>
    <w:rsid w:val="002C0307"/>
    <w:rsid w:val="002C0376"/>
    <w:rsid w:val="002C054B"/>
    <w:rsid w:val="002C08D2"/>
    <w:rsid w:val="002C0A16"/>
    <w:rsid w:val="002C0AE5"/>
    <w:rsid w:val="002C0C73"/>
    <w:rsid w:val="002C0DF7"/>
    <w:rsid w:val="002C0E55"/>
    <w:rsid w:val="002C0EE9"/>
    <w:rsid w:val="002C1344"/>
    <w:rsid w:val="002C13DF"/>
    <w:rsid w:val="002C1416"/>
    <w:rsid w:val="002C156F"/>
    <w:rsid w:val="002C1812"/>
    <w:rsid w:val="002C1A34"/>
    <w:rsid w:val="002C1A82"/>
    <w:rsid w:val="002C1BC2"/>
    <w:rsid w:val="002C1C90"/>
    <w:rsid w:val="002C1C98"/>
    <w:rsid w:val="002C1D68"/>
    <w:rsid w:val="002C1E16"/>
    <w:rsid w:val="002C1F07"/>
    <w:rsid w:val="002C21FA"/>
    <w:rsid w:val="002C2247"/>
    <w:rsid w:val="002C26FD"/>
    <w:rsid w:val="002C2792"/>
    <w:rsid w:val="002C27B4"/>
    <w:rsid w:val="002C2859"/>
    <w:rsid w:val="002C2C59"/>
    <w:rsid w:val="002C2CDB"/>
    <w:rsid w:val="002C2F16"/>
    <w:rsid w:val="002C2F2D"/>
    <w:rsid w:val="002C32F1"/>
    <w:rsid w:val="002C333A"/>
    <w:rsid w:val="002C3473"/>
    <w:rsid w:val="002C34F6"/>
    <w:rsid w:val="002C35EF"/>
    <w:rsid w:val="002C376A"/>
    <w:rsid w:val="002C3A56"/>
    <w:rsid w:val="002C3A9A"/>
    <w:rsid w:val="002C3E49"/>
    <w:rsid w:val="002C3EA8"/>
    <w:rsid w:val="002C3F4C"/>
    <w:rsid w:val="002C414B"/>
    <w:rsid w:val="002C425B"/>
    <w:rsid w:val="002C4416"/>
    <w:rsid w:val="002C44E1"/>
    <w:rsid w:val="002C4530"/>
    <w:rsid w:val="002C458F"/>
    <w:rsid w:val="002C4641"/>
    <w:rsid w:val="002C474C"/>
    <w:rsid w:val="002C482D"/>
    <w:rsid w:val="002C4891"/>
    <w:rsid w:val="002C48C8"/>
    <w:rsid w:val="002C49EB"/>
    <w:rsid w:val="002C4C23"/>
    <w:rsid w:val="002C4CAE"/>
    <w:rsid w:val="002C569E"/>
    <w:rsid w:val="002C574F"/>
    <w:rsid w:val="002C5B0C"/>
    <w:rsid w:val="002C5B94"/>
    <w:rsid w:val="002C5E1E"/>
    <w:rsid w:val="002C5F5E"/>
    <w:rsid w:val="002C5F72"/>
    <w:rsid w:val="002C616A"/>
    <w:rsid w:val="002C62EA"/>
    <w:rsid w:val="002C648A"/>
    <w:rsid w:val="002C6847"/>
    <w:rsid w:val="002C6A33"/>
    <w:rsid w:val="002C6BC0"/>
    <w:rsid w:val="002C6C54"/>
    <w:rsid w:val="002C6DDB"/>
    <w:rsid w:val="002C713F"/>
    <w:rsid w:val="002C748B"/>
    <w:rsid w:val="002C749A"/>
    <w:rsid w:val="002C74C4"/>
    <w:rsid w:val="002C74C5"/>
    <w:rsid w:val="002C75FA"/>
    <w:rsid w:val="002C7975"/>
    <w:rsid w:val="002C79D9"/>
    <w:rsid w:val="002C7A09"/>
    <w:rsid w:val="002C7BC3"/>
    <w:rsid w:val="002C7CF3"/>
    <w:rsid w:val="002C7DAE"/>
    <w:rsid w:val="002C7E65"/>
    <w:rsid w:val="002C7E95"/>
    <w:rsid w:val="002D0167"/>
    <w:rsid w:val="002D0337"/>
    <w:rsid w:val="002D04B0"/>
    <w:rsid w:val="002D0CDE"/>
    <w:rsid w:val="002D0D0D"/>
    <w:rsid w:val="002D1132"/>
    <w:rsid w:val="002D113E"/>
    <w:rsid w:val="002D1178"/>
    <w:rsid w:val="002D13EA"/>
    <w:rsid w:val="002D150D"/>
    <w:rsid w:val="002D15C0"/>
    <w:rsid w:val="002D17F4"/>
    <w:rsid w:val="002D18C5"/>
    <w:rsid w:val="002D1D96"/>
    <w:rsid w:val="002D1E0D"/>
    <w:rsid w:val="002D1FE9"/>
    <w:rsid w:val="002D23BC"/>
    <w:rsid w:val="002D23E7"/>
    <w:rsid w:val="002D24E6"/>
    <w:rsid w:val="002D2699"/>
    <w:rsid w:val="002D2732"/>
    <w:rsid w:val="002D27B9"/>
    <w:rsid w:val="002D2A77"/>
    <w:rsid w:val="002D2D67"/>
    <w:rsid w:val="002D2DA1"/>
    <w:rsid w:val="002D2E66"/>
    <w:rsid w:val="002D2F06"/>
    <w:rsid w:val="002D30CB"/>
    <w:rsid w:val="002D3149"/>
    <w:rsid w:val="002D3247"/>
    <w:rsid w:val="002D352B"/>
    <w:rsid w:val="002D375D"/>
    <w:rsid w:val="002D37F6"/>
    <w:rsid w:val="002D3BD9"/>
    <w:rsid w:val="002D3C0B"/>
    <w:rsid w:val="002D3D49"/>
    <w:rsid w:val="002D3E29"/>
    <w:rsid w:val="002D41C7"/>
    <w:rsid w:val="002D4217"/>
    <w:rsid w:val="002D421E"/>
    <w:rsid w:val="002D4229"/>
    <w:rsid w:val="002D4275"/>
    <w:rsid w:val="002D4361"/>
    <w:rsid w:val="002D4401"/>
    <w:rsid w:val="002D45F2"/>
    <w:rsid w:val="002D466E"/>
    <w:rsid w:val="002D4876"/>
    <w:rsid w:val="002D488D"/>
    <w:rsid w:val="002D48A4"/>
    <w:rsid w:val="002D4A54"/>
    <w:rsid w:val="002D4ACC"/>
    <w:rsid w:val="002D4D55"/>
    <w:rsid w:val="002D4DE4"/>
    <w:rsid w:val="002D4E08"/>
    <w:rsid w:val="002D4E35"/>
    <w:rsid w:val="002D5004"/>
    <w:rsid w:val="002D5129"/>
    <w:rsid w:val="002D512B"/>
    <w:rsid w:val="002D52E2"/>
    <w:rsid w:val="002D533B"/>
    <w:rsid w:val="002D5859"/>
    <w:rsid w:val="002D5A5F"/>
    <w:rsid w:val="002D5A61"/>
    <w:rsid w:val="002D5B20"/>
    <w:rsid w:val="002D5C00"/>
    <w:rsid w:val="002D5E5A"/>
    <w:rsid w:val="002D5F93"/>
    <w:rsid w:val="002D6112"/>
    <w:rsid w:val="002D6233"/>
    <w:rsid w:val="002D6261"/>
    <w:rsid w:val="002D62C5"/>
    <w:rsid w:val="002D62F3"/>
    <w:rsid w:val="002D63C0"/>
    <w:rsid w:val="002D6526"/>
    <w:rsid w:val="002D6713"/>
    <w:rsid w:val="002D6935"/>
    <w:rsid w:val="002D6E93"/>
    <w:rsid w:val="002D6EBF"/>
    <w:rsid w:val="002D700D"/>
    <w:rsid w:val="002D712C"/>
    <w:rsid w:val="002D729C"/>
    <w:rsid w:val="002D74D5"/>
    <w:rsid w:val="002D7909"/>
    <w:rsid w:val="002D792D"/>
    <w:rsid w:val="002D7AA8"/>
    <w:rsid w:val="002D7B3E"/>
    <w:rsid w:val="002D7B86"/>
    <w:rsid w:val="002D7C28"/>
    <w:rsid w:val="002D7C9E"/>
    <w:rsid w:val="002D7D13"/>
    <w:rsid w:val="002D7EA4"/>
    <w:rsid w:val="002D7F15"/>
    <w:rsid w:val="002E0246"/>
    <w:rsid w:val="002E02B3"/>
    <w:rsid w:val="002E03E6"/>
    <w:rsid w:val="002E050B"/>
    <w:rsid w:val="002E0532"/>
    <w:rsid w:val="002E06DF"/>
    <w:rsid w:val="002E0AA7"/>
    <w:rsid w:val="002E0B55"/>
    <w:rsid w:val="002E0B7F"/>
    <w:rsid w:val="002E0BC2"/>
    <w:rsid w:val="002E0D9F"/>
    <w:rsid w:val="002E0E49"/>
    <w:rsid w:val="002E0EC6"/>
    <w:rsid w:val="002E0EE1"/>
    <w:rsid w:val="002E10F0"/>
    <w:rsid w:val="002E12CC"/>
    <w:rsid w:val="002E14C5"/>
    <w:rsid w:val="002E16F4"/>
    <w:rsid w:val="002E17EB"/>
    <w:rsid w:val="002E1992"/>
    <w:rsid w:val="002E1B15"/>
    <w:rsid w:val="002E1BEF"/>
    <w:rsid w:val="002E1C1F"/>
    <w:rsid w:val="002E2108"/>
    <w:rsid w:val="002E2220"/>
    <w:rsid w:val="002E2299"/>
    <w:rsid w:val="002E2436"/>
    <w:rsid w:val="002E24B2"/>
    <w:rsid w:val="002E24BE"/>
    <w:rsid w:val="002E2597"/>
    <w:rsid w:val="002E25CB"/>
    <w:rsid w:val="002E2B34"/>
    <w:rsid w:val="002E2B87"/>
    <w:rsid w:val="002E2C1A"/>
    <w:rsid w:val="002E2D9D"/>
    <w:rsid w:val="002E2EF7"/>
    <w:rsid w:val="002E2FEE"/>
    <w:rsid w:val="002E32AE"/>
    <w:rsid w:val="002E32CE"/>
    <w:rsid w:val="002E342B"/>
    <w:rsid w:val="002E3459"/>
    <w:rsid w:val="002E355B"/>
    <w:rsid w:val="002E35A8"/>
    <w:rsid w:val="002E3710"/>
    <w:rsid w:val="002E39AE"/>
    <w:rsid w:val="002E3A78"/>
    <w:rsid w:val="002E3B47"/>
    <w:rsid w:val="002E3C9F"/>
    <w:rsid w:val="002E3D43"/>
    <w:rsid w:val="002E3EE3"/>
    <w:rsid w:val="002E3F2A"/>
    <w:rsid w:val="002E3FD1"/>
    <w:rsid w:val="002E3FD8"/>
    <w:rsid w:val="002E4144"/>
    <w:rsid w:val="002E42E9"/>
    <w:rsid w:val="002E4329"/>
    <w:rsid w:val="002E4376"/>
    <w:rsid w:val="002E4512"/>
    <w:rsid w:val="002E4591"/>
    <w:rsid w:val="002E4672"/>
    <w:rsid w:val="002E4689"/>
    <w:rsid w:val="002E4856"/>
    <w:rsid w:val="002E4863"/>
    <w:rsid w:val="002E48A1"/>
    <w:rsid w:val="002E48FA"/>
    <w:rsid w:val="002E4ACC"/>
    <w:rsid w:val="002E4CB2"/>
    <w:rsid w:val="002E4E11"/>
    <w:rsid w:val="002E4E8E"/>
    <w:rsid w:val="002E4E98"/>
    <w:rsid w:val="002E4FD8"/>
    <w:rsid w:val="002E5031"/>
    <w:rsid w:val="002E504F"/>
    <w:rsid w:val="002E5147"/>
    <w:rsid w:val="002E537B"/>
    <w:rsid w:val="002E54AF"/>
    <w:rsid w:val="002E54BD"/>
    <w:rsid w:val="002E57EA"/>
    <w:rsid w:val="002E5D51"/>
    <w:rsid w:val="002E64DB"/>
    <w:rsid w:val="002E66AD"/>
    <w:rsid w:val="002E69A0"/>
    <w:rsid w:val="002E6A64"/>
    <w:rsid w:val="002E6B15"/>
    <w:rsid w:val="002E6BEB"/>
    <w:rsid w:val="002E6CD4"/>
    <w:rsid w:val="002E6D56"/>
    <w:rsid w:val="002E6DC8"/>
    <w:rsid w:val="002E6F6B"/>
    <w:rsid w:val="002E6F9F"/>
    <w:rsid w:val="002E707F"/>
    <w:rsid w:val="002E71A8"/>
    <w:rsid w:val="002E71BD"/>
    <w:rsid w:val="002E7383"/>
    <w:rsid w:val="002E740D"/>
    <w:rsid w:val="002E7673"/>
    <w:rsid w:val="002E767D"/>
    <w:rsid w:val="002E78A2"/>
    <w:rsid w:val="002E798D"/>
    <w:rsid w:val="002E7A02"/>
    <w:rsid w:val="002E7C9F"/>
    <w:rsid w:val="002E7E11"/>
    <w:rsid w:val="002E7EB2"/>
    <w:rsid w:val="002E7FB3"/>
    <w:rsid w:val="002F00BA"/>
    <w:rsid w:val="002F00BC"/>
    <w:rsid w:val="002F00EF"/>
    <w:rsid w:val="002F02DD"/>
    <w:rsid w:val="002F0587"/>
    <w:rsid w:val="002F05BA"/>
    <w:rsid w:val="002F06A1"/>
    <w:rsid w:val="002F0935"/>
    <w:rsid w:val="002F0B3A"/>
    <w:rsid w:val="002F0E2B"/>
    <w:rsid w:val="002F0F36"/>
    <w:rsid w:val="002F0FA6"/>
    <w:rsid w:val="002F105C"/>
    <w:rsid w:val="002F11CC"/>
    <w:rsid w:val="002F1330"/>
    <w:rsid w:val="002F15D2"/>
    <w:rsid w:val="002F169F"/>
    <w:rsid w:val="002F16EF"/>
    <w:rsid w:val="002F1789"/>
    <w:rsid w:val="002F17C9"/>
    <w:rsid w:val="002F184D"/>
    <w:rsid w:val="002F1A48"/>
    <w:rsid w:val="002F1BED"/>
    <w:rsid w:val="002F1FCA"/>
    <w:rsid w:val="002F21BC"/>
    <w:rsid w:val="002F24A7"/>
    <w:rsid w:val="002F2C37"/>
    <w:rsid w:val="002F2E40"/>
    <w:rsid w:val="002F318C"/>
    <w:rsid w:val="002F35A0"/>
    <w:rsid w:val="002F35D0"/>
    <w:rsid w:val="002F379F"/>
    <w:rsid w:val="002F3B4C"/>
    <w:rsid w:val="002F3B56"/>
    <w:rsid w:val="002F3B5F"/>
    <w:rsid w:val="002F3C3E"/>
    <w:rsid w:val="002F3DB2"/>
    <w:rsid w:val="002F3DBF"/>
    <w:rsid w:val="002F3FC5"/>
    <w:rsid w:val="002F4058"/>
    <w:rsid w:val="002F4325"/>
    <w:rsid w:val="002F438E"/>
    <w:rsid w:val="002F4514"/>
    <w:rsid w:val="002F45BF"/>
    <w:rsid w:val="002F4B37"/>
    <w:rsid w:val="002F4D4F"/>
    <w:rsid w:val="002F4DF2"/>
    <w:rsid w:val="002F4F0D"/>
    <w:rsid w:val="002F515B"/>
    <w:rsid w:val="002F555E"/>
    <w:rsid w:val="002F5689"/>
    <w:rsid w:val="002F5872"/>
    <w:rsid w:val="002F59DF"/>
    <w:rsid w:val="002F5A1F"/>
    <w:rsid w:val="002F5A40"/>
    <w:rsid w:val="002F5C06"/>
    <w:rsid w:val="002F5C74"/>
    <w:rsid w:val="002F5CE3"/>
    <w:rsid w:val="002F5DC9"/>
    <w:rsid w:val="002F5E07"/>
    <w:rsid w:val="002F5E17"/>
    <w:rsid w:val="002F5F66"/>
    <w:rsid w:val="002F5F9C"/>
    <w:rsid w:val="002F6194"/>
    <w:rsid w:val="002F619B"/>
    <w:rsid w:val="002F63D3"/>
    <w:rsid w:val="002F661F"/>
    <w:rsid w:val="002F6718"/>
    <w:rsid w:val="002F68AA"/>
    <w:rsid w:val="002F68D0"/>
    <w:rsid w:val="002F69E7"/>
    <w:rsid w:val="002F6A78"/>
    <w:rsid w:val="002F6D13"/>
    <w:rsid w:val="002F6D90"/>
    <w:rsid w:val="002F6F33"/>
    <w:rsid w:val="002F70E6"/>
    <w:rsid w:val="002F718E"/>
    <w:rsid w:val="002F71F0"/>
    <w:rsid w:val="002F7229"/>
    <w:rsid w:val="002F7502"/>
    <w:rsid w:val="002F7527"/>
    <w:rsid w:val="002F75F4"/>
    <w:rsid w:val="002F771A"/>
    <w:rsid w:val="002F783A"/>
    <w:rsid w:val="002F78F1"/>
    <w:rsid w:val="002F7ACB"/>
    <w:rsid w:val="002F7C0C"/>
    <w:rsid w:val="002F7D7E"/>
    <w:rsid w:val="0030036A"/>
    <w:rsid w:val="003003C1"/>
    <w:rsid w:val="0030048C"/>
    <w:rsid w:val="003004E1"/>
    <w:rsid w:val="003005D0"/>
    <w:rsid w:val="00300627"/>
    <w:rsid w:val="0030073D"/>
    <w:rsid w:val="003007FF"/>
    <w:rsid w:val="003008E6"/>
    <w:rsid w:val="00300989"/>
    <w:rsid w:val="00300ABC"/>
    <w:rsid w:val="00300C0F"/>
    <w:rsid w:val="00300F8F"/>
    <w:rsid w:val="00301023"/>
    <w:rsid w:val="003010B7"/>
    <w:rsid w:val="0030116A"/>
    <w:rsid w:val="00301267"/>
    <w:rsid w:val="00301521"/>
    <w:rsid w:val="00301646"/>
    <w:rsid w:val="00301702"/>
    <w:rsid w:val="0030177F"/>
    <w:rsid w:val="00301837"/>
    <w:rsid w:val="00301951"/>
    <w:rsid w:val="00301999"/>
    <w:rsid w:val="00301AF4"/>
    <w:rsid w:val="00301B68"/>
    <w:rsid w:val="00301CC6"/>
    <w:rsid w:val="00301FC7"/>
    <w:rsid w:val="003020EE"/>
    <w:rsid w:val="003024DC"/>
    <w:rsid w:val="003025C4"/>
    <w:rsid w:val="003026C4"/>
    <w:rsid w:val="00302774"/>
    <w:rsid w:val="003027F5"/>
    <w:rsid w:val="00302881"/>
    <w:rsid w:val="00302890"/>
    <w:rsid w:val="00302CBC"/>
    <w:rsid w:val="00302F53"/>
    <w:rsid w:val="003030E4"/>
    <w:rsid w:val="003031C9"/>
    <w:rsid w:val="00303369"/>
    <w:rsid w:val="003034DB"/>
    <w:rsid w:val="0030368C"/>
    <w:rsid w:val="00303944"/>
    <w:rsid w:val="003039B4"/>
    <w:rsid w:val="00303A05"/>
    <w:rsid w:val="00303A0C"/>
    <w:rsid w:val="00303A3C"/>
    <w:rsid w:val="00303ADF"/>
    <w:rsid w:val="00303AED"/>
    <w:rsid w:val="00303B8A"/>
    <w:rsid w:val="00303C62"/>
    <w:rsid w:val="00303ED0"/>
    <w:rsid w:val="00303F5E"/>
    <w:rsid w:val="00303FCE"/>
    <w:rsid w:val="003040AF"/>
    <w:rsid w:val="003040C6"/>
    <w:rsid w:val="003041A5"/>
    <w:rsid w:val="0030426B"/>
    <w:rsid w:val="0030447E"/>
    <w:rsid w:val="003044D2"/>
    <w:rsid w:val="00304797"/>
    <w:rsid w:val="003047EF"/>
    <w:rsid w:val="0030481F"/>
    <w:rsid w:val="0030489B"/>
    <w:rsid w:val="0030498D"/>
    <w:rsid w:val="00304A21"/>
    <w:rsid w:val="00304B07"/>
    <w:rsid w:val="00304CEB"/>
    <w:rsid w:val="00305092"/>
    <w:rsid w:val="00305428"/>
    <w:rsid w:val="003055C4"/>
    <w:rsid w:val="0030583E"/>
    <w:rsid w:val="00305A94"/>
    <w:rsid w:val="00305C8D"/>
    <w:rsid w:val="00305CBF"/>
    <w:rsid w:val="00305D44"/>
    <w:rsid w:val="00305DB2"/>
    <w:rsid w:val="00305E55"/>
    <w:rsid w:val="00305E7C"/>
    <w:rsid w:val="00305EF5"/>
    <w:rsid w:val="00306013"/>
    <w:rsid w:val="003061B9"/>
    <w:rsid w:val="003062EE"/>
    <w:rsid w:val="003065E7"/>
    <w:rsid w:val="003068DA"/>
    <w:rsid w:val="003069FD"/>
    <w:rsid w:val="00306AA8"/>
    <w:rsid w:val="00306BF8"/>
    <w:rsid w:val="00306C5F"/>
    <w:rsid w:val="00306D8B"/>
    <w:rsid w:val="00306E1B"/>
    <w:rsid w:val="00306F4D"/>
    <w:rsid w:val="00306F65"/>
    <w:rsid w:val="00307173"/>
    <w:rsid w:val="003072B9"/>
    <w:rsid w:val="0030754D"/>
    <w:rsid w:val="00307698"/>
    <w:rsid w:val="0030773E"/>
    <w:rsid w:val="0030786D"/>
    <w:rsid w:val="0030799D"/>
    <w:rsid w:val="003079A7"/>
    <w:rsid w:val="00307A22"/>
    <w:rsid w:val="00307A71"/>
    <w:rsid w:val="00307ACB"/>
    <w:rsid w:val="00307F2E"/>
    <w:rsid w:val="003100D6"/>
    <w:rsid w:val="0031016C"/>
    <w:rsid w:val="00310242"/>
    <w:rsid w:val="003108F3"/>
    <w:rsid w:val="00310C3C"/>
    <w:rsid w:val="00310C5D"/>
    <w:rsid w:val="00310D94"/>
    <w:rsid w:val="00310E09"/>
    <w:rsid w:val="00310EE0"/>
    <w:rsid w:val="0031106A"/>
    <w:rsid w:val="003110CC"/>
    <w:rsid w:val="0031114F"/>
    <w:rsid w:val="003111DB"/>
    <w:rsid w:val="003113B9"/>
    <w:rsid w:val="00311533"/>
    <w:rsid w:val="0031171C"/>
    <w:rsid w:val="003119A5"/>
    <w:rsid w:val="003119FE"/>
    <w:rsid w:val="00311F30"/>
    <w:rsid w:val="003121AC"/>
    <w:rsid w:val="00312302"/>
    <w:rsid w:val="00312366"/>
    <w:rsid w:val="003123AB"/>
    <w:rsid w:val="0031245A"/>
    <w:rsid w:val="003127E4"/>
    <w:rsid w:val="003127F6"/>
    <w:rsid w:val="0031282E"/>
    <w:rsid w:val="00312881"/>
    <w:rsid w:val="0031293D"/>
    <w:rsid w:val="00312999"/>
    <w:rsid w:val="00312A65"/>
    <w:rsid w:val="00312B8F"/>
    <w:rsid w:val="00312CE0"/>
    <w:rsid w:val="00312DF3"/>
    <w:rsid w:val="00312EEF"/>
    <w:rsid w:val="00313137"/>
    <w:rsid w:val="003131DE"/>
    <w:rsid w:val="00313786"/>
    <w:rsid w:val="003138A8"/>
    <w:rsid w:val="00313936"/>
    <w:rsid w:val="00313C66"/>
    <w:rsid w:val="00313E35"/>
    <w:rsid w:val="00313F75"/>
    <w:rsid w:val="003143EA"/>
    <w:rsid w:val="00314400"/>
    <w:rsid w:val="00314513"/>
    <w:rsid w:val="0031484D"/>
    <w:rsid w:val="00314A68"/>
    <w:rsid w:val="00314AB8"/>
    <w:rsid w:val="00314B31"/>
    <w:rsid w:val="00314BC4"/>
    <w:rsid w:val="00314C71"/>
    <w:rsid w:val="00314DA1"/>
    <w:rsid w:val="00314E8E"/>
    <w:rsid w:val="003154D7"/>
    <w:rsid w:val="003154F2"/>
    <w:rsid w:val="003154FE"/>
    <w:rsid w:val="003157E0"/>
    <w:rsid w:val="00315A10"/>
    <w:rsid w:val="00315DC4"/>
    <w:rsid w:val="00315ED9"/>
    <w:rsid w:val="00315F82"/>
    <w:rsid w:val="003160A0"/>
    <w:rsid w:val="0031613C"/>
    <w:rsid w:val="00316171"/>
    <w:rsid w:val="0031650C"/>
    <w:rsid w:val="00316772"/>
    <w:rsid w:val="00316BFE"/>
    <w:rsid w:val="00316E8E"/>
    <w:rsid w:val="00316F3E"/>
    <w:rsid w:val="00317071"/>
    <w:rsid w:val="00317117"/>
    <w:rsid w:val="0031711C"/>
    <w:rsid w:val="00317226"/>
    <w:rsid w:val="0031744C"/>
    <w:rsid w:val="00317594"/>
    <w:rsid w:val="003175A3"/>
    <w:rsid w:val="00317641"/>
    <w:rsid w:val="00317749"/>
    <w:rsid w:val="003177B3"/>
    <w:rsid w:val="00317816"/>
    <w:rsid w:val="00317825"/>
    <w:rsid w:val="00317AEE"/>
    <w:rsid w:val="00317B29"/>
    <w:rsid w:val="00317CE4"/>
    <w:rsid w:val="00317D22"/>
    <w:rsid w:val="00317F4A"/>
    <w:rsid w:val="00317F55"/>
    <w:rsid w:val="00320110"/>
    <w:rsid w:val="003202E3"/>
    <w:rsid w:val="00320567"/>
    <w:rsid w:val="0032058D"/>
    <w:rsid w:val="0032059E"/>
    <w:rsid w:val="00320664"/>
    <w:rsid w:val="00320899"/>
    <w:rsid w:val="00320A92"/>
    <w:rsid w:val="00320CD8"/>
    <w:rsid w:val="00320D44"/>
    <w:rsid w:val="00320D49"/>
    <w:rsid w:val="00320DB5"/>
    <w:rsid w:val="00320EC3"/>
    <w:rsid w:val="00321065"/>
    <w:rsid w:val="00321299"/>
    <w:rsid w:val="003212B2"/>
    <w:rsid w:val="003212CF"/>
    <w:rsid w:val="003214D2"/>
    <w:rsid w:val="003216AC"/>
    <w:rsid w:val="00321884"/>
    <w:rsid w:val="00321A34"/>
    <w:rsid w:val="00321D21"/>
    <w:rsid w:val="00322026"/>
    <w:rsid w:val="003220B4"/>
    <w:rsid w:val="003220CB"/>
    <w:rsid w:val="003220FE"/>
    <w:rsid w:val="00322359"/>
    <w:rsid w:val="003223D5"/>
    <w:rsid w:val="0032246A"/>
    <w:rsid w:val="003225A9"/>
    <w:rsid w:val="003225C8"/>
    <w:rsid w:val="003225F4"/>
    <w:rsid w:val="003226C3"/>
    <w:rsid w:val="003227AF"/>
    <w:rsid w:val="0032296C"/>
    <w:rsid w:val="003229E0"/>
    <w:rsid w:val="00322A26"/>
    <w:rsid w:val="00322BC0"/>
    <w:rsid w:val="00322C80"/>
    <w:rsid w:val="00322D85"/>
    <w:rsid w:val="00322FE2"/>
    <w:rsid w:val="0032315B"/>
    <w:rsid w:val="0032316B"/>
    <w:rsid w:val="003233BA"/>
    <w:rsid w:val="003236A8"/>
    <w:rsid w:val="003238C5"/>
    <w:rsid w:val="00323B70"/>
    <w:rsid w:val="00323E3F"/>
    <w:rsid w:val="0032442B"/>
    <w:rsid w:val="003249EC"/>
    <w:rsid w:val="00324AB9"/>
    <w:rsid w:val="00324CD0"/>
    <w:rsid w:val="00324CF9"/>
    <w:rsid w:val="00324D43"/>
    <w:rsid w:val="00324D94"/>
    <w:rsid w:val="00324E16"/>
    <w:rsid w:val="00324E4E"/>
    <w:rsid w:val="00325056"/>
    <w:rsid w:val="003251A7"/>
    <w:rsid w:val="0032547C"/>
    <w:rsid w:val="00325681"/>
    <w:rsid w:val="00325728"/>
    <w:rsid w:val="00325A52"/>
    <w:rsid w:val="00325D17"/>
    <w:rsid w:val="00325E69"/>
    <w:rsid w:val="00325E75"/>
    <w:rsid w:val="00325EED"/>
    <w:rsid w:val="003261AD"/>
    <w:rsid w:val="00326231"/>
    <w:rsid w:val="0032626A"/>
    <w:rsid w:val="003262D9"/>
    <w:rsid w:val="003264CF"/>
    <w:rsid w:val="0032652D"/>
    <w:rsid w:val="00326555"/>
    <w:rsid w:val="0032658C"/>
    <w:rsid w:val="00326632"/>
    <w:rsid w:val="00326793"/>
    <w:rsid w:val="003269A2"/>
    <w:rsid w:val="00326A55"/>
    <w:rsid w:val="00326A6F"/>
    <w:rsid w:val="00326B55"/>
    <w:rsid w:val="00326D9F"/>
    <w:rsid w:val="003271AF"/>
    <w:rsid w:val="00327296"/>
    <w:rsid w:val="00327516"/>
    <w:rsid w:val="0032753C"/>
    <w:rsid w:val="003275E1"/>
    <w:rsid w:val="00327713"/>
    <w:rsid w:val="0032774C"/>
    <w:rsid w:val="00327960"/>
    <w:rsid w:val="00327961"/>
    <w:rsid w:val="00327ABB"/>
    <w:rsid w:val="00327AE7"/>
    <w:rsid w:val="00327B38"/>
    <w:rsid w:val="00327BF5"/>
    <w:rsid w:val="00327CBC"/>
    <w:rsid w:val="00327E25"/>
    <w:rsid w:val="0033058F"/>
    <w:rsid w:val="0033075D"/>
    <w:rsid w:val="00330895"/>
    <w:rsid w:val="003308B0"/>
    <w:rsid w:val="00330BFB"/>
    <w:rsid w:val="00330C12"/>
    <w:rsid w:val="00330C25"/>
    <w:rsid w:val="00330D00"/>
    <w:rsid w:val="00330DF8"/>
    <w:rsid w:val="0033111A"/>
    <w:rsid w:val="003311DA"/>
    <w:rsid w:val="003313CF"/>
    <w:rsid w:val="003318B4"/>
    <w:rsid w:val="00331928"/>
    <w:rsid w:val="0033194F"/>
    <w:rsid w:val="003319D5"/>
    <w:rsid w:val="00331AE5"/>
    <w:rsid w:val="00331B75"/>
    <w:rsid w:val="00331B9A"/>
    <w:rsid w:val="00331E2C"/>
    <w:rsid w:val="00331EE8"/>
    <w:rsid w:val="00331F10"/>
    <w:rsid w:val="00331FBB"/>
    <w:rsid w:val="00331FC7"/>
    <w:rsid w:val="00331FCF"/>
    <w:rsid w:val="00331FD3"/>
    <w:rsid w:val="003320F1"/>
    <w:rsid w:val="0033213A"/>
    <w:rsid w:val="003322F1"/>
    <w:rsid w:val="0033238A"/>
    <w:rsid w:val="003324CF"/>
    <w:rsid w:val="003328FA"/>
    <w:rsid w:val="00332975"/>
    <w:rsid w:val="00332D5C"/>
    <w:rsid w:val="00332E88"/>
    <w:rsid w:val="00332EAF"/>
    <w:rsid w:val="00332EF4"/>
    <w:rsid w:val="00332F8F"/>
    <w:rsid w:val="00333252"/>
    <w:rsid w:val="003332B1"/>
    <w:rsid w:val="0033353F"/>
    <w:rsid w:val="0033354C"/>
    <w:rsid w:val="003335AA"/>
    <w:rsid w:val="00333785"/>
    <w:rsid w:val="00333800"/>
    <w:rsid w:val="0033397E"/>
    <w:rsid w:val="00333B17"/>
    <w:rsid w:val="00333EE9"/>
    <w:rsid w:val="00333F3E"/>
    <w:rsid w:val="00334473"/>
    <w:rsid w:val="00334531"/>
    <w:rsid w:val="003347DE"/>
    <w:rsid w:val="003349C2"/>
    <w:rsid w:val="00334CAC"/>
    <w:rsid w:val="00334ECA"/>
    <w:rsid w:val="00334F56"/>
    <w:rsid w:val="00334FBF"/>
    <w:rsid w:val="00335080"/>
    <w:rsid w:val="003350FD"/>
    <w:rsid w:val="003352E1"/>
    <w:rsid w:val="00335464"/>
    <w:rsid w:val="00335488"/>
    <w:rsid w:val="0033553F"/>
    <w:rsid w:val="0033555E"/>
    <w:rsid w:val="0033567D"/>
    <w:rsid w:val="0033577A"/>
    <w:rsid w:val="003358F8"/>
    <w:rsid w:val="00335A64"/>
    <w:rsid w:val="00335A90"/>
    <w:rsid w:val="00335AB8"/>
    <w:rsid w:val="00335B1D"/>
    <w:rsid w:val="00335B8B"/>
    <w:rsid w:val="00335BDE"/>
    <w:rsid w:val="00335D2A"/>
    <w:rsid w:val="00335F04"/>
    <w:rsid w:val="00335F12"/>
    <w:rsid w:val="00335F5A"/>
    <w:rsid w:val="00335FD8"/>
    <w:rsid w:val="003360E0"/>
    <w:rsid w:val="0033616D"/>
    <w:rsid w:val="00336297"/>
    <w:rsid w:val="0033641C"/>
    <w:rsid w:val="0033643E"/>
    <w:rsid w:val="003364B6"/>
    <w:rsid w:val="00336525"/>
    <w:rsid w:val="0033676C"/>
    <w:rsid w:val="003369B7"/>
    <w:rsid w:val="003369D2"/>
    <w:rsid w:val="00336BF8"/>
    <w:rsid w:val="00336DB9"/>
    <w:rsid w:val="00336E58"/>
    <w:rsid w:val="00336F27"/>
    <w:rsid w:val="003371EE"/>
    <w:rsid w:val="00337988"/>
    <w:rsid w:val="0033798F"/>
    <w:rsid w:val="003379A9"/>
    <w:rsid w:val="00337A35"/>
    <w:rsid w:val="00337D87"/>
    <w:rsid w:val="00337FCD"/>
    <w:rsid w:val="00337FD2"/>
    <w:rsid w:val="00340304"/>
    <w:rsid w:val="00340307"/>
    <w:rsid w:val="003403DA"/>
    <w:rsid w:val="00340430"/>
    <w:rsid w:val="00340480"/>
    <w:rsid w:val="00340562"/>
    <w:rsid w:val="0034059C"/>
    <w:rsid w:val="003405AB"/>
    <w:rsid w:val="003406EB"/>
    <w:rsid w:val="00340B69"/>
    <w:rsid w:val="00340C44"/>
    <w:rsid w:val="00340F16"/>
    <w:rsid w:val="0034132B"/>
    <w:rsid w:val="00341798"/>
    <w:rsid w:val="003418EB"/>
    <w:rsid w:val="00341A0A"/>
    <w:rsid w:val="00341B5B"/>
    <w:rsid w:val="00341BA3"/>
    <w:rsid w:val="00341DD8"/>
    <w:rsid w:val="00341E3E"/>
    <w:rsid w:val="00342324"/>
    <w:rsid w:val="00342361"/>
    <w:rsid w:val="00342408"/>
    <w:rsid w:val="003428E2"/>
    <w:rsid w:val="003429B6"/>
    <w:rsid w:val="00342AFD"/>
    <w:rsid w:val="00342B67"/>
    <w:rsid w:val="00342C07"/>
    <w:rsid w:val="00342D7C"/>
    <w:rsid w:val="00342FE7"/>
    <w:rsid w:val="0034305F"/>
    <w:rsid w:val="00343061"/>
    <w:rsid w:val="003431BD"/>
    <w:rsid w:val="0034333C"/>
    <w:rsid w:val="003437CD"/>
    <w:rsid w:val="003437FA"/>
    <w:rsid w:val="003439FC"/>
    <w:rsid w:val="00343B56"/>
    <w:rsid w:val="00343D02"/>
    <w:rsid w:val="00343D91"/>
    <w:rsid w:val="00343FDD"/>
    <w:rsid w:val="0034430B"/>
    <w:rsid w:val="003444D0"/>
    <w:rsid w:val="00344526"/>
    <w:rsid w:val="00344816"/>
    <w:rsid w:val="00344B5D"/>
    <w:rsid w:val="00344CA8"/>
    <w:rsid w:val="00344CA9"/>
    <w:rsid w:val="00344CF8"/>
    <w:rsid w:val="00344D21"/>
    <w:rsid w:val="00344DA9"/>
    <w:rsid w:val="00344DFF"/>
    <w:rsid w:val="00344E69"/>
    <w:rsid w:val="00344FEC"/>
    <w:rsid w:val="0034506D"/>
    <w:rsid w:val="003450E0"/>
    <w:rsid w:val="003450FB"/>
    <w:rsid w:val="003451B9"/>
    <w:rsid w:val="0034539D"/>
    <w:rsid w:val="003453BE"/>
    <w:rsid w:val="0034565A"/>
    <w:rsid w:val="003456C7"/>
    <w:rsid w:val="00345756"/>
    <w:rsid w:val="0034583F"/>
    <w:rsid w:val="00345B6E"/>
    <w:rsid w:val="00345C0F"/>
    <w:rsid w:val="00345D2B"/>
    <w:rsid w:val="00345E23"/>
    <w:rsid w:val="00345FEB"/>
    <w:rsid w:val="003460FA"/>
    <w:rsid w:val="00346210"/>
    <w:rsid w:val="00346355"/>
    <w:rsid w:val="00346B6A"/>
    <w:rsid w:val="00346C02"/>
    <w:rsid w:val="00346D62"/>
    <w:rsid w:val="00346D88"/>
    <w:rsid w:val="00346D8E"/>
    <w:rsid w:val="00346D99"/>
    <w:rsid w:val="003471F7"/>
    <w:rsid w:val="003471FC"/>
    <w:rsid w:val="00347625"/>
    <w:rsid w:val="003477ED"/>
    <w:rsid w:val="00347841"/>
    <w:rsid w:val="00347A73"/>
    <w:rsid w:val="00347B90"/>
    <w:rsid w:val="00347D1C"/>
    <w:rsid w:val="00347DAC"/>
    <w:rsid w:val="00347E5E"/>
    <w:rsid w:val="00347EDB"/>
    <w:rsid w:val="00347F8F"/>
    <w:rsid w:val="00347FA6"/>
    <w:rsid w:val="0035017C"/>
    <w:rsid w:val="00350252"/>
    <w:rsid w:val="003505EE"/>
    <w:rsid w:val="00350615"/>
    <w:rsid w:val="00350741"/>
    <w:rsid w:val="00350753"/>
    <w:rsid w:val="00350A95"/>
    <w:rsid w:val="00350B99"/>
    <w:rsid w:val="00350BA5"/>
    <w:rsid w:val="00350C31"/>
    <w:rsid w:val="00350D53"/>
    <w:rsid w:val="00350E2B"/>
    <w:rsid w:val="0035111B"/>
    <w:rsid w:val="003512EC"/>
    <w:rsid w:val="003512F4"/>
    <w:rsid w:val="0035133D"/>
    <w:rsid w:val="00351394"/>
    <w:rsid w:val="003515E5"/>
    <w:rsid w:val="003516CC"/>
    <w:rsid w:val="00351B49"/>
    <w:rsid w:val="00351BA1"/>
    <w:rsid w:val="00351E1C"/>
    <w:rsid w:val="00351EB9"/>
    <w:rsid w:val="00351F55"/>
    <w:rsid w:val="00351FF8"/>
    <w:rsid w:val="00352015"/>
    <w:rsid w:val="0035212D"/>
    <w:rsid w:val="003521F9"/>
    <w:rsid w:val="00352216"/>
    <w:rsid w:val="00352233"/>
    <w:rsid w:val="00352237"/>
    <w:rsid w:val="00352345"/>
    <w:rsid w:val="00352474"/>
    <w:rsid w:val="0035266C"/>
    <w:rsid w:val="0035287D"/>
    <w:rsid w:val="003529E5"/>
    <w:rsid w:val="00352AF5"/>
    <w:rsid w:val="00352B0A"/>
    <w:rsid w:val="00352CDE"/>
    <w:rsid w:val="00352E3F"/>
    <w:rsid w:val="00352F6F"/>
    <w:rsid w:val="00352F95"/>
    <w:rsid w:val="00353148"/>
    <w:rsid w:val="00353485"/>
    <w:rsid w:val="003536D7"/>
    <w:rsid w:val="0035370B"/>
    <w:rsid w:val="003537D5"/>
    <w:rsid w:val="00353937"/>
    <w:rsid w:val="003539E1"/>
    <w:rsid w:val="00353A5F"/>
    <w:rsid w:val="00353B19"/>
    <w:rsid w:val="00353BB5"/>
    <w:rsid w:val="00353D52"/>
    <w:rsid w:val="00353E17"/>
    <w:rsid w:val="00353E3D"/>
    <w:rsid w:val="00353ED7"/>
    <w:rsid w:val="003540EE"/>
    <w:rsid w:val="003543A7"/>
    <w:rsid w:val="0035463C"/>
    <w:rsid w:val="00354717"/>
    <w:rsid w:val="00354767"/>
    <w:rsid w:val="003547EF"/>
    <w:rsid w:val="0035491B"/>
    <w:rsid w:val="00354ABC"/>
    <w:rsid w:val="00354B1C"/>
    <w:rsid w:val="00354CD8"/>
    <w:rsid w:val="00354D85"/>
    <w:rsid w:val="00355085"/>
    <w:rsid w:val="003551D1"/>
    <w:rsid w:val="00355230"/>
    <w:rsid w:val="003552CE"/>
    <w:rsid w:val="0035534C"/>
    <w:rsid w:val="0035535C"/>
    <w:rsid w:val="003553F4"/>
    <w:rsid w:val="003554A8"/>
    <w:rsid w:val="00355ACF"/>
    <w:rsid w:val="00355AE1"/>
    <w:rsid w:val="00355B55"/>
    <w:rsid w:val="00355D9B"/>
    <w:rsid w:val="00355DB6"/>
    <w:rsid w:val="00355F9F"/>
    <w:rsid w:val="0035606C"/>
    <w:rsid w:val="003560CF"/>
    <w:rsid w:val="0035629C"/>
    <w:rsid w:val="003563C0"/>
    <w:rsid w:val="003563D7"/>
    <w:rsid w:val="003566C9"/>
    <w:rsid w:val="00356742"/>
    <w:rsid w:val="003567A3"/>
    <w:rsid w:val="0035692A"/>
    <w:rsid w:val="0035699A"/>
    <w:rsid w:val="00356C68"/>
    <w:rsid w:val="00356F19"/>
    <w:rsid w:val="00356F56"/>
    <w:rsid w:val="00356FE4"/>
    <w:rsid w:val="003570A6"/>
    <w:rsid w:val="00357101"/>
    <w:rsid w:val="00357292"/>
    <w:rsid w:val="003572BB"/>
    <w:rsid w:val="003575A7"/>
    <w:rsid w:val="0035766A"/>
    <w:rsid w:val="00357769"/>
    <w:rsid w:val="003579BD"/>
    <w:rsid w:val="00357A89"/>
    <w:rsid w:val="00357B4B"/>
    <w:rsid w:val="00357BEA"/>
    <w:rsid w:val="00357DE1"/>
    <w:rsid w:val="003601E1"/>
    <w:rsid w:val="00360488"/>
    <w:rsid w:val="00360502"/>
    <w:rsid w:val="0036061E"/>
    <w:rsid w:val="0036063B"/>
    <w:rsid w:val="00360ECE"/>
    <w:rsid w:val="00361148"/>
    <w:rsid w:val="003611FA"/>
    <w:rsid w:val="0036139A"/>
    <w:rsid w:val="00361562"/>
    <w:rsid w:val="003615B0"/>
    <w:rsid w:val="0036176A"/>
    <w:rsid w:val="00361770"/>
    <w:rsid w:val="003619F3"/>
    <w:rsid w:val="00361BFC"/>
    <w:rsid w:val="00361EB5"/>
    <w:rsid w:val="00362186"/>
    <w:rsid w:val="0036232A"/>
    <w:rsid w:val="00362386"/>
    <w:rsid w:val="00362735"/>
    <w:rsid w:val="00362962"/>
    <w:rsid w:val="00362A9E"/>
    <w:rsid w:val="00362C27"/>
    <w:rsid w:val="00362E03"/>
    <w:rsid w:val="0036301E"/>
    <w:rsid w:val="00363073"/>
    <w:rsid w:val="00363148"/>
    <w:rsid w:val="00363212"/>
    <w:rsid w:val="00363334"/>
    <w:rsid w:val="00363961"/>
    <w:rsid w:val="00363986"/>
    <w:rsid w:val="003639F1"/>
    <w:rsid w:val="00363B3B"/>
    <w:rsid w:val="00363C06"/>
    <w:rsid w:val="00363C27"/>
    <w:rsid w:val="00363F0C"/>
    <w:rsid w:val="00363FA1"/>
    <w:rsid w:val="0036406A"/>
    <w:rsid w:val="00364109"/>
    <w:rsid w:val="003641BB"/>
    <w:rsid w:val="003642E6"/>
    <w:rsid w:val="003643AF"/>
    <w:rsid w:val="003643B2"/>
    <w:rsid w:val="003643D7"/>
    <w:rsid w:val="003646CA"/>
    <w:rsid w:val="0036477B"/>
    <w:rsid w:val="00364820"/>
    <w:rsid w:val="00364984"/>
    <w:rsid w:val="00364BCA"/>
    <w:rsid w:val="00364BDA"/>
    <w:rsid w:val="00364D99"/>
    <w:rsid w:val="00365173"/>
    <w:rsid w:val="003653E9"/>
    <w:rsid w:val="00365472"/>
    <w:rsid w:val="00365750"/>
    <w:rsid w:val="003659D8"/>
    <w:rsid w:val="00365C68"/>
    <w:rsid w:val="00365E26"/>
    <w:rsid w:val="00365E45"/>
    <w:rsid w:val="00365EBF"/>
    <w:rsid w:val="00366257"/>
    <w:rsid w:val="0036627E"/>
    <w:rsid w:val="003663EF"/>
    <w:rsid w:val="00366497"/>
    <w:rsid w:val="0036687E"/>
    <w:rsid w:val="00366915"/>
    <w:rsid w:val="00366A90"/>
    <w:rsid w:val="00366E6F"/>
    <w:rsid w:val="00366E79"/>
    <w:rsid w:val="00366F73"/>
    <w:rsid w:val="0036737E"/>
    <w:rsid w:val="003676B7"/>
    <w:rsid w:val="003679EE"/>
    <w:rsid w:val="00367ABF"/>
    <w:rsid w:val="00367B5B"/>
    <w:rsid w:val="00367BAF"/>
    <w:rsid w:val="00367BE7"/>
    <w:rsid w:val="00367EE7"/>
    <w:rsid w:val="00367F60"/>
    <w:rsid w:val="00367FDA"/>
    <w:rsid w:val="00370070"/>
    <w:rsid w:val="00370195"/>
    <w:rsid w:val="00370283"/>
    <w:rsid w:val="003703DE"/>
    <w:rsid w:val="003704B8"/>
    <w:rsid w:val="0037063D"/>
    <w:rsid w:val="00370693"/>
    <w:rsid w:val="003706E9"/>
    <w:rsid w:val="00370AF1"/>
    <w:rsid w:val="00370B8D"/>
    <w:rsid w:val="00370B92"/>
    <w:rsid w:val="00370CB2"/>
    <w:rsid w:val="00370D76"/>
    <w:rsid w:val="00370DD5"/>
    <w:rsid w:val="00370E49"/>
    <w:rsid w:val="0037114F"/>
    <w:rsid w:val="003711A0"/>
    <w:rsid w:val="00371259"/>
    <w:rsid w:val="0037131A"/>
    <w:rsid w:val="0037132A"/>
    <w:rsid w:val="003714D6"/>
    <w:rsid w:val="0037153D"/>
    <w:rsid w:val="0037161D"/>
    <w:rsid w:val="003716B6"/>
    <w:rsid w:val="00371961"/>
    <w:rsid w:val="00371969"/>
    <w:rsid w:val="00371E05"/>
    <w:rsid w:val="00371E11"/>
    <w:rsid w:val="00371E8B"/>
    <w:rsid w:val="0037201E"/>
    <w:rsid w:val="00372072"/>
    <w:rsid w:val="003720E9"/>
    <w:rsid w:val="003721D4"/>
    <w:rsid w:val="00372227"/>
    <w:rsid w:val="00372780"/>
    <w:rsid w:val="00372879"/>
    <w:rsid w:val="00372895"/>
    <w:rsid w:val="003728D0"/>
    <w:rsid w:val="00372EB6"/>
    <w:rsid w:val="00372ED2"/>
    <w:rsid w:val="00372F26"/>
    <w:rsid w:val="003730A1"/>
    <w:rsid w:val="0037317D"/>
    <w:rsid w:val="003731F5"/>
    <w:rsid w:val="0037335B"/>
    <w:rsid w:val="003734B7"/>
    <w:rsid w:val="00373614"/>
    <w:rsid w:val="003739FC"/>
    <w:rsid w:val="00373F51"/>
    <w:rsid w:val="003740F0"/>
    <w:rsid w:val="00374237"/>
    <w:rsid w:val="00374251"/>
    <w:rsid w:val="0037433E"/>
    <w:rsid w:val="003744D9"/>
    <w:rsid w:val="00374667"/>
    <w:rsid w:val="0037482C"/>
    <w:rsid w:val="0037494E"/>
    <w:rsid w:val="00374A79"/>
    <w:rsid w:val="00374D66"/>
    <w:rsid w:val="00374D6C"/>
    <w:rsid w:val="00374E61"/>
    <w:rsid w:val="00374EF7"/>
    <w:rsid w:val="00374FBC"/>
    <w:rsid w:val="00374FD4"/>
    <w:rsid w:val="003750CE"/>
    <w:rsid w:val="003751B7"/>
    <w:rsid w:val="00375210"/>
    <w:rsid w:val="003755FA"/>
    <w:rsid w:val="003758DB"/>
    <w:rsid w:val="00375B94"/>
    <w:rsid w:val="00375B9D"/>
    <w:rsid w:val="00375CAC"/>
    <w:rsid w:val="00375CB7"/>
    <w:rsid w:val="00375D5D"/>
    <w:rsid w:val="00375D6F"/>
    <w:rsid w:val="00375EC5"/>
    <w:rsid w:val="00375F9E"/>
    <w:rsid w:val="00376035"/>
    <w:rsid w:val="0037619C"/>
    <w:rsid w:val="00376257"/>
    <w:rsid w:val="003764AD"/>
    <w:rsid w:val="00376657"/>
    <w:rsid w:val="0037677B"/>
    <w:rsid w:val="00376821"/>
    <w:rsid w:val="00376904"/>
    <w:rsid w:val="00376A4B"/>
    <w:rsid w:val="00376B86"/>
    <w:rsid w:val="00376D1E"/>
    <w:rsid w:val="00376F94"/>
    <w:rsid w:val="00377065"/>
    <w:rsid w:val="003774C3"/>
    <w:rsid w:val="00377591"/>
    <w:rsid w:val="003776A9"/>
    <w:rsid w:val="00377A71"/>
    <w:rsid w:val="00377B6F"/>
    <w:rsid w:val="00377D4A"/>
    <w:rsid w:val="00377DD1"/>
    <w:rsid w:val="00377E06"/>
    <w:rsid w:val="00377EAC"/>
    <w:rsid w:val="00377F9E"/>
    <w:rsid w:val="00380066"/>
    <w:rsid w:val="003800FD"/>
    <w:rsid w:val="003806E6"/>
    <w:rsid w:val="00380717"/>
    <w:rsid w:val="003809A8"/>
    <w:rsid w:val="003809E3"/>
    <w:rsid w:val="00380AEC"/>
    <w:rsid w:val="00380BA7"/>
    <w:rsid w:val="00380D48"/>
    <w:rsid w:val="00380E88"/>
    <w:rsid w:val="00380ED0"/>
    <w:rsid w:val="00380F97"/>
    <w:rsid w:val="00381179"/>
    <w:rsid w:val="003814F5"/>
    <w:rsid w:val="00381512"/>
    <w:rsid w:val="00381538"/>
    <w:rsid w:val="00381825"/>
    <w:rsid w:val="0038193D"/>
    <w:rsid w:val="0038196E"/>
    <w:rsid w:val="00381ADB"/>
    <w:rsid w:val="00381C01"/>
    <w:rsid w:val="00381D72"/>
    <w:rsid w:val="00381DB2"/>
    <w:rsid w:val="00381DE9"/>
    <w:rsid w:val="00381E31"/>
    <w:rsid w:val="00381E38"/>
    <w:rsid w:val="00382021"/>
    <w:rsid w:val="003821E3"/>
    <w:rsid w:val="0038232D"/>
    <w:rsid w:val="00382563"/>
    <w:rsid w:val="0038263A"/>
    <w:rsid w:val="0038269A"/>
    <w:rsid w:val="0038284F"/>
    <w:rsid w:val="00382986"/>
    <w:rsid w:val="003829AC"/>
    <w:rsid w:val="00382ABF"/>
    <w:rsid w:val="00382C70"/>
    <w:rsid w:val="00382D13"/>
    <w:rsid w:val="00382D8B"/>
    <w:rsid w:val="00382DF3"/>
    <w:rsid w:val="00382EDA"/>
    <w:rsid w:val="00383168"/>
    <w:rsid w:val="00383297"/>
    <w:rsid w:val="0038347B"/>
    <w:rsid w:val="003835DA"/>
    <w:rsid w:val="00383677"/>
    <w:rsid w:val="003836AB"/>
    <w:rsid w:val="00383872"/>
    <w:rsid w:val="0038394A"/>
    <w:rsid w:val="00383B1A"/>
    <w:rsid w:val="0038403A"/>
    <w:rsid w:val="0038403B"/>
    <w:rsid w:val="0038404A"/>
    <w:rsid w:val="0038405C"/>
    <w:rsid w:val="00384202"/>
    <w:rsid w:val="003846CE"/>
    <w:rsid w:val="0038471D"/>
    <w:rsid w:val="00384894"/>
    <w:rsid w:val="00384A21"/>
    <w:rsid w:val="00384B2D"/>
    <w:rsid w:val="00384C5B"/>
    <w:rsid w:val="00384E53"/>
    <w:rsid w:val="00384EB6"/>
    <w:rsid w:val="00384FD9"/>
    <w:rsid w:val="00384FFF"/>
    <w:rsid w:val="003850C5"/>
    <w:rsid w:val="0038510C"/>
    <w:rsid w:val="0038522B"/>
    <w:rsid w:val="00385357"/>
    <w:rsid w:val="003853E6"/>
    <w:rsid w:val="00385519"/>
    <w:rsid w:val="0038552C"/>
    <w:rsid w:val="0038558D"/>
    <w:rsid w:val="00385758"/>
    <w:rsid w:val="00385F45"/>
    <w:rsid w:val="003861BD"/>
    <w:rsid w:val="0038621C"/>
    <w:rsid w:val="0038627E"/>
    <w:rsid w:val="00386292"/>
    <w:rsid w:val="003863BE"/>
    <w:rsid w:val="00386470"/>
    <w:rsid w:val="003864A9"/>
    <w:rsid w:val="0038652E"/>
    <w:rsid w:val="00386591"/>
    <w:rsid w:val="0038666C"/>
    <w:rsid w:val="00386941"/>
    <w:rsid w:val="003869CA"/>
    <w:rsid w:val="00386E7F"/>
    <w:rsid w:val="00386EBE"/>
    <w:rsid w:val="00387011"/>
    <w:rsid w:val="003871BC"/>
    <w:rsid w:val="00387231"/>
    <w:rsid w:val="00387515"/>
    <w:rsid w:val="0038760D"/>
    <w:rsid w:val="003876D3"/>
    <w:rsid w:val="0038790A"/>
    <w:rsid w:val="00387AED"/>
    <w:rsid w:val="00387B8E"/>
    <w:rsid w:val="00387BA0"/>
    <w:rsid w:val="00387BAB"/>
    <w:rsid w:val="00387C8C"/>
    <w:rsid w:val="00387CDD"/>
    <w:rsid w:val="00387F7B"/>
    <w:rsid w:val="0039031B"/>
    <w:rsid w:val="0039051B"/>
    <w:rsid w:val="00390526"/>
    <w:rsid w:val="0039068B"/>
    <w:rsid w:val="003906AF"/>
    <w:rsid w:val="00390A0D"/>
    <w:rsid w:val="00390A8D"/>
    <w:rsid w:val="00390AE1"/>
    <w:rsid w:val="00390B1A"/>
    <w:rsid w:val="00390D6E"/>
    <w:rsid w:val="003910B1"/>
    <w:rsid w:val="003912A9"/>
    <w:rsid w:val="0039130A"/>
    <w:rsid w:val="0039144D"/>
    <w:rsid w:val="00391493"/>
    <w:rsid w:val="00391499"/>
    <w:rsid w:val="003914A0"/>
    <w:rsid w:val="003918EB"/>
    <w:rsid w:val="00391976"/>
    <w:rsid w:val="00391E0B"/>
    <w:rsid w:val="00391F59"/>
    <w:rsid w:val="0039238E"/>
    <w:rsid w:val="00392416"/>
    <w:rsid w:val="00392445"/>
    <w:rsid w:val="003924FE"/>
    <w:rsid w:val="0039250D"/>
    <w:rsid w:val="00392608"/>
    <w:rsid w:val="00392662"/>
    <w:rsid w:val="0039298D"/>
    <w:rsid w:val="003929EF"/>
    <w:rsid w:val="00392A2C"/>
    <w:rsid w:val="00392A65"/>
    <w:rsid w:val="00392BD9"/>
    <w:rsid w:val="00392C28"/>
    <w:rsid w:val="00392D11"/>
    <w:rsid w:val="00393024"/>
    <w:rsid w:val="0039316D"/>
    <w:rsid w:val="00393371"/>
    <w:rsid w:val="00393633"/>
    <w:rsid w:val="00393683"/>
    <w:rsid w:val="003936F3"/>
    <w:rsid w:val="0039384D"/>
    <w:rsid w:val="003938BF"/>
    <w:rsid w:val="00393B28"/>
    <w:rsid w:val="00393B35"/>
    <w:rsid w:val="00393D64"/>
    <w:rsid w:val="0039435B"/>
    <w:rsid w:val="0039438B"/>
    <w:rsid w:val="00394412"/>
    <w:rsid w:val="00394593"/>
    <w:rsid w:val="003947E1"/>
    <w:rsid w:val="00394885"/>
    <w:rsid w:val="00394AFC"/>
    <w:rsid w:val="00394B42"/>
    <w:rsid w:val="00394DB1"/>
    <w:rsid w:val="00394E6E"/>
    <w:rsid w:val="00394FF4"/>
    <w:rsid w:val="0039516E"/>
    <w:rsid w:val="0039518B"/>
    <w:rsid w:val="00395385"/>
    <w:rsid w:val="0039548C"/>
    <w:rsid w:val="00395558"/>
    <w:rsid w:val="00395A61"/>
    <w:rsid w:val="00395D20"/>
    <w:rsid w:val="00395F50"/>
    <w:rsid w:val="00395F53"/>
    <w:rsid w:val="00395FDD"/>
    <w:rsid w:val="0039608B"/>
    <w:rsid w:val="00396135"/>
    <w:rsid w:val="003961CD"/>
    <w:rsid w:val="003962B4"/>
    <w:rsid w:val="00396539"/>
    <w:rsid w:val="003966F8"/>
    <w:rsid w:val="00396715"/>
    <w:rsid w:val="0039684F"/>
    <w:rsid w:val="003968A4"/>
    <w:rsid w:val="003969A9"/>
    <w:rsid w:val="00396B0E"/>
    <w:rsid w:val="00396B4B"/>
    <w:rsid w:val="00396E87"/>
    <w:rsid w:val="00397185"/>
    <w:rsid w:val="00397431"/>
    <w:rsid w:val="003975D1"/>
    <w:rsid w:val="003978F9"/>
    <w:rsid w:val="00397951"/>
    <w:rsid w:val="0039797F"/>
    <w:rsid w:val="00397BA1"/>
    <w:rsid w:val="00397C3B"/>
    <w:rsid w:val="00397C63"/>
    <w:rsid w:val="00397CC6"/>
    <w:rsid w:val="00397D1A"/>
    <w:rsid w:val="00397D79"/>
    <w:rsid w:val="003A00DB"/>
    <w:rsid w:val="003A021C"/>
    <w:rsid w:val="003A0264"/>
    <w:rsid w:val="003A02AB"/>
    <w:rsid w:val="003A05A1"/>
    <w:rsid w:val="003A0781"/>
    <w:rsid w:val="003A078D"/>
    <w:rsid w:val="003A07D8"/>
    <w:rsid w:val="003A0819"/>
    <w:rsid w:val="003A0A8B"/>
    <w:rsid w:val="003A0C73"/>
    <w:rsid w:val="003A0D87"/>
    <w:rsid w:val="003A119E"/>
    <w:rsid w:val="003A12DE"/>
    <w:rsid w:val="003A1494"/>
    <w:rsid w:val="003A15CE"/>
    <w:rsid w:val="003A1675"/>
    <w:rsid w:val="003A17FA"/>
    <w:rsid w:val="003A18F6"/>
    <w:rsid w:val="003A1A53"/>
    <w:rsid w:val="003A1C41"/>
    <w:rsid w:val="003A1ECE"/>
    <w:rsid w:val="003A2138"/>
    <w:rsid w:val="003A229F"/>
    <w:rsid w:val="003A22DC"/>
    <w:rsid w:val="003A23CE"/>
    <w:rsid w:val="003A279C"/>
    <w:rsid w:val="003A27DF"/>
    <w:rsid w:val="003A2804"/>
    <w:rsid w:val="003A2A2A"/>
    <w:rsid w:val="003A2B9E"/>
    <w:rsid w:val="003A2E90"/>
    <w:rsid w:val="003A3173"/>
    <w:rsid w:val="003A3193"/>
    <w:rsid w:val="003A3201"/>
    <w:rsid w:val="003A32E7"/>
    <w:rsid w:val="003A35E5"/>
    <w:rsid w:val="003A36BC"/>
    <w:rsid w:val="003A37A1"/>
    <w:rsid w:val="003A386C"/>
    <w:rsid w:val="003A3998"/>
    <w:rsid w:val="003A3B49"/>
    <w:rsid w:val="003A3C04"/>
    <w:rsid w:val="003A3C30"/>
    <w:rsid w:val="003A3C45"/>
    <w:rsid w:val="003A3D38"/>
    <w:rsid w:val="003A3D63"/>
    <w:rsid w:val="003A3D76"/>
    <w:rsid w:val="003A3E15"/>
    <w:rsid w:val="003A3EA6"/>
    <w:rsid w:val="003A3F9A"/>
    <w:rsid w:val="003A438A"/>
    <w:rsid w:val="003A45EC"/>
    <w:rsid w:val="003A4B44"/>
    <w:rsid w:val="003A4C15"/>
    <w:rsid w:val="003A4E2C"/>
    <w:rsid w:val="003A5024"/>
    <w:rsid w:val="003A509E"/>
    <w:rsid w:val="003A523A"/>
    <w:rsid w:val="003A52C0"/>
    <w:rsid w:val="003A5408"/>
    <w:rsid w:val="003A5547"/>
    <w:rsid w:val="003A5614"/>
    <w:rsid w:val="003A583A"/>
    <w:rsid w:val="003A5897"/>
    <w:rsid w:val="003A59A9"/>
    <w:rsid w:val="003A59AC"/>
    <w:rsid w:val="003A5BDA"/>
    <w:rsid w:val="003A5C30"/>
    <w:rsid w:val="003A5C7C"/>
    <w:rsid w:val="003A5D63"/>
    <w:rsid w:val="003A5ED0"/>
    <w:rsid w:val="003A5EF9"/>
    <w:rsid w:val="003A6051"/>
    <w:rsid w:val="003A62BD"/>
    <w:rsid w:val="003A6A8E"/>
    <w:rsid w:val="003A6DA9"/>
    <w:rsid w:val="003A6E3D"/>
    <w:rsid w:val="003A6E65"/>
    <w:rsid w:val="003A6EB2"/>
    <w:rsid w:val="003A70C3"/>
    <w:rsid w:val="003A724D"/>
    <w:rsid w:val="003A73D8"/>
    <w:rsid w:val="003A7485"/>
    <w:rsid w:val="003A761A"/>
    <w:rsid w:val="003A7B39"/>
    <w:rsid w:val="003A7C1E"/>
    <w:rsid w:val="003A7EEC"/>
    <w:rsid w:val="003A7F1D"/>
    <w:rsid w:val="003A7F42"/>
    <w:rsid w:val="003A7F8A"/>
    <w:rsid w:val="003A7FAB"/>
    <w:rsid w:val="003B0046"/>
    <w:rsid w:val="003B038E"/>
    <w:rsid w:val="003B040A"/>
    <w:rsid w:val="003B0609"/>
    <w:rsid w:val="003B06D9"/>
    <w:rsid w:val="003B0902"/>
    <w:rsid w:val="003B0AC1"/>
    <w:rsid w:val="003B0BF2"/>
    <w:rsid w:val="003B0C10"/>
    <w:rsid w:val="003B0C5C"/>
    <w:rsid w:val="003B0F29"/>
    <w:rsid w:val="003B0FBB"/>
    <w:rsid w:val="003B1564"/>
    <w:rsid w:val="003B1AB6"/>
    <w:rsid w:val="003B1AE4"/>
    <w:rsid w:val="003B1BD7"/>
    <w:rsid w:val="003B1D36"/>
    <w:rsid w:val="003B1D6A"/>
    <w:rsid w:val="003B1F4A"/>
    <w:rsid w:val="003B20C5"/>
    <w:rsid w:val="003B20CD"/>
    <w:rsid w:val="003B232C"/>
    <w:rsid w:val="003B2486"/>
    <w:rsid w:val="003B250A"/>
    <w:rsid w:val="003B27C6"/>
    <w:rsid w:val="003B29A0"/>
    <w:rsid w:val="003B2B42"/>
    <w:rsid w:val="003B2B62"/>
    <w:rsid w:val="003B2CA6"/>
    <w:rsid w:val="003B2E3A"/>
    <w:rsid w:val="003B2EC6"/>
    <w:rsid w:val="003B30A0"/>
    <w:rsid w:val="003B3153"/>
    <w:rsid w:val="003B31BA"/>
    <w:rsid w:val="003B3439"/>
    <w:rsid w:val="003B357E"/>
    <w:rsid w:val="003B35BA"/>
    <w:rsid w:val="003B3720"/>
    <w:rsid w:val="003B3776"/>
    <w:rsid w:val="003B3961"/>
    <w:rsid w:val="003B3A03"/>
    <w:rsid w:val="003B3B2D"/>
    <w:rsid w:val="003B3FA4"/>
    <w:rsid w:val="003B4192"/>
    <w:rsid w:val="003B42AB"/>
    <w:rsid w:val="003B44CF"/>
    <w:rsid w:val="003B4583"/>
    <w:rsid w:val="003B46F8"/>
    <w:rsid w:val="003B49F7"/>
    <w:rsid w:val="003B4CF0"/>
    <w:rsid w:val="003B4E9F"/>
    <w:rsid w:val="003B51A2"/>
    <w:rsid w:val="003B51E2"/>
    <w:rsid w:val="003B5330"/>
    <w:rsid w:val="003B5519"/>
    <w:rsid w:val="003B553B"/>
    <w:rsid w:val="003B5615"/>
    <w:rsid w:val="003B57C7"/>
    <w:rsid w:val="003B5871"/>
    <w:rsid w:val="003B596E"/>
    <w:rsid w:val="003B59ED"/>
    <w:rsid w:val="003B5B0F"/>
    <w:rsid w:val="003B5B4A"/>
    <w:rsid w:val="003B5C59"/>
    <w:rsid w:val="003B5D3E"/>
    <w:rsid w:val="003B5FAE"/>
    <w:rsid w:val="003B5FE4"/>
    <w:rsid w:val="003B600C"/>
    <w:rsid w:val="003B6100"/>
    <w:rsid w:val="003B6105"/>
    <w:rsid w:val="003B6424"/>
    <w:rsid w:val="003B64A7"/>
    <w:rsid w:val="003B64AA"/>
    <w:rsid w:val="003B6516"/>
    <w:rsid w:val="003B6605"/>
    <w:rsid w:val="003B6672"/>
    <w:rsid w:val="003B66F1"/>
    <w:rsid w:val="003B673C"/>
    <w:rsid w:val="003B6A81"/>
    <w:rsid w:val="003B6A8A"/>
    <w:rsid w:val="003B6C4C"/>
    <w:rsid w:val="003B6D08"/>
    <w:rsid w:val="003B6FC9"/>
    <w:rsid w:val="003B6FF2"/>
    <w:rsid w:val="003B7045"/>
    <w:rsid w:val="003B70BB"/>
    <w:rsid w:val="003B7138"/>
    <w:rsid w:val="003B7152"/>
    <w:rsid w:val="003B71CE"/>
    <w:rsid w:val="003B7421"/>
    <w:rsid w:val="003B769B"/>
    <w:rsid w:val="003B770F"/>
    <w:rsid w:val="003B78D9"/>
    <w:rsid w:val="003B7AB6"/>
    <w:rsid w:val="003B7AE6"/>
    <w:rsid w:val="003B7B1B"/>
    <w:rsid w:val="003B7CC6"/>
    <w:rsid w:val="003C010C"/>
    <w:rsid w:val="003C0132"/>
    <w:rsid w:val="003C022C"/>
    <w:rsid w:val="003C025A"/>
    <w:rsid w:val="003C032D"/>
    <w:rsid w:val="003C0527"/>
    <w:rsid w:val="003C06FD"/>
    <w:rsid w:val="003C07B9"/>
    <w:rsid w:val="003C08F0"/>
    <w:rsid w:val="003C0AFE"/>
    <w:rsid w:val="003C0CED"/>
    <w:rsid w:val="003C0EC1"/>
    <w:rsid w:val="003C12D9"/>
    <w:rsid w:val="003C134C"/>
    <w:rsid w:val="003C14E3"/>
    <w:rsid w:val="003C1812"/>
    <w:rsid w:val="003C1891"/>
    <w:rsid w:val="003C1937"/>
    <w:rsid w:val="003C194F"/>
    <w:rsid w:val="003C197E"/>
    <w:rsid w:val="003C19EB"/>
    <w:rsid w:val="003C19F7"/>
    <w:rsid w:val="003C1A38"/>
    <w:rsid w:val="003C1AEB"/>
    <w:rsid w:val="003C1CA0"/>
    <w:rsid w:val="003C1CBF"/>
    <w:rsid w:val="003C1DD1"/>
    <w:rsid w:val="003C1ED7"/>
    <w:rsid w:val="003C1F34"/>
    <w:rsid w:val="003C220A"/>
    <w:rsid w:val="003C22EF"/>
    <w:rsid w:val="003C2308"/>
    <w:rsid w:val="003C2480"/>
    <w:rsid w:val="003C2507"/>
    <w:rsid w:val="003C260D"/>
    <w:rsid w:val="003C2656"/>
    <w:rsid w:val="003C28A2"/>
    <w:rsid w:val="003C28B6"/>
    <w:rsid w:val="003C293D"/>
    <w:rsid w:val="003C2956"/>
    <w:rsid w:val="003C2D15"/>
    <w:rsid w:val="003C2D8D"/>
    <w:rsid w:val="003C2DA5"/>
    <w:rsid w:val="003C3011"/>
    <w:rsid w:val="003C3217"/>
    <w:rsid w:val="003C324E"/>
    <w:rsid w:val="003C3263"/>
    <w:rsid w:val="003C32B4"/>
    <w:rsid w:val="003C3437"/>
    <w:rsid w:val="003C34D0"/>
    <w:rsid w:val="003C35BF"/>
    <w:rsid w:val="003C35D3"/>
    <w:rsid w:val="003C3831"/>
    <w:rsid w:val="003C38DF"/>
    <w:rsid w:val="003C3930"/>
    <w:rsid w:val="003C39A2"/>
    <w:rsid w:val="003C3B42"/>
    <w:rsid w:val="003C3DC7"/>
    <w:rsid w:val="003C3E23"/>
    <w:rsid w:val="003C3FF2"/>
    <w:rsid w:val="003C4196"/>
    <w:rsid w:val="003C4427"/>
    <w:rsid w:val="003C44FB"/>
    <w:rsid w:val="003C4940"/>
    <w:rsid w:val="003C4B5F"/>
    <w:rsid w:val="003C4BA7"/>
    <w:rsid w:val="003C4BC4"/>
    <w:rsid w:val="003C4CD5"/>
    <w:rsid w:val="003C4EFB"/>
    <w:rsid w:val="003C5057"/>
    <w:rsid w:val="003C50FA"/>
    <w:rsid w:val="003C51F6"/>
    <w:rsid w:val="003C53DF"/>
    <w:rsid w:val="003C56AC"/>
    <w:rsid w:val="003C56C2"/>
    <w:rsid w:val="003C5735"/>
    <w:rsid w:val="003C5A6B"/>
    <w:rsid w:val="003C5CB3"/>
    <w:rsid w:val="003C6027"/>
    <w:rsid w:val="003C60AC"/>
    <w:rsid w:val="003C619D"/>
    <w:rsid w:val="003C6590"/>
    <w:rsid w:val="003C65C6"/>
    <w:rsid w:val="003C6774"/>
    <w:rsid w:val="003C6827"/>
    <w:rsid w:val="003C6846"/>
    <w:rsid w:val="003C6868"/>
    <w:rsid w:val="003C68EF"/>
    <w:rsid w:val="003C69AE"/>
    <w:rsid w:val="003C69C9"/>
    <w:rsid w:val="003C6B11"/>
    <w:rsid w:val="003C6D04"/>
    <w:rsid w:val="003C6F79"/>
    <w:rsid w:val="003C710D"/>
    <w:rsid w:val="003C71F4"/>
    <w:rsid w:val="003C7424"/>
    <w:rsid w:val="003C769F"/>
    <w:rsid w:val="003C76AB"/>
    <w:rsid w:val="003C797B"/>
    <w:rsid w:val="003C7ADD"/>
    <w:rsid w:val="003C7C09"/>
    <w:rsid w:val="003C7D0C"/>
    <w:rsid w:val="003D0085"/>
    <w:rsid w:val="003D011B"/>
    <w:rsid w:val="003D0429"/>
    <w:rsid w:val="003D0479"/>
    <w:rsid w:val="003D047C"/>
    <w:rsid w:val="003D048D"/>
    <w:rsid w:val="003D04BB"/>
    <w:rsid w:val="003D05F0"/>
    <w:rsid w:val="003D0B7A"/>
    <w:rsid w:val="003D0C51"/>
    <w:rsid w:val="003D0C70"/>
    <w:rsid w:val="003D0E8F"/>
    <w:rsid w:val="003D130E"/>
    <w:rsid w:val="003D1600"/>
    <w:rsid w:val="003D1805"/>
    <w:rsid w:val="003D1844"/>
    <w:rsid w:val="003D1A6A"/>
    <w:rsid w:val="003D1AD0"/>
    <w:rsid w:val="003D1CF9"/>
    <w:rsid w:val="003D1D12"/>
    <w:rsid w:val="003D1E97"/>
    <w:rsid w:val="003D2012"/>
    <w:rsid w:val="003D22B0"/>
    <w:rsid w:val="003D250D"/>
    <w:rsid w:val="003D254E"/>
    <w:rsid w:val="003D256A"/>
    <w:rsid w:val="003D259B"/>
    <w:rsid w:val="003D25CF"/>
    <w:rsid w:val="003D2BB8"/>
    <w:rsid w:val="003D2BF6"/>
    <w:rsid w:val="003D2D35"/>
    <w:rsid w:val="003D2D90"/>
    <w:rsid w:val="003D3489"/>
    <w:rsid w:val="003D3621"/>
    <w:rsid w:val="003D3709"/>
    <w:rsid w:val="003D37C8"/>
    <w:rsid w:val="003D3841"/>
    <w:rsid w:val="003D39A0"/>
    <w:rsid w:val="003D3A57"/>
    <w:rsid w:val="003D3C5F"/>
    <w:rsid w:val="003D3C88"/>
    <w:rsid w:val="003D3D64"/>
    <w:rsid w:val="003D4180"/>
    <w:rsid w:val="003D461A"/>
    <w:rsid w:val="003D47AA"/>
    <w:rsid w:val="003D4BAC"/>
    <w:rsid w:val="003D4C89"/>
    <w:rsid w:val="003D4DE0"/>
    <w:rsid w:val="003D4EDA"/>
    <w:rsid w:val="003D4EF6"/>
    <w:rsid w:val="003D4EF8"/>
    <w:rsid w:val="003D4F88"/>
    <w:rsid w:val="003D51EF"/>
    <w:rsid w:val="003D5242"/>
    <w:rsid w:val="003D54C5"/>
    <w:rsid w:val="003D552F"/>
    <w:rsid w:val="003D58E9"/>
    <w:rsid w:val="003D5EE8"/>
    <w:rsid w:val="003D5F04"/>
    <w:rsid w:val="003D607F"/>
    <w:rsid w:val="003D635D"/>
    <w:rsid w:val="003D659C"/>
    <w:rsid w:val="003D662B"/>
    <w:rsid w:val="003D6677"/>
    <w:rsid w:val="003D6A8E"/>
    <w:rsid w:val="003D6A93"/>
    <w:rsid w:val="003D6DEB"/>
    <w:rsid w:val="003D6EC2"/>
    <w:rsid w:val="003D6FAE"/>
    <w:rsid w:val="003D6FBC"/>
    <w:rsid w:val="003D7024"/>
    <w:rsid w:val="003D7055"/>
    <w:rsid w:val="003D70B5"/>
    <w:rsid w:val="003D73C6"/>
    <w:rsid w:val="003D7460"/>
    <w:rsid w:val="003D7556"/>
    <w:rsid w:val="003D7608"/>
    <w:rsid w:val="003D7748"/>
    <w:rsid w:val="003D79FB"/>
    <w:rsid w:val="003D7B22"/>
    <w:rsid w:val="003D7B56"/>
    <w:rsid w:val="003D7DE3"/>
    <w:rsid w:val="003D7E3A"/>
    <w:rsid w:val="003D7FAD"/>
    <w:rsid w:val="003D7FB8"/>
    <w:rsid w:val="003E00FD"/>
    <w:rsid w:val="003E018E"/>
    <w:rsid w:val="003E033C"/>
    <w:rsid w:val="003E0585"/>
    <w:rsid w:val="003E060C"/>
    <w:rsid w:val="003E06BE"/>
    <w:rsid w:val="003E06E1"/>
    <w:rsid w:val="003E079B"/>
    <w:rsid w:val="003E0A0D"/>
    <w:rsid w:val="003E0CE3"/>
    <w:rsid w:val="003E0E25"/>
    <w:rsid w:val="003E1398"/>
    <w:rsid w:val="003E149D"/>
    <w:rsid w:val="003E14B8"/>
    <w:rsid w:val="003E1534"/>
    <w:rsid w:val="003E1865"/>
    <w:rsid w:val="003E1B0A"/>
    <w:rsid w:val="003E1B79"/>
    <w:rsid w:val="003E1BA8"/>
    <w:rsid w:val="003E1D24"/>
    <w:rsid w:val="003E1E35"/>
    <w:rsid w:val="003E1E84"/>
    <w:rsid w:val="003E1E85"/>
    <w:rsid w:val="003E1EDD"/>
    <w:rsid w:val="003E2010"/>
    <w:rsid w:val="003E2302"/>
    <w:rsid w:val="003E253B"/>
    <w:rsid w:val="003E2582"/>
    <w:rsid w:val="003E2725"/>
    <w:rsid w:val="003E28E8"/>
    <w:rsid w:val="003E2C2A"/>
    <w:rsid w:val="003E2DE8"/>
    <w:rsid w:val="003E2E1C"/>
    <w:rsid w:val="003E2ECC"/>
    <w:rsid w:val="003E2EFB"/>
    <w:rsid w:val="003E2FB2"/>
    <w:rsid w:val="003E3044"/>
    <w:rsid w:val="003E3175"/>
    <w:rsid w:val="003E325B"/>
    <w:rsid w:val="003E361E"/>
    <w:rsid w:val="003E37A9"/>
    <w:rsid w:val="003E37E5"/>
    <w:rsid w:val="003E3842"/>
    <w:rsid w:val="003E3965"/>
    <w:rsid w:val="003E3A0F"/>
    <w:rsid w:val="003E3B3A"/>
    <w:rsid w:val="003E3CA3"/>
    <w:rsid w:val="003E3DD2"/>
    <w:rsid w:val="003E3E83"/>
    <w:rsid w:val="003E3EFB"/>
    <w:rsid w:val="003E407F"/>
    <w:rsid w:val="003E42E8"/>
    <w:rsid w:val="003E42F7"/>
    <w:rsid w:val="003E4383"/>
    <w:rsid w:val="003E43EB"/>
    <w:rsid w:val="003E442D"/>
    <w:rsid w:val="003E451E"/>
    <w:rsid w:val="003E4599"/>
    <w:rsid w:val="003E462D"/>
    <w:rsid w:val="003E46AD"/>
    <w:rsid w:val="003E48A2"/>
    <w:rsid w:val="003E4F99"/>
    <w:rsid w:val="003E505C"/>
    <w:rsid w:val="003E5072"/>
    <w:rsid w:val="003E5103"/>
    <w:rsid w:val="003E5242"/>
    <w:rsid w:val="003E542B"/>
    <w:rsid w:val="003E55EF"/>
    <w:rsid w:val="003E56AC"/>
    <w:rsid w:val="003E5BAD"/>
    <w:rsid w:val="003E5C39"/>
    <w:rsid w:val="003E5C90"/>
    <w:rsid w:val="003E5EC9"/>
    <w:rsid w:val="003E5ED2"/>
    <w:rsid w:val="003E60A0"/>
    <w:rsid w:val="003E6493"/>
    <w:rsid w:val="003E65D6"/>
    <w:rsid w:val="003E65FE"/>
    <w:rsid w:val="003E675C"/>
    <w:rsid w:val="003E678E"/>
    <w:rsid w:val="003E679F"/>
    <w:rsid w:val="003E67DC"/>
    <w:rsid w:val="003E6AB5"/>
    <w:rsid w:val="003E6B01"/>
    <w:rsid w:val="003E6B5A"/>
    <w:rsid w:val="003E6BA8"/>
    <w:rsid w:val="003E6DD0"/>
    <w:rsid w:val="003E6E94"/>
    <w:rsid w:val="003E6FD8"/>
    <w:rsid w:val="003E72ED"/>
    <w:rsid w:val="003E75B6"/>
    <w:rsid w:val="003E785B"/>
    <w:rsid w:val="003E795F"/>
    <w:rsid w:val="003E7A0B"/>
    <w:rsid w:val="003E7AE1"/>
    <w:rsid w:val="003E7C54"/>
    <w:rsid w:val="003E7D48"/>
    <w:rsid w:val="003E7E16"/>
    <w:rsid w:val="003E7E19"/>
    <w:rsid w:val="003E7E20"/>
    <w:rsid w:val="003E7E76"/>
    <w:rsid w:val="003F0069"/>
    <w:rsid w:val="003F0581"/>
    <w:rsid w:val="003F05E6"/>
    <w:rsid w:val="003F0618"/>
    <w:rsid w:val="003F068D"/>
    <w:rsid w:val="003F09E1"/>
    <w:rsid w:val="003F0A20"/>
    <w:rsid w:val="003F0B07"/>
    <w:rsid w:val="003F0F14"/>
    <w:rsid w:val="003F0F1A"/>
    <w:rsid w:val="003F0F42"/>
    <w:rsid w:val="003F0F5C"/>
    <w:rsid w:val="003F11A7"/>
    <w:rsid w:val="003F11D3"/>
    <w:rsid w:val="003F17CA"/>
    <w:rsid w:val="003F17CE"/>
    <w:rsid w:val="003F1DEC"/>
    <w:rsid w:val="003F20EC"/>
    <w:rsid w:val="003F212E"/>
    <w:rsid w:val="003F21F8"/>
    <w:rsid w:val="003F22A7"/>
    <w:rsid w:val="003F22CC"/>
    <w:rsid w:val="003F2346"/>
    <w:rsid w:val="003F2543"/>
    <w:rsid w:val="003F277A"/>
    <w:rsid w:val="003F2901"/>
    <w:rsid w:val="003F2954"/>
    <w:rsid w:val="003F2B03"/>
    <w:rsid w:val="003F2D1F"/>
    <w:rsid w:val="003F2E1A"/>
    <w:rsid w:val="003F2E7E"/>
    <w:rsid w:val="003F2F03"/>
    <w:rsid w:val="003F2F64"/>
    <w:rsid w:val="003F30E1"/>
    <w:rsid w:val="003F3529"/>
    <w:rsid w:val="003F3904"/>
    <w:rsid w:val="003F3906"/>
    <w:rsid w:val="003F3D76"/>
    <w:rsid w:val="003F3DFC"/>
    <w:rsid w:val="003F3E43"/>
    <w:rsid w:val="003F3E52"/>
    <w:rsid w:val="003F3F5C"/>
    <w:rsid w:val="003F433E"/>
    <w:rsid w:val="003F4390"/>
    <w:rsid w:val="003F4426"/>
    <w:rsid w:val="003F44AD"/>
    <w:rsid w:val="003F4523"/>
    <w:rsid w:val="003F46D0"/>
    <w:rsid w:val="003F4740"/>
    <w:rsid w:val="003F47D8"/>
    <w:rsid w:val="003F484E"/>
    <w:rsid w:val="003F48CC"/>
    <w:rsid w:val="003F49CC"/>
    <w:rsid w:val="003F4B07"/>
    <w:rsid w:val="003F4E04"/>
    <w:rsid w:val="003F4ED6"/>
    <w:rsid w:val="003F500A"/>
    <w:rsid w:val="003F50E4"/>
    <w:rsid w:val="003F52D7"/>
    <w:rsid w:val="003F5360"/>
    <w:rsid w:val="003F5376"/>
    <w:rsid w:val="003F56AA"/>
    <w:rsid w:val="003F5C34"/>
    <w:rsid w:val="003F5CF5"/>
    <w:rsid w:val="003F608A"/>
    <w:rsid w:val="003F62AF"/>
    <w:rsid w:val="003F6390"/>
    <w:rsid w:val="003F656B"/>
    <w:rsid w:val="003F677A"/>
    <w:rsid w:val="003F6780"/>
    <w:rsid w:val="003F6836"/>
    <w:rsid w:val="003F6840"/>
    <w:rsid w:val="003F69AF"/>
    <w:rsid w:val="003F69D6"/>
    <w:rsid w:val="003F6A40"/>
    <w:rsid w:val="003F6FE9"/>
    <w:rsid w:val="003F7020"/>
    <w:rsid w:val="003F7090"/>
    <w:rsid w:val="003F716A"/>
    <w:rsid w:val="003F71D9"/>
    <w:rsid w:val="003F72E4"/>
    <w:rsid w:val="003F72F6"/>
    <w:rsid w:val="003F776E"/>
    <w:rsid w:val="003F7F4F"/>
    <w:rsid w:val="0040011E"/>
    <w:rsid w:val="00400246"/>
    <w:rsid w:val="004002A3"/>
    <w:rsid w:val="0040034F"/>
    <w:rsid w:val="0040041F"/>
    <w:rsid w:val="00400463"/>
    <w:rsid w:val="0040056A"/>
    <w:rsid w:val="004005D5"/>
    <w:rsid w:val="004008B6"/>
    <w:rsid w:val="00400997"/>
    <w:rsid w:val="00400C8F"/>
    <w:rsid w:val="00400CBC"/>
    <w:rsid w:val="00400E65"/>
    <w:rsid w:val="00401365"/>
    <w:rsid w:val="004017B7"/>
    <w:rsid w:val="004017F5"/>
    <w:rsid w:val="004018B0"/>
    <w:rsid w:val="00401922"/>
    <w:rsid w:val="0040194B"/>
    <w:rsid w:val="00401B71"/>
    <w:rsid w:val="00401CCA"/>
    <w:rsid w:val="00401DB0"/>
    <w:rsid w:val="00401E70"/>
    <w:rsid w:val="00401FA0"/>
    <w:rsid w:val="004021EA"/>
    <w:rsid w:val="0040224D"/>
    <w:rsid w:val="00402351"/>
    <w:rsid w:val="0040294D"/>
    <w:rsid w:val="00402A6E"/>
    <w:rsid w:val="00402AC0"/>
    <w:rsid w:val="00402E59"/>
    <w:rsid w:val="00403192"/>
    <w:rsid w:val="0040339F"/>
    <w:rsid w:val="00403417"/>
    <w:rsid w:val="004035DA"/>
    <w:rsid w:val="00403615"/>
    <w:rsid w:val="0040376A"/>
    <w:rsid w:val="00403BC4"/>
    <w:rsid w:val="00403C23"/>
    <w:rsid w:val="00403D5F"/>
    <w:rsid w:val="00403DF0"/>
    <w:rsid w:val="00403FB9"/>
    <w:rsid w:val="004040EC"/>
    <w:rsid w:val="004041A3"/>
    <w:rsid w:val="004042EF"/>
    <w:rsid w:val="00404333"/>
    <w:rsid w:val="0040460D"/>
    <w:rsid w:val="00404809"/>
    <w:rsid w:val="0040485E"/>
    <w:rsid w:val="0040497A"/>
    <w:rsid w:val="00404B32"/>
    <w:rsid w:val="00404BD0"/>
    <w:rsid w:val="00404BED"/>
    <w:rsid w:val="00404E6E"/>
    <w:rsid w:val="00404F96"/>
    <w:rsid w:val="004050A4"/>
    <w:rsid w:val="004051A9"/>
    <w:rsid w:val="004053C8"/>
    <w:rsid w:val="00405581"/>
    <w:rsid w:val="0040558D"/>
    <w:rsid w:val="0040574F"/>
    <w:rsid w:val="00405A3E"/>
    <w:rsid w:val="00405E38"/>
    <w:rsid w:val="00405EF6"/>
    <w:rsid w:val="00405FA1"/>
    <w:rsid w:val="0040628E"/>
    <w:rsid w:val="004067E0"/>
    <w:rsid w:val="00406C19"/>
    <w:rsid w:val="00406D48"/>
    <w:rsid w:val="00406E3B"/>
    <w:rsid w:val="00406E72"/>
    <w:rsid w:val="004070BD"/>
    <w:rsid w:val="004073CE"/>
    <w:rsid w:val="0040757D"/>
    <w:rsid w:val="0040789D"/>
    <w:rsid w:val="00407A2F"/>
    <w:rsid w:val="00407B43"/>
    <w:rsid w:val="00407DBD"/>
    <w:rsid w:val="00407DF1"/>
    <w:rsid w:val="00407DFE"/>
    <w:rsid w:val="004104A1"/>
    <w:rsid w:val="00410545"/>
    <w:rsid w:val="00410A93"/>
    <w:rsid w:val="00410ABA"/>
    <w:rsid w:val="00410C54"/>
    <w:rsid w:val="00410D64"/>
    <w:rsid w:val="00411026"/>
    <w:rsid w:val="00411062"/>
    <w:rsid w:val="00411114"/>
    <w:rsid w:val="004111AB"/>
    <w:rsid w:val="00411377"/>
    <w:rsid w:val="00411383"/>
    <w:rsid w:val="0041145C"/>
    <w:rsid w:val="00411527"/>
    <w:rsid w:val="004115F3"/>
    <w:rsid w:val="0041180B"/>
    <w:rsid w:val="00411811"/>
    <w:rsid w:val="0041183E"/>
    <w:rsid w:val="00411A37"/>
    <w:rsid w:val="00411C61"/>
    <w:rsid w:val="00411DB9"/>
    <w:rsid w:val="00411E94"/>
    <w:rsid w:val="00412085"/>
    <w:rsid w:val="0041235A"/>
    <w:rsid w:val="004126AF"/>
    <w:rsid w:val="00412720"/>
    <w:rsid w:val="00412737"/>
    <w:rsid w:val="00412812"/>
    <w:rsid w:val="00412ABB"/>
    <w:rsid w:val="00412B52"/>
    <w:rsid w:val="00412CE5"/>
    <w:rsid w:val="00412D5C"/>
    <w:rsid w:val="00412E36"/>
    <w:rsid w:val="00412F01"/>
    <w:rsid w:val="0041322B"/>
    <w:rsid w:val="00413290"/>
    <w:rsid w:val="00413349"/>
    <w:rsid w:val="0041336B"/>
    <w:rsid w:val="0041336C"/>
    <w:rsid w:val="0041343B"/>
    <w:rsid w:val="0041350E"/>
    <w:rsid w:val="004135D4"/>
    <w:rsid w:val="00413636"/>
    <w:rsid w:val="0041366D"/>
    <w:rsid w:val="0041367C"/>
    <w:rsid w:val="004136E0"/>
    <w:rsid w:val="004136F5"/>
    <w:rsid w:val="0041372F"/>
    <w:rsid w:val="00413966"/>
    <w:rsid w:val="00413ADD"/>
    <w:rsid w:val="00413C6E"/>
    <w:rsid w:val="00413DAF"/>
    <w:rsid w:val="00413EC6"/>
    <w:rsid w:val="00413FB0"/>
    <w:rsid w:val="00413FC3"/>
    <w:rsid w:val="00414273"/>
    <w:rsid w:val="004145BF"/>
    <w:rsid w:val="004146B6"/>
    <w:rsid w:val="00414A86"/>
    <w:rsid w:val="00414B45"/>
    <w:rsid w:val="00414BE4"/>
    <w:rsid w:val="00414C66"/>
    <w:rsid w:val="00414DD5"/>
    <w:rsid w:val="00414E41"/>
    <w:rsid w:val="004150DA"/>
    <w:rsid w:val="0041528F"/>
    <w:rsid w:val="0041539A"/>
    <w:rsid w:val="004159B9"/>
    <w:rsid w:val="004159E6"/>
    <w:rsid w:val="00415A8E"/>
    <w:rsid w:val="00415B6D"/>
    <w:rsid w:val="00415BA6"/>
    <w:rsid w:val="00415CA3"/>
    <w:rsid w:val="00415CBC"/>
    <w:rsid w:val="00415D94"/>
    <w:rsid w:val="00415EDD"/>
    <w:rsid w:val="00415F8A"/>
    <w:rsid w:val="00415F96"/>
    <w:rsid w:val="00416201"/>
    <w:rsid w:val="0041637C"/>
    <w:rsid w:val="00416556"/>
    <w:rsid w:val="00416622"/>
    <w:rsid w:val="004166A2"/>
    <w:rsid w:val="0041672A"/>
    <w:rsid w:val="004168C9"/>
    <w:rsid w:val="004168D4"/>
    <w:rsid w:val="004168ED"/>
    <w:rsid w:val="00416B18"/>
    <w:rsid w:val="00416CE3"/>
    <w:rsid w:val="00416D39"/>
    <w:rsid w:val="00416D67"/>
    <w:rsid w:val="00416F3F"/>
    <w:rsid w:val="00416F9C"/>
    <w:rsid w:val="004170FD"/>
    <w:rsid w:val="00417414"/>
    <w:rsid w:val="00417492"/>
    <w:rsid w:val="004176C6"/>
    <w:rsid w:val="004177F4"/>
    <w:rsid w:val="004179A0"/>
    <w:rsid w:val="004179A3"/>
    <w:rsid w:val="004179DC"/>
    <w:rsid w:val="00417A27"/>
    <w:rsid w:val="00417DAF"/>
    <w:rsid w:val="00417E3B"/>
    <w:rsid w:val="00417EBF"/>
    <w:rsid w:val="004200E0"/>
    <w:rsid w:val="00420147"/>
    <w:rsid w:val="004201C8"/>
    <w:rsid w:val="0042023F"/>
    <w:rsid w:val="00420555"/>
    <w:rsid w:val="00420641"/>
    <w:rsid w:val="0042072D"/>
    <w:rsid w:val="00420818"/>
    <w:rsid w:val="00420832"/>
    <w:rsid w:val="00420A34"/>
    <w:rsid w:val="00420A4B"/>
    <w:rsid w:val="00420D08"/>
    <w:rsid w:val="00420D12"/>
    <w:rsid w:val="00420E88"/>
    <w:rsid w:val="00421111"/>
    <w:rsid w:val="00421148"/>
    <w:rsid w:val="004212FC"/>
    <w:rsid w:val="00421331"/>
    <w:rsid w:val="004213AA"/>
    <w:rsid w:val="00421480"/>
    <w:rsid w:val="004215C5"/>
    <w:rsid w:val="004215E7"/>
    <w:rsid w:val="00421C84"/>
    <w:rsid w:val="00421CB4"/>
    <w:rsid w:val="00421CC3"/>
    <w:rsid w:val="00421D0C"/>
    <w:rsid w:val="00421F76"/>
    <w:rsid w:val="00421F89"/>
    <w:rsid w:val="00421FA5"/>
    <w:rsid w:val="00422248"/>
    <w:rsid w:val="00422480"/>
    <w:rsid w:val="004224A3"/>
    <w:rsid w:val="00422556"/>
    <w:rsid w:val="004225EE"/>
    <w:rsid w:val="00422627"/>
    <w:rsid w:val="00422650"/>
    <w:rsid w:val="004226D4"/>
    <w:rsid w:val="00422746"/>
    <w:rsid w:val="00422B96"/>
    <w:rsid w:val="00422E3C"/>
    <w:rsid w:val="00422F44"/>
    <w:rsid w:val="00422F4E"/>
    <w:rsid w:val="004230D0"/>
    <w:rsid w:val="004230D3"/>
    <w:rsid w:val="004230E6"/>
    <w:rsid w:val="004238AB"/>
    <w:rsid w:val="004239C4"/>
    <w:rsid w:val="00423CCF"/>
    <w:rsid w:val="00423D0B"/>
    <w:rsid w:val="00423E33"/>
    <w:rsid w:val="00423F7A"/>
    <w:rsid w:val="00424203"/>
    <w:rsid w:val="00424228"/>
    <w:rsid w:val="0042459E"/>
    <w:rsid w:val="00424607"/>
    <w:rsid w:val="0042470A"/>
    <w:rsid w:val="00424756"/>
    <w:rsid w:val="00424A08"/>
    <w:rsid w:val="00424AD8"/>
    <w:rsid w:val="00424B22"/>
    <w:rsid w:val="00424C42"/>
    <w:rsid w:val="00424E45"/>
    <w:rsid w:val="00424EAC"/>
    <w:rsid w:val="00424EBE"/>
    <w:rsid w:val="00424F70"/>
    <w:rsid w:val="00424FE6"/>
    <w:rsid w:val="004252AE"/>
    <w:rsid w:val="004252E2"/>
    <w:rsid w:val="004253C6"/>
    <w:rsid w:val="00425411"/>
    <w:rsid w:val="00425465"/>
    <w:rsid w:val="004254CB"/>
    <w:rsid w:val="00425534"/>
    <w:rsid w:val="004258BE"/>
    <w:rsid w:val="00425AA5"/>
    <w:rsid w:val="00425C8C"/>
    <w:rsid w:val="00425CDB"/>
    <w:rsid w:val="00425F45"/>
    <w:rsid w:val="00425FB0"/>
    <w:rsid w:val="004260FF"/>
    <w:rsid w:val="00426114"/>
    <w:rsid w:val="0042641B"/>
    <w:rsid w:val="0042651E"/>
    <w:rsid w:val="00426A9D"/>
    <w:rsid w:val="00426B67"/>
    <w:rsid w:val="00426C90"/>
    <w:rsid w:val="00426F92"/>
    <w:rsid w:val="00426FAF"/>
    <w:rsid w:val="0042708D"/>
    <w:rsid w:val="0042717B"/>
    <w:rsid w:val="004271F4"/>
    <w:rsid w:val="00427228"/>
    <w:rsid w:val="0042738C"/>
    <w:rsid w:val="0042758E"/>
    <w:rsid w:val="00427A2C"/>
    <w:rsid w:val="00427AE0"/>
    <w:rsid w:val="00427AEE"/>
    <w:rsid w:val="00427D83"/>
    <w:rsid w:val="00427F61"/>
    <w:rsid w:val="00427F69"/>
    <w:rsid w:val="00427FD2"/>
    <w:rsid w:val="00430067"/>
    <w:rsid w:val="00430864"/>
    <w:rsid w:val="00430969"/>
    <w:rsid w:val="00430B35"/>
    <w:rsid w:val="00430CA3"/>
    <w:rsid w:val="00430F4B"/>
    <w:rsid w:val="004312CC"/>
    <w:rsid w:val="0043147A"/>
    <w:rsid w:val="00431482"/>
    <w:rsid w:val="004314AF"/>
    <w:rsid w:val="00431701"/>
    <w:rsid w:val="004319BD"/>
    <w:rsid w:val="00431C0C"/>
    <w:rsid w:val="00431C3B"/>
    <w:rsid w:val="00431DD7"/>
    <w:rsid w:val="00431E52"/>
    <w:rsid w:val="00431E8C"/>
    <w:rsid w:val="00431F0F"/>
    <w:rsid w:val="00432020"/>
    <w:rsid w:val="0043216C"/>
    <w:rsid w:val="004324AC"/>
    <w:rsid w:val="004328AE"/>
    <w:rsid w:val="004329C0"/>
    <w:rsid w:val="00432B9C"/>
    <w:rsid w:val="00432C1C"/>
    <w:rsid w:val="00432D1A"/>
    <w:rsid w:val="00432D7E"/>
    <w:rsid w:val="00432E5A"/>
    <w:rsid w:val="00432EAA"/>
    <w:rsid w:val="00432F17"/>
    <w:rsid w:val="00432F47"/>
    <w:rsid w:val="004330AE"/>
    <w:rsid w:val="004330B3"/>
    <w:rsid w:val="004334F4"/>
    <w:rsid w:val="004334FA"/>
    <w:rsid w:val="00433A7C"/>
    <w:rsid w:val="00433D0C"/>
    <w:rsid w:val="00433FEA"/>
    <w:rsid w:val="004340E6"/>
    <w:rsid w:val="004341B9"/>
    <w:rsid w:val="0043439F"/>
    <w:rsid w:val="00434430"/>
    <w:rsid w:val="004344A8"/>
    <w:rsid w:val="004345B6"/>
    <w:rsid w:val="00434853"/>
    <w:rsid w:val="0043498A"/>
    <w:rsid w:val="00434D0A"/>
    <w:rsid w:val="00434E47"/>
    <w:rsid w:val="00434EE6"/>
    <w:rsid w:val="0043506F"/>
    <w:rsid w:val="0043520C"/>
    <w:rsid w:val="00435292"/>
    <w:rsid w:val="004352AA"/>
    <w:rsid w:val="00435305"/>
    <w:rsid w:val="004354BC"/>
    <w:rsid w:val="0043555F"/>
    <w:rsid w:val="00435742"/>
    <w:rsid w:val="00435AA0"/>
    <w:rsid w:val="00435D39"/>
    <w:rsid w:val="00435F28"/>
    <w:rsid w:val="00436114"/>
    <w:rsid w:val="004362AE"/>
    <w:rsid w:val="00436688"/>
    <w:rsid w:val="004367BA"/>
    <w:rsid w:val="00436981"/>
    <w:rsid w:val="00436A81"/>
    <w:rsid w:val="00436C26"/>
    <w:rsid w:val="00436D6F"/>
    <w:rsid w:val="0043712F"/>
    <w:rsid w:val="00437144"/>
    <w:rsid w:val="004371AB"/>
    <w:rsid w:val="00437281"/>
    <w:rsid w:val="00437289"/>
    <w:rsid w:val="0043786B"/>
    <w:rsid w:val="00437950"/>
    <w:rsid w:val="00437979"/>
    <w:rsid w:val="00437CCF"/>
    <w:rsid w:val="00437D38"/>
    <w:rsid w:val="00440151"/>
    <w:rsid w:val="00440766"/>
    <w:rsid w:val="004408ED"/>
    <w:rsid w:val="00440A05"/>
    <w:rsid w:val="00440C15"/>
    <w:rsid w:val="00440C67"/>
    <w:rsid w:val="00440CC1"/>
    <w:rsid w:val="00440D5A"/>
    <w:rsid w:val="00440D81"/>
    <w:rsid w:val="004411A5"/>
    <w:rsid w:val="004414DE"/>
    <w:rsid w:val="0044152E"/>
    <w:rsid w:val="00441650"/>
    <w:rsid w:val="00441741"/>
    <w:rsid w:val="0044184A"/>
    <w:rsid w:val="00441B90"/>
    <w:rsid w:val="00441CBC"/>
    <w:rsid w:val="00441CE5"/>
    <w:rsid w:val="00441E43"/>
    <w:rsid w:val="00441FE1"/>
    <w:rsid w:val="00441FEC"/>
    <w:rsid w:val="0044225A"/>
    <w:rsid w:val="00442336"/>
    <w:rsid w:val="0044245B"/>
    <w:rsid w:val="0044253F"/>
    <w:rsid w:val="004427C0"/>
    <w:rsid w:val="00442836"/>
    <w:rsid w:val="00442A97"/>
    <w:rsid w:val="00442BA0"/>
    <w:rsid w:val="00442BF0"/>
    <w:rsid w:val="00442C17"/>
    <w:rsid w:val="00442CB9"/>
    <w:rsid w:val="00442E4A"/>
    <w:rsid w:val="004430D0"/>
    <w:rsid w:val="004431B2"/>
    <w:rsid w:val="004432E1"/>
    <w:rsid w:val="0044355D"/>
    <w:rsid w:val="004436D0"/>
    <w:rsid w:val="0044373C"/>
    <w:rsid w:val="0044385E"/>
    <w:rsid w:val="004439CF"/>
    <w:rsid w:val="00443A41"/>
    <w:rsid w:val="00443B77"/>
    <w:rsid w:val="00443C61"/>
    <w:rsid w:val="00443D04"/>
    <w:rsid w:val="00443D7A"/>
    <w:rsid w:val="00443EE9"/>
    <w:rsid w:val="00443EFE"/>
    <w:rsid w:val="00443F54"/>
    <w:rsid w:val="004440AE"/>
    <w:rsid w:val="004440DA"/>
    <w:rsid w:val="0044450B"/>
    <w:rsid w:val="0044450C"/>
    <w:rsid w:val="00444972"/>
    <w:rsid w:val="0044498F"/>
    <w:rsid w:val="00444A82"/>
    <w:rsid w:val="00444B71"/>
    <w:rsid w:val="00444B90"/>
    <w:rsid w:val="00444D44"/>
    <w:rsid w:val="00444D8F"/>
    <w:rsid w:val="00444DDC"/>
    <w:rsid w:val="004450EF"/>
    <w:rsid w:val="004451CD"/>
    <w:rsid w:val="00445319"/>
    <w:rsid w:val="00445693"/>
    <w:rsid w:val="004456D1"/>
    <w:rsid w:val="004457CB"/>
    <w:rsid w:val="00445A3B"/>
    <w:rsid w:val="00445A55"/>
    <w:rsid w:val="00445B8B"/>
    <w:rsid w:val="00445BE1"/>
    <w:rsid w:val="00445C9C"/>
    <w:rsid w:val="004460D1"/>
    <w:rsid w:val="00446186"/>
    <w:rsid w:val="004461A3"/>
    <w:rsid w:val="004465D0"/>
    <w:rsid w:val="00446A57"/>
    <w:rsid w:val="00446C44"/>
    <w:rsid w:val="00446C4C"/>
    <w:rsid w:val="00447092"/>
    <w:rsid w:val="004470D1"/>
    <w:rsid w:val="00447343"/>
    <w:rsid w:val="00447453"/>
    <w:rsid w:val="004475D8"/>
    <w:rsid w:val="00447875"/>
    <w:rsid w:val="004478ED"/>
    <w:rsid w:val="00447AF9"/>
    <w:rsid w:val="00447B61"/>
    <w:rsid w:val="00447E76"/>
    <w:rsid w:val="00447E86"/>
    <w:rsid w:val="00447EF6"/>
    <w:rsid w:val="004500B2"/>
    <w:rsid w:val="004500CB"/>
    <w:rsid w:val="0045056A"/>
    <w:rsid w:val="00450756"/>
    <w:rsid w:val="004508DC"/>
    <w:rsid w:val="00450924"/>
    <w:rsid w:val="00450BE6"/>
    <w:rsid w:val="00450D01"/>
    <w:rsid w:val="00450D5D"/>
    <w:rsid w:val="00450D63"/>
    <w:rsid w:val="00450ED9"/>
    <w:rsid w:val="004512E9"/>
    <w:rsid w:val="004512F0"/>
    <w:rsid w:val="00451343"/>
    <w:rsid w:val="00451490"/>
    <w:rsid w:val="004514FE"/>
    <w:rsid w:val="0045155D"/>
    <w:rsid w:val="00451692"/>
    <w:rsid w:val="004516F0"/>
    <w:rsid w:val="004517E9"/>
    <w:rsid w:val="004518E3"/>
    <w:rsid w:val="00451960"/>
    <w:rsid w:val="00451979"/>
    <w:rsid w:val="00451A9D"/>
    <w:rsid w:val="00451BCC"/>
    <w:rsid w:val="00451C2F"/>
    <w:rsid w:val="00451F7F"/>
    <w:rsid w:val="00452320"/>
    <w:rsid w:val="00452386"/>
    <w:rsid w:val="00452398"/>
    <w:rsid w:val="004523D0"/>
    <w:rsid w:val="004524CB"/>
    <w:rsid w:val="00452686"/>
    <w:rsid w:val="004526AB"/>
    <w:rsid w:val="004526EB"/>
    <w:rsid w:val="004527CE"/>
    <w:rsid w:val="00452AB6"/>
    <w:rsid w:val="00452CF7"/>
    <w:rsid w:val="00452D53"/>
    <w:rsid w:val="00452FAD"/>
    <w:rsid w:val="004531AC"/>
    <w:rsid w:val="004531F3"/>
    <w:rsid w:val="0045327E"/>
    <w:rsid w:val="004534E4"/>
    <w:rsid w:val="00453683"/>
    <w:rsid w:val="0045396F"/>
    <w:rsid w:val="004541B3"/>
    <w:rsid w:val="00454245"/>
    <w:rsid w:val="004542A3"/>
    <w:rsid w:val="004542A7"/>
    <w:rsid w:val="004544AA"/>
    <w:rsid w:val="004544E8"/>
    <w:rsid w:val="00454704"/>
    <w:rsid w:val="00454756"/>
    <w:rsid w:val="0045484D"/>
    <w:rsid w:val="00454C75"/>
    <w:rsid w:val="00454D31"/>
    <w:rsid w:val="00454D89"/>
    <w:rsid w:val="00454E8A"/>
    <w:rsid w:val="00454EF0"/>
    <w:rsid w:val="0045517B"/>
    <w:rsid w:val="004552A0"/>
    <w:rsid w:val="00455546"/>
    <w:rsid w:val="0045558F"/>
    <w:rsid w:val="004558F5"/>
    <w:rsid w:val="00455B40"/>
    <w:rsid w:val="00455C3D"/>
    <w:rsid w:val="00455C4B"/>
    <w:rsid w:val="00455D2B"/>
    <w:rsid w:val="00455DF9"/>
    <w:rsid w:val="00455E33"/>
    <w:rsid w:val="00455E47"/>
    <w:rsid w:val="00455EEA"/>
    <w:rsid w:val="00456216"/>
    <w:rsid w:val="004562D5"/>
    <w:rsid w:val="0045635A"/>
    <w:rsid w:val="00456A03"/>
    <w:rsid w:val="00456EF7"/>
    <w:rsid w:val="004573D6"/>
    <w:rsid w:val="0045747A"/>
    <w:rsid w:val="004574A0"/>
    <w:rsid w:val="004575B5"/>
    <w:rsid w:val="004577FC"/>
    <w:rsid w:val="00457911"/>
    <w:rsid w:val="00457934"/>
    <w:rsid w:val="00457B7E"/>
    <w:rsid w:val="00457C78"/>
    <w:rsid w:val="00457C93"/>
    <w:rsid w:val="00457D60"/>
    <w:rsid w:val="00457D8A"/>
    <w:rsid w:val="00457F10"/>
    <w:rsid w:val="004602EE"/>
    <w:rsid w:val="004604EB"/>
    <w:rsid w:val="004604FC"/>
    <w:rsid w:val="0046066A"/>
    <w:rsid w:val="004607ED"/>
    <w:rsid w:val="0046085E"/>
    <w:rsid w:val="004609AA"/>
    <w:rsid w:val="00460AB9"/>
    <w:rsid w:val="00460ABD"/>
    <w:rsid w:val="00460B96"/>
    <w:rsid w:val="00460CA6"/>
    <w:rsid w:val="00460D98"/>
    <w:rsid w:val="00460F32"/>
    <w:rsid w:val="004613DF"/>
    <w:rsid w:val="00461421"/>
    <w:rsid w:val="004614A4"/>
    <w:rsid w:val="004614EB"/>
    <w:rsid w:val="0046162E"/>
    <w:rsid w:val="00461645"/>
    <w:rsid w:val="004616CE"/>
    <w:rsid w:val="004617A3"/>
    <w:rsid w:val="00461836"/>
    <w:rsid w:val="004618DC"/>
    <w:rsid w:val="00461CEB"/>
    <w:rsid w:val="004620EC"/>
    <w:rsid w:val="004623E9"/>
    <w:rsid w:val="004623EF"/>
    <w:rsid w:val="004625E1"/>
    <w:rsid w:val="00462712"/>
    <w:rsid w:val="00462779"/>
    <w:rsid w:val="00462794"/>
    <w:rsid w:val="004627B2"/>
    <w:rsid w:val="004627C2"/>
    <w:rsid w:val="004628DB"/>
    <w:rsid w:val="00462972"/>
    <w:rsid w:val="004629F4"/>
    <w:rsid w:val="00462AFA"/>
    <w:rsid w:val="0046325E"/>
    <w:rsid w:val="00463323"/>
    <w:rsid w:val="004634AD"/>
    <w:rsid w:val="0046360B"/>
    <w:rsid w:val="0046367D"/>
    <w:rsid w:val="00463ACE"/>
    <w:rsid w:val="00463B5A"/>
    <w:rsid w:val="00463CD8"/>
    <w:rsid w:val="00463F45"/>
    <w:rsid w:val="00463FEF"/>
    <w:rsid w:val="0046402B"/>
    <w:rsid w:val="004640A6"/>
    <w:rsid w:val="004644F9"/>
    <w:rsid w:val="004644FC"/>
    <w:rsid w:val="00464657"/>
    <w:rsid w:val="004646A8"/>
    <w:rsid w:val="004646E4"/>
    <w:rsid w:val="004647CF"/>
    <w:rsid w:val="00464A59"/>
    <w:rsid w:val="00464BE0"/>
    <w:rsid w:val="00464F62"/>
    <w:rsid w:val="004650EA"/>
    <w:rsid w:val="00465167"/>
    <w:rsid w:val="00465408"/>
    <w:rsid w:val="00465496"/>
    <w:rsid w:val="004654A9"/>
    <w:rsid w:val="00465571"/>
    <w:rsid w:val="0046585F"/>
    <w:rsid w:val="00465B4D"/>
    <w:rsid w:val="00465D3C"/>
    <w:rsid w:val="00465E4D"/>
    <w:rsid w:val="00465F08"/>
    <w:rsid w:val="00466004"/>
    <w:rsid w:val="0046602D"/>
    <w:rsid w:val="004660AF"/>
    <w:rsid w:val="00466159"/>
    <w:rsid w:val="0046615B"/>
    <w:rsid w:val="0046619D"/>
    <w:rsid w:val="00466239"/>
    <w:rsid w:val="004662BC"/>
    <w:rsid w:val="00466442"/>
    <w:rsid w:val="00466444"/>
    <w:rsid w:val="00466593"/>
    <w:rsid w:val="00466657"/>
    <w:rsid w:val="004666B2"/>
    <w:rsid w:val="004666F5"/>
    <w:rsid w:val="00466808"/>
    <w:rsid w:val="00466816"/>
    <w:rsid w:val="00466CDB"/>
    <w:rsid w:val="00466D1B"/>
    <w:rsid w:val="00466E26"/>
    <w:rsid w:val="00466F12"/>
    <w:rsid w:val="00466F25"/>
    <w:rsid w:val="00466F60"/>
    <w:rsid w:val="00466FAB"/>
    <w:rsid w:val="00466FCE"/>
    <w:rsid w:val="00467169"/>
    <w:rsid w:val="00467191"/>
    <w:rsid w:val="0046733A"/>
    <w:rsid w:val="0046758A"/>
    <w:rsid w:val="00467603"/>
    <w:rsid w:val="00467B5B"/>
    <w:rsid w:val="0047002E"/>
    <w:rsid w:val="0047022E"/>
    <w:rsid w:val="00470354"/>
    <w:rsid w:val="00470468"/>
    <w:rsid w:val="00470686"/>
    <w:rsid w:val="00470781"/>
    <w:rsid w:val="004707DE"/>
    <w:rsid w:val="004708AC"/>
    <w:rsid w:val="00470A9D"/>
    <w:rsid w:val="00470C02"/>
    <w:rsid w:val="00470C2A"/>
    <w:rsid w:val="00470C9B"/>
    <w:rsid w:val="0047102B"/>
    <w:rsid w:val="00471129"/>
    <w:rsid w:val="00471165"/>
    <w:rsid w:val="00471368"/>
    <w:rsid w:val="004713AC"/>
    <w:rsid w:val="004713C8"/>
    <w:rsid w:val="00471407"/>
    <w:rsid w:val="00471542"/>
    <w:rsid w:val="00471849"/>
    <w:rsid w:val="0047193B"/>
    <w:rsid w:val="00471A73"/>
    <w:rsid w:val="00471AF5"/>
    <w:rsid w:val="00471BE1"/>
    <w:rsid w:val="00471D0A"/>
    <w:rsid w:val="00471D45"/>
    <w:rsid w:val="00471F19"/>
    <w:rsid w:val="004720EC"/>
    <w:rsid w:val="004720F8"/>
    <w:rsid w:val="0047225C"/>
    <w:rsid w:val="00472264"/>
    <w:rsid w:val="004722C1"/>
    <w:rsid w:val="004722E0"/>
    <w:rsid w:val="0047236E"/>
    <w:rsid w:val="0047261C"/>
    <w:rsid w:val="00472649"/>
    <w:rsid w:val="00472894"/>
    <w:rsid w:val="00472A9D"/>
    <w:rsid w:val="00472CCC"/>
    <w:rsid w:val="00472DED"/>
    <w:rsid w:val="00472E4F"/>
    <w:rsid w:val="00472EE4"/>
    <w:rsid w:val="00473156"/>
    <w:rsid w:val="004734AE"/>
    <w:rsid w:val="004735F7"/>
    <w:rsid w:val="00473935"/>
    <w:rsid w:val="00473A80"/>
    <w:rsid w:val="0047403E"/>
    <w:rsid w:val="004741F8"/>
    <w:rsid w:val="004742EF"/>
    <w:rsid w:val="00474541"/>
    <w:rsid w:val="004746DC"/>
    <w:rsid w:val="00474A34"/>
    <w:rsid w:val="00474B40"/>
    <w:rsid w:val="00474B60"/>
    <w:rsid w:val="00474CE1"/>
    <w:rsid w:val="00474F09"/>
    <w:rsid w:val="0047504B"/>
    <w:rsid w:val="0047511C"/>
    <w:rsid w:val="00475269"/>
    <w:rsid w:val="004752ED"/>
    <w:rsid w:val="00475430"/>
    <w:rsid w:val="0047550F"/>
    <w:rsid w:val="00475606"/>
    <w:rsid w:val="00475609"/>
    <w:rsid w:val="0047564B"/>
    <w:rsid w:val="00475719"/>
    <w:rsid w:val="0047581C"/>
    <w:rsid w:val="0047586F"/>
    <w:rsid w:val="00475BD2"/>
    <w:rsid w:val="00475CBA"/>
    <w:rsid w:val="00475D95"/>
    <w:rsid w:val="00475D99"/>
    <w:rsid w:val="00475E6E"/>
    <w:rsid w:val="00475F4E"/>
    <w:rsid w:val="004760D4"/>
    <w:rsid w:val="00476161"/>
    <w:rsid w:val="004765CF"/>
    <w:rsid w:val="0047662F"/>
    <w:rsid w:val="004766FE"/>
    <w:rsid w:val="00476731"/>
    <w:rsid w:val="00476854"/>
    <w:rsid w:val="004768D0"/>
    <w:rsid w:val="004769B5"/>
    <w:rsid w:val="00476A6A"/>
    <w:rsid w:val="00476AB2"/>
    <w:rsid w:val="00476D8E"/>
    <w:rsid w:val="00476DCF"/>
    <w:rsid w:val="00476F0A"/>
    <w:rsid w:val="00476F10"/>
    <w:rsid w:val="00476F1A"/>
    <w:rsid w:val="00476F2C"/>
    <w:rsid w:val="0047734B"/>
    <w:rsid w:val="004775CE"/>
    <w:rsid w:val="00477616"/>
    <w:rsid w:val="004776E8"/>
    <w:rsid w:val="00477722"/>
    <w:rsid w:val="00477766"/>
    <w:rsid w:val="00477775"/>
    <w:rsid w:val="00477D72"/>
    <w:rsid w:val="00480069"/>
    <w:rsid w:val="004803A8"/>
    <w:rsid w:val="00480417"/>
    <w:rsid w:val="004804F3"/>
    <w:rsid w:val="004806D4"/>
    <w:rsid w:val="004807C4"/>
    <w:rsid w:val="00480ABA"/>
    <w:rsid w:val="00480AC0"/>
    <w:rsid w:val="00480B3E"/>
    <w:rsid w:val="00480B7B"/>
    <w:rsid w:val="00480BCD"/>
    <w:rsid w:val="00480C7E"/>
    <w:rsid w:val="00480D3B"/>
    <w:rsid w:val="00480D94"/>
    <w:rsid w:val="00481096"/>
    <w:rsid w:val="004810D1"/>
    <w:rsid w:val="0048113A"/>
    <w:rsid w:val="004811F0"/>
    <w:rsid w:val="004813B1"/>
    <w:rsid w:val="0048157D"/>
    <w:rsid w:val="004816EB"/>
    <w:rsid w:val="00481858"/>
    <w:rsid w:val="004819E0"/>
    <w:rsid w:val="004819F0"/>
    <w:rsid w:val="00481BC4"/>
    <w:rsid w:val="00481CDA"/>
    <w:rsid w:val="00481ED5"/>
    <w:rsid w:val="00482261"/>
    <w:rsid w:val="004823D6"/>
    <w:rsid w:val="00482403"/>
    <w:rsid w:val="0048240E"/>
    <w:rsid w:val="00482466"/>
    <w:rsid w:val="00482527"/>
    <w:rsid w:val="0048253E"/>
    <w:rsid w:val="00482819"/>
    <w:rsid w:val="004829C1"/>
    <w:rsid w:val="004829E9"/>
    <w:rsid w:val="00482C59"/>
    <w:rsid w:val="00482E26"/>
    <w:rsid w:val="00482F27"/>
    <w:rsid w:val="00482FA1"/>
    <w:rsid w:val="00482FA4"/>
    <w:rsid w:val="00482FE5"/>
    <w:rsid w:val="00483031"/>
    <w:rsid w:val="0048308F"/>
    <w:rsid w:val="00483687"/>
    <w:rsid w:val="00483814"/>
    <w:rsid w:val="004838E7"/>
    <w:rsid w:val="0048393A"/>
    <w:rsid w:val="00483AFC"/>
    <w:rsid w:val="00483DB8"/>
    <w:rsid w:val="00483E53"/>
    <w:rsid w:val="00483EE7"/>
    <w:rsid w:val="00483F4C"/>
    <w:rsid w:val="004840F1"/>
    <w:rsid w:val="00484150"/>
    <w:rsid w:val="004841E8"/>
    <w:rsid w:val="004841ED"/>
    <w:rsid w:val="0048421B"/>
    <w:rsid w:val="00484347"/>
    <w:rsid w:val="004843A9"/>
    <w:rsid w:val="00484470"/>
    <w:rsid w:val="004844A2"/>
    <w:rsid w:val="004846CC"/>
    <w:rsid w:val="00484707"/>
    <w:rsid w:val="00484949"/>
    <w:rsid w:val="00484954"/>
    <w:rsid w:val="004849ED"/>
    <w:rsid w:val="00484A6B"/>
    <w:rsid w:val="00484AE3"/>
    <w:rsid w:val="00484B88"/>
    <w:rsid w:val="00484C96"/>
    <w:rsid w:val="00484E71"/>
    <w:rsid w:val="00484F1F"/>
    <w:rsid w:val="00484FC9"/>
    <w:rsid w:val="0048501E"/>
    <w:rsid w:val="0048513C"/>
    <w:rsid w:val="004851C7"/>
    <w:rsid w:val="0048521D"/>
    <w:rsid w:val="00485394"/>
    <w:rsid w:val="004855AD"/>
    <w:rsid w:val="004856E3"/>
    <w:rsid w:val="00485722"/>
    <w:rsid w:val="004858E4"/>
    <w:rsid w:val="004859DE"/>
    <w:rsid w:val="00485BBF"/>
    <w:rsid w:val="00485C42"/>
    <w:rsid w:val="00485D12"/>
    <w:rsid w:val="00485E4D"/>
    <w:rsid w:val="00485E70"/>
    <w:rsid w:val="00485F69"/>
    <w:rsid w:val="004860DC"/>
    <w:rsid w:val="0048613C"/>
    <w:rsid w:val="00486156"/>
    <w:rsid w:val="004862BA"/>
    <w:rsid w:val="00486402"/>
    <w:rsid w:val="00486534"/>
    <w:rsid w:val="00486574"/>
    <w:rsid w:val="004866F1"/>
    <w:rsid w:val="00486974"/>
    <w:rsid w:val="004869A0"/>
    <w:rsid w:val="00486A38"/>
    <w:rsid w:val="00486B2F"/>
    <w:rsid w:val="00486B83"/>
    <w:rsid w:val="00486CB5"/>
    <w:rsid w:val="004870C5"/>
    <w:rsid w:val="00487474"/>
    <w:rsid w:val="0048780E"/>
    <w:rsid w:val="0048780F"/>
    <w:rsid w:val="00487854"/>
    <w:rsid w:val="00487A29"/>
    <w:rsid w:val="00487B0A"/>
    <w:rsid w:val="00487C24"/>
    <w:rsid w:val="0049012B"/>
    <w:rsid w:val="00490156"/>
    <w:rsid w:val="004901B2"/>
    <w:rsid w:val="004901D5"/>
    <w:rsid w:val="0049047B"/>
    <w:rsid w:val="00490524"/>
    <w:rsid w:val="00490688"/>
    <w:rsid w:val="004906CC"/>
    <w:rsid w:val="0049071E"/>
    <w:rsid w:val="0049082E"/>
    <w:rsid w:val="004909E8"/>
    <w:rsid w:val="00490AF0"/>
    <w:rsid w:val="00490EE6"/>
    <w:rsid w:val="00490F00"/>
    <w:rsid w:val="004911E4"/>
    <w:rsid w:val="0049125B"/>
    <w:rsid w:val="004913AC"/>
    <w:rsid w:val="004913B4"/>
    <w:rsid w:val="00491432"/>
    <w:rsid w:val="004914E1"/>
    <w:rsid w:val="00491634"/>
    <w:rsid w:val="0049167F"/>
    <w:rsid w:val="00491783"/>
    <w:rsid w:val="004918A9"/>
    <w:rsid w:val="004919B9"/>
    <w:rsid w:val="00491ABF"/>
    <w:rsid w:val="00491BA0"/>
    <w:rsid w:val="00491C41"/>
    <w:rsid w:val="00491F5F"/>
    <w:rsid w:val="00491F6F"/>
    <w:rsid w:val="00492027"/>
    <w:rsid w:val="00492202"/>
    <w:rsid w:val="004923D4"/>
    <w:rsid w:val="00492577"/>
    <w:rsid w:val="004925FA"/>
    <w:rsid w:val="00492A85"/>
    <w:rsid w:val="00492AC2"/>
    <w:rsid w:val="00492B09"/>
    <w:rsid w:val="00492CD2"/>
    <w:rsid w:val="00492EBC"/>
    <w:rsid w:val="00493022"/>
    <w:rsid w:val="0049304B"/>
    <w:rsid w:val="004930DE"/>
    <w:rsid w:val="00493101"/>
    <w:rsid w:val="00493228"/>
    <w:rsid w:val="00493336"/>
    <w:rsid w:val="004933C4"/>
    <w:rsid w:val="004933CC"/>
    <w:rsid w:val="00493694"/>
    <w:rsid w:val="004936A5"/>
    <w:rsid w:val="004936FA"/>
    <w:rsid w:val="004937B9"/>
    <w:rsid w:val="00493A7D"/>
    <w:rsid w:val="00493B0B"/>
    <w:rsid w:val="00493C0B"/>
    <w:rsid w:val="00493F17"/>
    <w:rsid w:val="00493FC5"/>
    <w:rsid w:val="00493FEB"/>
    <w:rsid w:val="00494075"/>
    <w:rsid w:val="004940EF"/>
    <w:rsid w:val="0049428D"/>
    <w:rsid w:val="004944C5"/>
    <w:rsid w:val="00494747"/>
    <w:rsid w:val="0049474A"/>
    <w:rsid w:val="004948CB"/>
    <w:rsid w:val="00494901"/>
    <w:rsid w:val="00494A6B"/>
    <w:rsid w:val="00494BD4"/>
    <w:rsid w:val="00494D8E"/>
    <w:rsid w:val="00494FB1"/>
    <w:rsid w:val="004950FD"/>
    <w:rsid w:val="004951D3"/>
    <w:rsid w:val="0049538A"/>
    <w:rsid w:val="004953E9"/>
    <w:rsid w:val="00495868"/>
    <w:rsid w:val="00495A07"/>
    <w:rsid w:val="00495B05"/>
    <w:rsid w:val="00495C4D"/>
    <w:rsid w:val="00495E47"/>
    <w:rsid w:val="00495F6A"/>
    <w:rsid w:val="00496008"/>
    <w:rsid w:val="004960CC"/>
    <w:rsid w:val="00496109"/>
    <w:rsid w:val="0049611B"/>
    <w:rsid w:val="00496469"/>
    <w:rsid w:val="00496500"/>
    <w:rsid w:val="00496579"/>
    <w:rsid w:val="0049667E"/>
    <w:rsid w:val="0049674D"/>
    <w:rsid w:val="004967E1"/>
    <w:rsid w:val="00496879"/>
    <w:rsid w:val="004969F0"/>
    <w:rsid w:val="00496ED8"/>
    <w:rsid w:val="00496F3A"/>
    <w:rsid w:val="00497356"/>
    <w:rsid w:val="004973A7"/>
    <w:rsid w:val="00497668"/>
    <w:rsid w:val="0049773E"/>
    <w:rsid w:val="0049774F"/>
    <w:rsid w:val="00497902"/>
    <w:rsid w:val="00497CB3"/>
    <w:rsid w:val="00497EB5"/>
    <w:rsid w:val="00497ED1"/>
    <w:rsid w:val="00497F41"/>
    <w:rsid w:val="00497FA3"/>
    <w:rsid w:val="004A01A6"/>
    <w:rsid w:val="004A04F9"/>
    <w:rsid w:val="004A0622"/>
    <w:rsid w:val="004A071A"/>
    <w:rsid w:val="004A0723"/>
    <w:rsid w:val="004A0968"/>
    <w:rsid w:val="004A0E2F"/>
    <w:rsid w:val="004A0E5F"/>
    <w:rsid w:val="004A0ECC"/>
    <w:rsid w:val="004A1059"/>
    <w:rsid w:val="004A1109"/>
    <w:rsid w:val="004A1249"/>
    <w:rsid w:val="004A1460"/>
    <w:rsid w:val="004A14EE"/>
    <w:rsid w:val="004A1506"/>
    <w:rsid w:val="004A162B"/>
    <w:rsid w:val="004A1630"/>
    <w:rsid w:val="004A176D"/>
    <w:rsid w:val="004A181F"/>
    <w:rsid w:val="004A1877"/>
    <w:rsid w:val="004A1943"/>
    <w:rsid w:val="004A1A8A"/>
    <w:rsid w:val="004A1AF5"/>
    <w:rsid w:val="004A1AF9"/>
    <w:rsid w:val="004A1B5C"/>
    <w:rsid w:val="004A1BD1"/>
    <w:rsid w:val="004A1C05"/>
    <w:rsid w:val="004A1D64"/>
    <w:rsid w:val="004A1DF3"/>
    <w:rsid w:val="004A1F20"/>
    <w:rsid w:val="004A1FB3"/>
    <w:rsid w:val="004A2150"/>
    <w:rsid w:val="004A2151"/>
    <w:rsid w:val="004A221C"/>
    <w:rsid w:val="004A23E9"/>
    <w:rsid w:val="004A2525"/>
    <w:rsid w:val="004A2A32"/>
    <w:rsid w:val="004A2A44"/>
    <w:rsid w:val="004A2AC7"/>
    <w:rsid w:val="004A2F6C"/>
    <w:rsid w:val="004A2FAD"/>
    <w:rsid w:val="004A3287"/>
    <w:rsid w:val="004A3387"/>
    <w:rsid w:val="004A355E"/>
    <w:rsid w:val="004A3827"/>
    <w:rsid w:val="004A38A5"/>
    <w:rsid w:val="004A39BB"/>
    <w:rsid w:val="004A3B1D"/>
    <w:rsid w:val="004A3E4D"/>
    <w:rsid w:val="004A3F6B"/>
    <w:rsid w:val="004A4025"/>
    <w:rsid w:val="004A43AB"/>
    <w:rsid w:val="004A43B5"/>
    <w:rsid w:val="004A4517"/>
    <w:rsid w:val="004A456F"/>
    <w:rsid w:val="004A4632"/>
    <w:rsid w:val="004A4869"/>
    <w:rsid w:val="004A48A2"/>
    <w:rsid w:val="004A48EC"/>
    <w:rsid w:val="004A4AB5"/>
    <w:rsid w:val="004A4C98"/>
    <w:rsid w:val="004A4EDB"/>
    <w:rsid w:val="004A4F0A"/>
    <w:rsid w:val="004A51F6"/>
    <w:rsid w:val="004A55ED"/>
    <w:rsid w:val="004A5AEC"/>
    <w:rsid w:val="004A5C0A"/>
    <w:rsid w:val="004A5E1F"/>
    <w:rsid w:val="004A5E7C"/>
    <w:rsid w:val="004A605A"/>
    <w:rsid w:val="004A61E8"/>
    <w:rsid w:val="004A63F5"/>
    <w:rsid w:val="004A6477"/>
    <w:rsid w:val="004A66AF"/>
    <w:rsid w:val="004A6848"/>
    <w:rsid w:val="004A69CB"/>
    <w:rsid w:val="004A6C27"/>
    <w:rsid w:val="004A6C53"/>
    <w:rsid w:val="004A6D6F"/>
    <w:rsid w:val="004A6D7C"/>
    <w:rsid w:val="004A6D9D"/>
    <w:rsid w:val="004A6F07"/>
    <w:rsid w:val="004A6FF9"/>
    <w:rsid w:val="004A731C"/>
    <w:rsid w:val="004A740C"/>
    <w:rsid w:val="004A745B"/>
    <w:rsid w:val="004A7475"/>
    <w:rsid w:val="004A7525"/>
    <w:rsid w:val="004A790E"/>
    <w:rsid w:val="004A791B"/>
    <w:rsid w:val="004A793D"/>
    <w:rsid w:val="004A7959"/>
    <w:rsid w:val="004A79E4"/>
    <w:rsid w:val="004B00D1"/>
    <w:rsid w:val="004B00FE"/>
    <w:rsid w:val="004B025A"/>
    <w:rsid w:val="004B03FE"/>
    <w:rsid w:val="004B05A8"/>
    <w:rsid w:val="004B09BE"/>
    <w:rsid w:val="004B0A92"/>
    <w:rsid w:val="004B0B85"/>
    <w:rsid w:val="004B0BDC"/>
    <w:rsid w:val="004B0D80"/>
    <w:rsid w:val="004B122F"/>
    <w:rsid w:val="004B1263"/>
    <w:rsid w:val="004B16C6"/>
    <w:rsid w:val="004B1980"/>
    <w:rsid w:val="004B1C36"/>
    <w:rsid w:val="004B1D6D"/>
    <w:rsid w:val="004B1E2B"/>
    <w:rsid w:val="004B1E42"/>
    <w:rsid w:val="004B1FEE"/>
    <w:rsid w:val="004B233C"/>
    <w:rsid w:val="004B23B8"/>
    <w:rsid w:val="004B25B5"/>
    <w:rsid w:val="004B260D"/>
    <w:rsid w:val="004B2848"/>
    <w:rsid w:val="004B28DE"/>
    <w:rsid w:val="004B29C3"/>
    <w:rsid w:val="004B2A50"/>
    <w:rsid w:val="004B2AF4"/>
    <w:rsid w:val="004B2BE3"/>
    <w:rsid w:val="004B2C71"/>
    <w:rsid w:val="004B2D4C"/>
    <w:rsid w:val="004B2D62"/>
    <w:rsid w:val="004B2E33"/>
    <w:rsid w:val="004B2EC1"/>
    <w:rsid w:val="004B2EF8"/>
    <w:rsid w:val="004B2F18"/>
    <w:rsid w:val="004B2F47"/>
    <w:rsid w:val="004B2FCB"/>
    <w:rsid w:val="004B317E"/>
    <w:rsid w:val="004B3229"/>
    <w:rsid w:val="004B32F3"/>
    <w:rsid w:val="004B32FB"/>
    <w:rsid w:val="004B3621"/>
    <w:rsid w:val="004B3A49"/>
    <w:rsid w:val="004B3AFF"/>
    <w:rsid w:val="004B3E36"/>
    <w:rsid w:val="004B461C"/>
    <w:rsid w:val="004B46E2"/>
    <w:rsid w:val="004B4846"/>
    <w:rsid w:val="004B48DB"/>
    <w:rsid w:val="004B5086"/>
    <w:rsid w:val="004B50AC"/>
    <w:rsid w:val="004B5149"/>
    <w:rsid w:val="004B535C"/>
    <w:rsid w:val="004B54B6"/>
    <w:rsid w:val="004B55DA"/>
    <w:rsid w:val="004B5669"/>
    <w:rsid w:val="004B56F3"/>
    <w:rsid w:val="004B5AD9"/>
    <w:rsid w:val="004B5B35"/>
    <w:rsid w:val="004B5BAF"/>
    <w:rsid w:val="004B5BC5"/>
    <w:rsid w:val="004B5C50"/>
    <w:rsid w:val="004B5E6D"/>
    <w:rsid w:val="004B5F6E"/>
    <w:rsid w:val="004B5F8E"/>
    <w:rsid w:val="004B61EF"/>
    <w:rsid w:val="004B63D4"/>
    <w:rsid w:val="004B6407"/>
    <w:rsid w:val="004B6635"/>
    <w:rsid w:val="004B6636"/>
    <w:rsid w:val="004B6975"/>
    <w:rsid w:val="004B6B36"/>
    <w:rsid w:val="004B6BB0"/>
    <w:rsid w:val="004B6CDE"/>
    <w:rsid w:val="004B6D4A"/>
    <w:rsid w:val="004B711A"/>
    <w:rsid w:val="004B712F"/>
    <w:rsid w:val="004B72CF"/>
    <w:rsid w:val="004B72EC"/>
    <w:rsid w:val="004B7696"/>
    <w:rsid w:val="004B7990"/>
    <w:rsid w:val="004B7C19"/>
    <w:rsid w:val="004B7FBB"/>
    <w:rsid w:val="004C02EF"/>
    <w:rsid w:val="004C0572"/>
    <w:rsid w:val="004C063B"/>
    <w:rsid w:val="004C074F"/>
    <w:rsid w:val="004C0B4E"/>
    <w:rsid w:val="004C0B9E"/>
    <w:rsid w:val="004C0BDB"/>
    <w:rsid w:val="004C0CFB"/>
    <w:rsid w:val="004C0DA5"/>
    <w:rsid w:val="004C0EC2"/>
    <w:rsid w:val="004C0EE4"/>
    <w:rsid w:val="004C1231"/>
    <w:rsid w:val="004C12C9"/>
    <w:rsid w:val="004C1739"/>
    <w:rsid w:val="004C176B"/>
    <w:rsid w:val="004C181B"/>
    <w:rsid w:val="004C184B"/>
    <w:rsid w:val="004C1877"/>
    <w:rsid w:val="004C1C31"/>
    <w:rsid w:val="004C1C4D"/>
    <w:rsid w:val="004C1ED9"/>
    <w:rsid w:val="004C1EED"/>
    <w:rsid w:val="004C2057"/>
    <w:rsid w:val="004C20CC"/>
    <w:rsid w:val="004C20D7"/>
    <w:rsid w:val="004C2555"/>
    <w:rsid w:val="004C27A2"/>
    <w:rsid w:val="004C2A05"/>
    <w:rsid w:val="004C2B45"/>
    <w:rsid w:val="004C2C2A"/>
    <w:rsid w:val="004C2E89"/>
    <w:rsid w:val="004C2ED2"/>
    <w:rsid w:val="004C3003"/>
    <w:rsid w:val="004C3095"/>
    <w:rsid w:val="004C30FD"/>
    <w:rsid w:val="004C333D"/>
    <w:rsid w:val="004C34FF"/>
    <w:rsid w:val="004C36B7"/>
    <w:rsid w:val="004C373B"/>
    <w:rsid w:val="004C3975"/>
    <w:rsid w:val="004C3A0E"/>
    <w:rsid w:val="004C3BDE"/>
    <w:rsid w:val="004C3BF0"/>
    <w:rsid w:val="004C3C76"/>
    <w:rsid w:val="004C3CB3"/>
    <w:rsid w:val="004C3CF4"/>
    <w:rsid w:val="004C3D85"/>
    <w:rsid w:val="004C3E44"/>
    <w:rsid w:val="004C43B4"/>
    <w:rsid w:val="004C45D8"/>
    <w:rsid w:val="004C46AF"/>
    <w:rsid w:val="004C4744"/>
    <w:rsid w:val="004C48CA"/>
    <w:rsid w:val="004C4CBA"/>
    <w:rsid w:val="004C5015"/>
    <w:rsid w:val="004C5121"/>
    <w:rsid w:val="004C5200"/>
    <w:rsid w:val="004C5538"/>
    <w:rsid w:val="004C5642"/>
    <w:rsid w:val="004C5743"/>
    <w:rsid w:val="004C5909"/>
    <w:rsid w:val="004C5A09"/>
    <w:rsid w:val="004C5D3F"/>
    <w:rsid w:val="004C5DD9"/>
    <w:rsid w:val="004C5DE8"/>
    <w:rsid w:val="004C5E6F"/>
    <w:rsid w:val="004C6025"/>
    <w:rsid w:val="004C6247"/>
    <w:rsid w:val="004C62AA"/>
    <w:rsid w:val="004C63B0"/>
    <w:rsid w:val="004C65CE"/>
    <w:rsid w:val="004C68F3"/>
    <w:rsid w:val="004C68FF"/>
    <w:rsid w:val="004C6AB8"/>
    <w:rsid w:val="004C6AF0"/>
    <w:rsid w:val="004C6C96"/>
    <w:rsid w:val="004C705F"/>
    <w:rsid w:val="004C71C7"/>
    <w:rsid w:val="004C724A"/>
    <w:rsid w:val="004C748E"/>
    <w:rsid w:val="004C7583"/>
    <w:rsid w:val="004C7592"/>
    <w:rsid w:val="004C788A"/>
    <w:rsid w:val="004C79AD"/>
    <w:rsid w:val="004C79AE"/>
    <w:rsid w:val="004C7BFC"/>
    <w:rsid w:val="004C7C32"/>
    <w:rsid w:val="004D0323"/>
    <w:rsid w:val="004D0486"/>
    <w:rsid w:val="004D067F"/>
    <w:rsid w:val="004D0856"/>
    <w:rsid w:val="004D085F"/>
    <w:rsid w:val="004D0930"/>
    <w:rsid w:val="004D0C47"/>
    <w:rsid w:val="004D0CE7"/>
    <w:rsid w:val="004D0CEA"/>
    <w:rsid w:val="004D0F12"/>
    <w:rsid w:val="004D0FA3"/>
    <w:rsid w:val="004D1101"/>
    <w:rsid w:val="004D1170"/>
    <w:rsid w:val="004D1297"/>
    <w:rsid w:val="004D15C2"/>
    <w:rsid w:val="004D1778"/>
    <w:rsid w:val="004D17CC"/>
    <w:rsid w:val="004D1881"/>
    <w:rsid w:val="004D1962"/>
    <w:rsid w:val="004D1BA4"/>
    <w:rsid w:val="004D1CB6"/>
    <w:rsid w:val="004D1D70"/>
    <w:rsid w:val="004D1E5B"/>
    <w:rsid w:val="004D1F69"/>
    <w:rsid w:val="004D1FE5"/>
    <w:rsid w:val="004D2355"/>
    <w:rsid w:val="004D248A"/>
    <w:rsid w:val="004D2563"/>
    <w:rsid w:val="004D2789"/>
    <w:rsid w:val="004D2822"/>
    <w:rsid w:val="004D2879"/>
    <w:rsid w:val="004D29A6"/>
    <w:rsid w:val="004D29BA"/>
    <w:rsid w:val="004D29C8"/>
    <w:rsid w:val="004D2BCE"/>
    <w:rsid w:val="004D2C29"/>
    <w:rsid w:val="004D2E8C"/>
    <w:rsid w:val="004D2F97"/>
    <w:rsid w:val="004D2F99"/>
    <w:rsid w:val="004D3012"/>
    <w:rsid w:val="004D3317"/>
    <w:rsid w:val="004D332B"/>
    <w:rsid w:val="004D33CB"/>
    <w:rsid w:val="004D3571"/>
    <w:rsid w:val="004D3595"/>
    <w:rsid w:val="004D35D3"/>
    <w:rsid w:val="004D35E7"/>
    <w:rsid w:val="004D391E"/>
    <w:rsid w:val="004D3B56"/>
    <w:rsid w:val="004D405F"/>
    <w:rsid w:val="004D40A0"/>
    <w:rsid w:val="004D423A"/>
    <w:rsid w:val="004D439C"/>
    <w:rsid w:val="004D44F7"/>
    <w:rsid w:val="004D4515"/>
    <w:rsid w:val="004D455E"/>
    <w:rsid w:val="004D45A1"/>
    <w:rsid w:val="004D475E"/>
    <w:rsid w:val="004D4E85"/>
    <w:rsid w:val="004D4EBC"/>
    <w:rsid w:val="004D4F31"/>
    <w:rsid w:val="004D4F35"/>
    <w:rsid w:val="004D4FF9"/>
    <w:rsid w:val="004D58B9"/>
    <w:rsid w:val="004D58F7"/>
    <w:rsid w:val="004D59BD"/>
    <w:rsid w:val="004D59F3"/>
    <w:rsid w:val="004D5A0F"/>
    <w:rsid w:val="004D5B31"/>
    <w:rsid w:val="004D5CB3"/>
    <w:rsid w:val="004D5D4E"/>
    <w:rsid w:val="004D5E4E"/>
    <w:rsid w:val="004D6099"/>
    <w:rsid w:val="004D60DE"/>
    <w:rsid w:val="004D6167"/>
    <w:rsid w:val="004D6215"/>
    <w:rsid w:val="004D634D"/>
    <w:rsid w:val="004D637E"/>
    <w:rsid w:val="004D63DA"/>
    <w:rsid w:val="004D64C0"/>
    <w:rsid w:val="004D6566"/>
    <w:rsid w:val="004D6577"/>
    <w:rsid w:val="004D66B2"/>
    <w:rsid w:val="004D68B8"/>
    <w:rsid w:val="004D68CB"/>
    <w:rsid w:val="004D68D9"/>
    <w:rsid w:val="004D69A4"/>
    <w:rsid w:val="004D6C41"/>
    <w:rsid w:val="004D6C93"/>
    <w:rsid w:val="004D6F8B"/>
    <w:rsid w:val="004D6F99"/>
    <w:rsid w:val="004D6FFE"/>
    <w:rsid w:val="004D7266"/>
    <w:rsid w:val="004D730F"/>
    <w:rsid w:val="004D7346"/>
    <w:rsid w:val="004D7456"/>
    <w:rsid w:val="004D752B"/>
    <w:rsid w:val="004D7555"/>
    <w:rsid w:val="004D7ADE"/>
    <w:rsid w:val="004D7C4C"/>
    <w:rsid w:val="004D7C84"/>
    <w:rsid w:val="004D7E28"/>
    <w:rsid w:val="004D7FA4"/>
    <w:rsid w:val="004E0023"/>
    <w:rsid w:val="004E0155"/>
    <w:rsid w:val="004E0200"/>
    <w:rsid w:val="004E023D"/>
    <w:rsid w:val="004E036E"/>
    <w:rsid w:val="004E0828"/>
    <w:rsid w:val="004E08CF"/>
    <w:rsid w:val="004E09E8"/>
    <w:rsid w:val="004E0C34"/>
    <w:rsid w:val="004E0F81"/>
    <w:rsid w:val="004E108E"/>
    <w:rsid w:val="004E12ED"/>
    <w:rsid w:val="004E13FE"/>
    <w:rsid w:val="004E148C"/>
    <w:rsid w:val="004E1588"/>
    <w:rsid w:val="004E1594"/>
    <w:rsid w:val="004E16BC"/>
    <w:rsid w:val="004E1703"/>
    <w:rsid w:val="004E2033"/>
    <w:rsid w:val="004E2268"/>
    <w:rsid w:val="004E22B3"/>
    <w:rsid w:val="004E2665"/>
    <w:rsid w:val="004E2691"/>
    <w:rsid w:val="004E269A"/>
    <w:rsid w:val="004E280B"/>
    <w:rsid w:val="004E2872"/>
    <w:rsid w:val="004E28B7"/>
    <w:rsid w:val="004E2913"/>
    <w:rsid w:val="004E2B17"/>
    <w:rsid w:val="004E2BA5"/>
    <w:rsid w:val="004E2BE7"/>
    <w:rsid w:val="004E2F2E"/>
    <w:rsid w:val="004E2F4B"/>
    <w:rsid w:val="004E31D5"/>
    <w:rsid w:val="004E32BF"/>
    <w:rsid w:val="004E335E"/>
    <w:rsid w:val="004E35E0"/>
    <w:rsid w:val="004E3C1F"/>
    <w:rsid w:val="004E3CF7"/>
    <w:rsid w:val="004E3F16"/>
    <w:rsid w:val="004E3F58"/>
    <w:rsid w:val="004E4044"/>
    <w:rsid w:val="004E4119"/>
    <w:rsid w:val="004E4172"/>
    <w:rsid w:val="004E419E"/>
    <w:rsid w:val="004E48B0"/>
    <w:rsid w:val="004E4BA4"/>
    <w:rsid w:val="004E4D7C"/>
    <w:rsid w:val="004E507D"/>
    <w:rsid w:val="004E5184"/>
    <w:rsid w:val="004E529D"/>
    <w:rsid w:val="004E52ED"/>
    <w:rsid w:val="004E530E"/>
    <w:rsid w:val="004E5748"/>
    <w:rsid w:val="004E5876"/>
    <w:rsid w:val="004E5C63"/>
    <w:rsid w:val="004E5C81"/>
    <w:rsid w:val="004E5CDB"/>
    <w:rsid w:val="004E5D9D"/>
    <w:rsid w:val="004E5E1E"/>
    <w:rsid w:val="004E5E4D"/>
    <w:rsid w:val="004E61F5"/>
    <w:rsid w:val="004E627A"/>
    <w:rsid w:val="004E62AD"/>
    <w:rsid w:val="004E64F6"/>
    <w:rsid w:val="004E652A"/>
    <w:rsid w:val="004E6574"/>
    <w:rsid w:val="004E65B4"/>
    <w:rsid w:val="004E6763"/>
    <w:rsid w:val="004E684A"/>
    <w:rsid w:val="004E68A2"/>
    <w:rsid w:val="004E68D8"/>
    <w:rsid w:val="004E6936"/>
    <w:rsid w:val="004E6D0A"/>
    <w:rsid w:val="004E6D7A"/>
    <w:rsid w:val="004E6DD0"/>
    <w:rsid w:val="004E6E1C"/>
    <w:rsid w:val="004E6E70"/>
    <w:rsid w:val="004E6EA5"/>
    <w:rsid w:val="004E7160"/>
    <w:rsid w:val="004E71B8"/>
    <w:rsid w:val="004E71D0"/>
    <w:rsid w:val="004E746C"/>
    <w:rsid w:val="004E7851"/>
    <w:rsid w:val="004E7D03"/>
    <w:rsid w:val="004E7DD8"/>
    <w:rsid w:val="004E7F78"/>
    <w:rsid w:val="004F00A9"/>
    <w:rsid w:val="004F00CC"/>
    <w:rsid w:val="004F00E6"/>
    <w:rsid w:val="004F01DE"/>
    <w:rsid w:val="004F022D"/>
    <w:rsid w:val="004F04AD"/>
    <w:rsid w:val="004F0840"/>
    <w:rsid w:val="004F08E9"/>
    <w:rsid w:val="004F095C"/>
    <w:rsid w:val="004F0983"/>
    <w:rsid w:val="004F0A17"/>
    <w:rsid w:val="004F0E6F"/>
    <w:rsid w:val="004F0ED5"/>
    <w:rsid w:val="004F1145"/>
    <w:rsid w:val="004F148C"/>
    <w:rsid w:val="004F1505"/>
    <w:rsid w:val="004F1A8D"/>
    <w:rsid w:val="004F1BC8"/>
    <w:rsid w:val="004F1D22"/>
    <w:rsid w:val="004F21BA"/>
    <w:rsid w:val="004F23FE"/>
    <w:rsid w:val="004F2689"/>
    <w:rsid w:val="004F2748"/>
    <w:rsid w:val="004F2752"/>
    <w:rsid w:val="004F2C26"/>
    <w:rsid w:val="004F2E1C"/>
    <w:rsid w:val="004F2E2E"/>
    <w:rsid w:val="004F2F07"/>
    <w:rsid w:val="004F3051"/>
    <w:rsid w:val="004F31AD"/>
    <w:rsid w:val="004F32DE"/>
    <w:rsid w:val="004F3350"/>
    <w:rsid w:val="004F372E"/>
    <w:rsid w:val="004F38CE"/>
    <w:rsid w:val="004F39A6"/>
    <w:rsid w:val="004F3AF8"/>
    <w:rsid w:val="004F3BFE"/>
    <w:rsid w:val="004F3C64"/>
    <w:rsid w:val="004F423D"/>
    <w:rsid w:val="004F4254"/>
    <w:rsid w:val="004F425D"/>
    <w:rsid w:val="004F436E"/>
    <w:rsid w:val="004F436F"/>
    <w:rsid w:val="004F4382"/>
    <w:rsid w:val="004F43BC"/>
    <w:rsid w:val="004F481C"/>
    <w:rsid w:val="004F4926"/>
    <w:rsid w:val="004F49CA"/>
    <w:rsid w:val="004F4A16"/>
    <w:rsid w:val="004F4AF9"/>
    <w:rsid w:val="004F4B28"/>
    <w:rsid w:val="004F4C07"/>
    <w:rsid w:val="004F4D10"/>
    <w:rsid w:val="004F4E0D"/>
    <w:rsid w:val="004F4FB2"/>
    <w:rsid w:val="004F50D4"/>
    <w:rsid w:val="004F50D9"/>
    <w:rsid w:val="004F5285"/>
    <w:rsid w:val="004F52AE"/>
    <w:rsid w:val="004F53CF"/>
    <w:rsid w:val="004F5578"/>
    <w:rsid w:val="004F56D5"/>
    <w:rsid w:val="004F5762"/>
    <w:rsid w:val="004F58BD"/>
    <w:rsid w:val="004F5C05"/>
    <w:rsid w:val="004F5C2E"/>
    <w:rsid w:val="004F5E4E"/>
    <w:rsid w:val="004F5ECF"/>
    <w:rsid w:val="004F5FA0"/>
    <w:rsid w:val="004F6184"/>
    <w:rsid w:val="004F6298"/>
    <w:rsid w:val="004F63BF"/>
    <w:rsid w:val="004F653C"/>
    <w:rsid w:val="004F657D"/>
    <w:rsid w:val="004F659E"/>
    <w:rsid w:val="004F69CB"/>
    <w:rsid w:val="004F6F56"/>
    <w:rsid w:val="004F70F2"/>
    <w:rsid w:val="004F7160"/>
    <w:rsid w:val="004F71DB"/>
    <w:rsid w:val="004F7219"/>
    <w:rsid w:val="004F72A9"/>
    <w:rsid w:val="004F72BD"/>
    <w:rsid w:val="004F72C6"/>
    <w:rsid w:val="004F7418"/>
    <w:rsid w:val="004F7733"/>
    <w:rsid w:val="004F779F"/>
    <w:rsid w:val="004F7A26"/>
    <w:rsid w:val="004F7A4E"/>
    <w:rsid w:val="004F7BEE"/>
    <w:rsid w:val="004F7CB0"/>
    <w:rsid w:val="004F7E71"/>
    <w:rsid w:val="004F7F85"/>
    <w:rsid w:val="004F7F8A"/>
    <w:rsid w:val="004F7FBE"/>
    <w:rsid w:val="00500009"/>
    <w:rsid w:val="00500225"/>
    <w:rsid w:val="005002F7"/>
    <w:rsid w:val="005003BE"/>
    <w:rsid w:val="0050040B"/>
    <w:rsid w:val="0050045C"/>
    <w:rsid w:val="005004A9"/>
    <w:rsid w:val="005004FE"/>
    <w:rsid w:val="00500636"/>
    <w:rsid w:val="005006D2"/>
    <w:rsid w:val="005009D5"/>
    <w:rsid w:val="00500A40"/>
    <w:rsid w:val="00500B2F"/>
    <w:rsid w:val="00500C78"/>
    <w:rsid w:val="0050114B"/>
    <w:rsid w:val="0050159A"/>
    <w:rsid w:val="005015AF"/>
    <w:rsid w:val="005016F8"/>
    <w:rsid w:val="00501725"/>
    <w:rsid w:val="00501783"/>
    <w:rsid w:val="0050184A"/>
    <w:rsid w:val="00501BF4"/>
    <w:rsid w:val="00501F02"/>
    <w:rsid w:val="005023A6"/>
    <w:rsid w:val="00502480"/>
    <w:rsid w:val="005027D2"/>
    <w:rsid w:val="0050281B"/>
    <w:rsid w:val="00502967"/>
    <w:rsid w:val="00502CA8"/>
    <w:rsid w:val="00502D94"/>
    <w:rsid w:val="00502F13"/>
    <w:rsid w:val="00502FB9"/>
    <w:rsid w:val="0050313C"/>
    <w:rsid w:val="005031AA"/>
    <w:rsid w:val="0050338D"/>
    <w:rsid w:val="00503D7E"/>
    <w:rsid w:val="00504344"/>
    <w:rsid w:val="0050446C"/>
    <w:rsid w:val="00504635"/>
    <w:rsid w:val="00504AAA"/>
    <w:rsid w:val="00504B3A"/>
    <w:rsid w:val="00504B3E"/>
    <w:rsid w:val="00504CB3"/>
    <w:rsid w:val="00504E0E"/>
    <w:rsid w:val="00505083"/>
    <w:rsid w:val="00505353"/>
    <w:rsid w:val="00505388"/>
    <w:rsid w:val="00505391"/>
    <w:rsid w:val="0050545A"/>
    <w:rsid w:val="0050605C"/>
    <w:rsid w:val="00506071"/>
    <w:rsid w:val="00506296"/>
    <w:rsid w:val="00506974"/>
    <w:rsid w:val="005069D8"/>
    <w:rsid w:val="00506A73"/>
    <w:rsid w:val="00506D48"/>
    <w:rsid w:val="00506D65"/>
    <w:rsid w:val="0050701C"/>
    <w:rsid w:val="0050706E"/>
    <w:rsid w:val="0050713B"/>
    <w:rsid w:val="0050718B"/>
    <w:rsid w:val="00507237"/>
    <w:rsid w:val="005076E1"/>
    <w:rsid w:val="00507850"/>
    <w:rsid w:val="00507859"/>
    <w:rsid w:val="00507B90"/>
    <w:rsid w:val="00507E0E"/>
    <w:rsid w:val="00507EDE"/>
    <w:rsid w:val="00510081"/>
    <w:rsid w:val="00510370"/>
    <w:rsid w:val="0051041D"/>
    <w:rsid w:val="0051041F"/>
    <w:rsid w:val="00510841"/>
    <w:rsid w:val="005109AE"/>
    <w:rsid w:val="00510AA3"/>
    <w:rsid w:val="00511177"/>
    <w:rsid w:val="00511184"/>
    <w:rsid w:val="005112FB"/>
    <w:rsid w:val="00511350"/>
    <w:rsid w:val="00511389"/>
    <w:rsid w:val="0051149D"/>
    <w:rsid w:val="005114D4"/>
    <w:rsid w:val="00511A24"/>
    <w:rsid w:val="00512021"/>
    <w:rsid w:val="005121A9"/>
    <w:rsid w:val="005121D2"/>
    <w:rsid w:val="005121EC"/>
    <w:rsid w:val="005121F0"/>
    <w:rsid w:val="005124C8"/>
    <w:rsid w:val="00512672"/>
    <w:rsid w:val="00512941"/>
    <w:rsid w:val="00512A6F"/>
    <w:rsid w:val="00512AD1"/>
    <w:rsid w:val="00512B57"/>
    <w:rsid w:val="00512B98"/>
    <w:rsid w:val="00512CE3"/>
    <w:rsid w:val="00513054"/>
    <w:rsid w:val="0051308A"/>
    <w:rsid w:val="005132F7"/>
    <w:rsid w:val="0051332F"/>
    <w:rsid w:val="00513374"/>
    <w:rsid w:val="00513484"/>
    <w:rsid w:val="0051349A"/>
    <w:rsid w:val="005134EA"/>
    <w:rsid w:val="005135EA"/>
    <w:rsid w:val="00513985"/>
    <w:rsid w:val="005139B2"/>
    <w:rsid w:val="00513C57"/>
    <w:rsid w:val="00513C8D"/>
    <w:rsid w:val="00513D06"/>
    <w:rsid w:val="00513D18"/>
    <w:rsid w:val="00514096"/>
    <w:rsid w:val="005140E8"/>
    <w:rsid w:val="00514197"/>
    <w:rsid w:val="005142EA"/>
    <w:rsid w:val="0051441A"/>
    <w:rsid w:val="0051445C"/>
    <w:rsid w:val="00514463"/>
    <w:rsid w:val="0051470D"/>
    <w:rsid w:val="00514751"/>
    <w:rsid w:val="0051484B"/>
    <w:rsid w:val="0051488C"/>
    <w:rsid w:val="005148F3"/>
    <w:rsid w:val="00514A35"/>
    <w:rsid w:val="00514DD6"/>
    <w:rsid w:val="00514E3E"/>
    <w:rsid w:val="0051505A"/>
    <w:rsid w:val="005151D5"/>
    <w:rsid w:val="005151FB"/>
    <w:rsid w:val="005152B0"/>
    <w:rsid w:val="0051542B"/>
    <w:rsid w:val="00515493"/>
    <w:rsid w:val="0051558D"/>
    <w:rsid w:val="00515624"/>
    <w:rsid w:val="005158C2"/>
    <w:rsid w:val="005158EB"/>
    <w:rsid w:val="005158F9"/>
    <w:rsid w:val="00515BA9"/>
    <w:rsid w:val="00515BE4"/>
    <w:rsid w:val="00515D56"/>
    <w:rsid w:val="00515D71"/>
    <w:rsid w:val="0051607E"/>
    <w:rsid w:val="00516110"/>
    <w:rsid w:val="005161DB"/>
    <w:rsid w:val="0051631F"/>
    <w:rsid w:val="00516617"/>
    <w:rsid w:val="005166BE"/>
    <w:rsid w:val="0051679A"/>
    <w:rsid w:val="005167F6"/>
    <w:rsid w:val="0051681E"/>
    <w:rsid w:val="00516892"/>
    <w:rsid w:val="005168AE"/>
    <w:rsid w:val="00516C68"/>
    <w:rsid w:val="00516EA5"/>
    <w:rsid w:val="00516EEE"/>
    <w:rsid w:val="00517034"/>
    <w:rsid w:val="0051709A"/>
    <w:rsid w:val="005170F7"/>
    <w:rsid w:val="00517320"/>
    <w:rsid w:val="005175F0"/>
    <w:rsid w:val="005177E9"/>
    <w:rsid w:val="00517978"/>
    <w:rsid w:val="00517A34"/>
    <w:rsid w:val="00517A6C"/>
    <w:rsid w:val="00517B13"/>
    <w:rsid w:val="00517E7B"/>
    <w:rsid w:val="005200F3"/>
    <w:rsid w:val="00520335"/>
    <w:rsid w:val="00520429"/>
    <w:rsid w:val="00520435"/>
    <w:rsid w:val="0052049B"/>
    <w:rsid w:val="00520502"/>
    <w:rsid w:val="00520519"/>
    <w:rsid w:val="005207F3"/>
    <w:rsid w:val="0052095A"/>
    <w:rsid w:val="005209F7"/>
    <w:rsid w:val="00520A5D"/>
    <w:rsid w:val="00520F16"/>
    <w:rsid w:val="00520FA8"/>
    <w:rsid w:val="00521021"/>
    <w:rsid w:val="00521290"/>
    <w:rsid w:val="005212E1"/>
    <w:rsid w:val="00521453"/>
    <w:rsid w:val="005216EB"/>
    <w:rsid w:val="0052174F"/>
    <w:rsid w:val="00521753"/>
    <w:rsid w:val="00521A79"/>
    <w:rsid w:val="00521BC5"/>
    <w:rsid w:val="00521D3C"/>
    <w:rsid w:val="00521D55"/>
    <w:rsid w:val="00521E97"/>
    <w:rsid w:val="0052201F"/>
    <w:rsid w:val="005220D2"/>
    <w:rsid w:val="00522397"/>
    <w:rsid w:val="0052264B"/>
    <w:rsid w:val="005226C6"/>
    <w:rsid w:val="005227A0"/>
    <w:rsid w:val="005227B9"/>
    <w:rsid w:val="005227BB"/>
    <w:rsid w:val="00522848"/>
    <w:rsid w:val="0052288D"/>
    <w:rsid w:val="00522B06"/>
    <w:rsid w:val="00522DA7"/>
    <w:rsid w:val="005232B8"/>
    <w:rsid w:val="005232ED"/>
    <w:rsid w:val="005234A6"/>
    <w:rsid w:val="00523806"/>
    <w:rsid w:val="005239E3"/>
    <w:rsid w:val="00523B07"/>
    <w:rsid w:val="00523C5A"/>
    <w:rsid w:val="00523E77"/>
    <w:rsid w:val="00523FC0"/>
    <w:rsid w:val="005242F7"/>
    <w:rsid w:val="00524314"/>
    <w:rsid w:val="00524450"/>
    <w:rsid w:val="00524603"/>
    <w:rsid w:val="005246C6"/>
    <w:rsid w:val="0052476B"/>
    <w:rsid w:val="00524977"/>
    <w:rsid w:val="00524B5C"/>
    <w:rsid w:val="00524B93"/>
    <w:rsid w:val="00524C50"/>
    <w:rsid w:val="00524D8F"/>
    <w:rsid w:val="00524E7A"/>
    <w:rsid w:val="00524F2E"/>
    <w:rsid w:val="00524FA4"/>
    <w:rsid w:val="00525112"/>
    <w:rsid w:val="0052513C"/>
    <w:rsid w:val="00525528"/>
    <w:rsid w:val="00525534"/>
    <w:rsid w:val="005258D6"/>
    <w:rsid w:val="00525A06"/>
    <w:rsid w:val="00525B24"/>
    <w:rsid w:val="00525C30"/>
    <w:rsid w:val="00525D0B"/>
    <w:rsid w:val="00525D1C"/>
    <w:rsid w:val="0052600A"/>
    <w:rsid w:val="00526069"/>
    <w:rsid w:val="005260D7"/>
    <w:rsid w:val="005261AB"/>
    <w:rsid w:val="005261FF"/>
    <w:rsid w:val="005263DD"/>
    <w:rsid w:val="005263EF"/>
    <w:rsid w:val="00526440"/>
    <w:rsid w:val="005266F2"/>
    <w:rsid w:val="00526924"/>
    <w:rsid w:val="00526941"/>
    <w:rsid w:val="00526E6F"/>
    <w:rsid w:val="0052740F"/>
    <w:rsid w:val="005274FC"/>
    <w:rsid w:val="00527528"/>
    <w:rsid w:val="00527547"/>
    <w:rsid w:val="005275F1"/>
    <w:rsid w:val="00527804"/>
    <w:rsid w:val="0052785B"/>
    <w:rsid w:val="00527A1B"/>
    <w:rsid w:val="00527A35"/>
    <w:rsid w:val="00527A82"/>
    <w:rsid w:val="00527BA1"/>
    <w:rsid w:val="00527D39"/>
    <w:rsid w:val="00527DE5"/>
    <w:rsid w:val="00527E1F"/>
    <w:rsid w:val="00527F63"/>
    <w:rsid w:val="0053022B"/>
    <w:rsid w:val="0053042E"/>
    <w:rsid w:val="005308CF"/>
    <w:rsid w:val="00530948"/>
    <w:rsid w:val="00530DDC"/>
    <w:rsid w:val="00530F04"/>
    <w:rsid w:val="00531143"/>
    <w:rsid w:val="005311DB"/>
    <w:rsid w:val="005312BB"/>
    <w:rsid w:val="00531470"/>
    <w:rsid w:val="00531586"/>
    <w:rsid w:val="00531789"/>
    <w:rsid w:val="0053183D"/>
    <w:rsid w:val="005318F3"/>
    <w:rsid w:val="00531984"/>
    <w:rsid w:val="005319BF"/>
    <w:rsid w:val="00531AC4"/>
    <w:rsid w:val="00531B93"/>
    <w:rsid w:val="00531E37"/>
    <w:rsid w:val="00531E6F"/>
    <w:rsid w:val="00531FC1"/>
    <w:rsid w:val="0053225D"/>
    <w:rsid w:val="005323B7"/>
    <w:rsid w:val="00532412"/>
    <w:rsid w:val="005324F7"/>
    <w:rsid w:val="0053254F"/>
    <w:rsid w:val="00532673"/>
    <w:rsid w:val="00532684"/>
    <w:rsid w:val="005326CE"/>
    <w:rsid w:val="00532939"/>
    <w:rsid w:val="00532EA8"/>
    <w:rsid w:val="00533018"/>
    <w:rsid w:val="005334C6"/>
    <w:rsid w:val="005335F2"/>
    <w:rsid w:val="00533901"/>
    <w:rsid w:val="00533CCE"/>
    <w:rsid w:val="00533CF8"/>
    <w:rsid w:val="00533DA9"/>
    <w:rsid w:val="00533E52"/>
    <w:rsid w:val="00533FE2"/>
    <w:rsid w:val="0053416A"/>
    <w:rsid w:val="00534225"/>
    <w:rsid w:val="00534278"/>
    <w:rsid w:val="00534364"/>
    <w:rsid w:val="00534695"/>
    <w:rsid w:val="0053469B"/>
    <w:rsid w:val="0053473F"/>
    <w:rsid w:val="00534764"/>
    <w:rsid w:val="0053494F"/>
    <w:rsid w:val="005349A0"/>
    <w:rsid w:val="00534BF8"/>
    <w:rsid w:val="00534C77"/>
    <w:rsid w:val="00534D17"/>
    <w:rsid w:val="00534E40"/>
    <w:rsid w:val="00534F09"/>
    <w:rsid w:val="00535008"/>
    <w:rsid w:val="00535263"/>
    <w:rsid w:val="005353AA"/>
    <w:rsid w:val="005354EE"/>
    <w:rsid w:val="0053570A"/>
    <w:rsid w:val="00535863"/>
    <w:rsid w:val="00535C13"/>
    <w:rsid w:val="00535E3B"/>
    <w:rsid w:val="00535E8B"/>
    <w:rsid w:val="00535F97"/>
    <w:rsid w:val="0053627A"/>
    <w:rsid w:val="005363FD"/>
    <w:rsid w:val="0053665A"/>
    <w:rsid w:val="00536697"/>
    <w:rsid w:val="005366C0"/>
    <w:rsid w:val="005367D7"/>
    <w:rsid w:val="00536811"/>
    <w:rsid w:val="005368CC"/>
    <w:rsid w:val="00536A67"/>
    <w:rsid w:val="00536FE9"/>
    <w:rsid w:val="005370BF"/>
    <w:rsid w:val="00537210"/>
    <w:rsid w:val="005375B2"/>
    <w:rsid w:val="005375F9"/>
    <w:rsid w:val="00537600"/>
    <w:rsid w:val="00537715"/>
    <w:rsid w:val="00537802"/>
    <w:rsid w:val="005378A5"/>
    <w:rsid w:val="0053796B"/>
    <w:rsid w:val="00537E63"/>
    <w:rsid w:val="005400A1"/>
    <w:rsid w:val="0054022D"/>
    <w:rsid w:val="0054039F"/>
    <w:rsid w:val="005405CE"/>
    <w:rsid w:val="005406A4"/>
    <w:rsid w:val="005407D9"/>
    <w:rsid w:val="005407F5"/>
    <w:rsid w:val="0054081E"/>
    <w:rsid w:val="005408DC"/>
    <w:rsid w:val="005409A6"/>
    <w:rsid w:val="00540A15"/>
    <w:rsid w:val="00540A70"/>
    <w:rsid w:val="00540AEF"/>
    <w:rsid w:val="00540BFC"/>
    <w:rsid w:val="00540D15"/>
    <w:rsid w:val="00540DC0"/>
    <w:rsid w:val="00540F2A"/>
    <w:rsid w:val="005410C9"/>
    <w:rsid w:val="0054110B"/>
    <w:rsid w:val="00541112"/>
    <w:rsid w:val="0054114E"/>
    <w:rsid w:val="005411B4"/>
    <w:rsid w:val="005416AE"/>
    <w:rsid w:val="00541982"/>
    <w:rsid w:val="00541B24"/>
    <w:rsid w:val="00541BD1"/>
    <w:rsid w:val="00541C55"/>
    <w:rsid w:val="00541C72"/>
    <w:rsid w:val="00541E91"/>
    <w:rsid w:val="00541EDE"/>
    <w:rsid w:val="00541FAA"/>
    <w:rsid w:val="005421F5"/>
    <w:rsid w:val="0054249F"/>
    <w:rsid w:val="005425EE"/>
    <w:rsid w:val="00542810"/>
    <w:rsid w:val="00542898"/>
    <w:rsid w:val="00542A6A"/>
    <w:rsid w:val="00542B0D"/>
    <w:rsid w:val="00542B34"/>
    <w:rsid w:val="00542FD2"/>
    <w:rsid w:val="00543199"/>
    <w:rsid w:val="005434A8"/>
    <w:rsid w:val="005434AB"/>
    <w:rsid w:val="005435A5"/>
    <w:rsid w:val="005435CB"/>
    <w:rsid w:val="005435FB"/>
    <w:rsid w:val="00543706"/>
    <w:rsid w:val="00543918"/>
    <w:rsid w:val="00543943"/>
    <w:rsid w:val="00543AD0"/>
    <w:rsid w:val="00543C62"/>
    <w:rsid w:val="00543D91"/>
    <w:rsid w:val="00543F37"/>
    <w:rsid w:val="00543F71"/>
    <w:rsid w:val="00543FF9"/>
    <w:rsid w:val="00544010"/>
    <w:rsid w:val="00544680"/>
    <w:rsid w:val="005446EA"/>
    <w:rsid w:val="00544C18"/>
    <w:rsid w:val="00544C58"/>
    <w:rsid w:val="00545074"/>
    <w:rsid w:val="005453DF"/>
    <w:rsid w:val="005454FF"/>
    <w:rsid w:val="0054571A"/>
    <w:rsid w:val="00545A2F"/>
    <w:rsid w:val="00545C01"/>
    <w:rsid w:val="00545D04"/>
    <w:rsid w:val="00545ED9"/>
    <w:rsid w:val="00546217"/>
    <w:rsid w:val="0054648A"/>
    <w:rsid w:val="00546749"/>
    <w:rsid w:val="0054678D"/>
    <w:rsid w:val="005467CE"/>
    <w:rsid w:val="005468D9"/>
    <w:rsid w:val="00546904"/>
    <w:rsid w:val="005469D0"/>
    <w:rsid w:val="00546C50"/>
    <w:rsid w:val="00546D68"/>
    <w:rsid w:val="00546F4B"/>
    <w:rsid w:val="00547166"/>
    <w:rsid w:val="00547192"/>
    <w:rsid w:val="00547304"/>
    <w:rsid w:val="00547472"/>
    <w:rsid w:val="00547491"/>
    <w:rsid w:val="00547820"/>
    <w:rsid w:val="00547AF2"/>
    <w:rsid w:val="00547C1D"/>
    <w:rsid w:val="00547FC2"/>
    <w:rsid w:val="005500DD"/>
    <w:rsid w:val="005501F6"/>
    <w:rsid w:val="005502A8"/>
    <w:rsid w:val="00550515"/>
    <w:rsid w:val="0055068B"/>
    <w:rsid w:val="005506A7"/>
    <w:rsid w:val="0055083E"/>
    <w:rsid w:val="00550AA6"/>
    <w:rsid w:val="00550C28"/>
    <w:rsid w:val="00550E05"/>
    <w:rsid w:val="00550F72"/>
    <w:rsid w:val="00551247"/>
    <w:rsid w:val="00551327"/>
    <w:rsid w:val="00551332"/>
    <w:rsid w:val="005513B8"/>
    <w:rsid w:val="0055140A"/>
    <w:rsid w:val="0055155F"/>
    <w:rsid w:val="00551815"/>
    <w:rsid w:val="005518C1"/>
    <w:rsid w:val="005519C7"/>
    <w:rsid w:val="005519DD"/>
    <w:rsid w:val="005519F3"/>
    <w:rsid w:val="005519FD"/>
    <w:rsid w:val="00551B0C"/>
    <w:rsid w:val="00551FCF"/>
    <w:rsid w:val="005521C0"/>
    <w:rsid w:val="00552267"/>
    <w:rsid w:val="00552348"/>
    <w:rsid w:val="0055251E"/>
    <w:rsid w:val="005525E2"/>
    <w:rsid w:val="0055268E"/>
    <w:rsid w:val="0055274D"/>
    <w:rsid w:val="00552A1F"/>
    <w:rsid w:val="00552B38"/>
    <w:rsid w:val="00552BF1"/>
    <w:rsid w:val="00552F5C"/>
    <w:rsid w:val="00553066"/>
    <w:rsid w:val="0055316C"/>
    <w:rsid w:val="00553274"/>
    <w:rsid w:val="0055331A"/>
    <w:rsid w:val="00553405"/>
    <w:rsid w:val="005535B8"/>
    <w:rsid w:val="005535C3"/>
    <w:rsid w:val="0055363F"/>
    <w:rsid w:val="005537DC"/>
    <w:rsid w:val="005538C7"/>
    <w:rsid w:val="00553A6F"/>
    <w:rsid w:val="00553C3B"/>
    <w:rsid w:val="00553EF9"/>
    <w:rsid w:val="00553F62"/>
    <w:rsid w:val="00553F63"/>
    <w:rsid w:val="00554065"/>
    <w:rsid w:val="005540F6"/>
    <w:rsid w:val="00554108"/>
    <w:rsid w:val="00554187"/>
    <w:rsid w:val="00554230"/>
    <w:rsid w:val="00554392"/>
    <w:rsid w:val="005543BB"/>
    <w:rsid w:val="005545D0"/>
    <w:rsid w:val="0055469E"/>
    <w:rsid w:val="00554E09"/>
    <w:rsid w:val="00554FC7"/>
    <w:rsid w:val="00554FCB"/>
    <w:rsid w:val="0055521D"/>
    <w:rsid w:val="005553C3"/>
    <w:rsid w:val="00555709"/>
    <w:rsid w:val="0055585F"/>
    <w:rsid w:val="0055592B"/>
    <w:rsid w:val="00555967"/>
    <w:rsid w:val="005559B6"/>
    <w:rsid w:val="00555E67"/>
    <w:rsid w:val="00555F27"/>
    <w:rsid w:val="00556092"/>
    <w:rsid w:val="00556156"/>
    <w:rsid w:val="00556247"/>
    <w:rsid w:val="005564BA"/>
    <w:rsid w:val="0055652F"/>
    <w:rsid w:val="00556734"/>
    <w:rsid w:val="00556860"/>
    <w:rsid w:val="005568B5"/>
    <w:rsid w:val="00556BCD"/>
    <w:rsid w:val="00556C30"/>
    <w:rsid w:val="00556CC2"/>
    <w:rsid w:val="00556F04"/>
    <w:rsid w:val="00557206"/>
    <w:rsid w:val="005572F0"/>
    <w:rsid w:val="00557347"/>
    <w:rsid w:val="005573E9"/>
    <w:rsid w:val="005576BA"/>
    <w:rsid w:val="00557711"/>
    <w:rsid w:val="00557983"/>
    <w:rsid w:val="00557999"/>
    <w:rsid w:val="005579AB"/>
    <w:rsid w:val="00557B49"/>
    <w:rsid w:val="00557CF8"/>
    <w:rsid w:val="00557FC4"/>
    <w:rsid w:val="005600AB"/>
    <w:rsid w:val="00560186"/>
    <w:rsid w:val="005601C5"/>
    <w:rsid w:val="005601E8"/>
    <w:rsid w:val="00560347"/>
    <w:rsid w:val="005603BA"/>
    <w:rsid w:val="005603DC"/>
    <w:rsid w:val="005603E8"/>
    <w:rsid w:val="005604DE"/>
    <w:rsid w:val="0056053A"/>
    <w:rsid w:val="0056067C"/>
    <w:rsid w:val="005607BE"/>
    <w:rsid w:val="00560978"/>
    <w:rsid w:val="00560AF8"/>
    <w:rsid w:val="00560D99"/>
    <w:rsid w:val="00560EA1"/>
    <w:rsid w:val="00560EEA"/>
    <w:rsid w:val="005611C0"/>
    <w:rsid w:val="005611FC"/>
    <w:rsid w:val="00561207"/>
    <w:rsid w:val="005612EB"/>
    <w:rsid w:val="00561342"/>
    <w:rsid w:val="0056142C"/>
    <w:rsid w:val="00561693"/>
    <w:rsid w:val="0056198F"/>
    <w:rsid w:val="00561AA1"/>
    <w:rsid w:val="00561BD5"/>
    <w:rsid w:val="00561EBA"/>
    <w:rsid w:val="00562362"/>
    <w:rsid w:val="005623F8"/>
    <w:rsid w:val="005624D6"/>
    <w:rsid w:val="005627E3"/>
    <w:rsid w:val="00562942"/>
    <w:rsid w:val="00562949"/>
    <w:rsid w:val="00562B5B"/>
    <w:rsid w:val="00562C3A"/>
    <w:rsid w:val="00562C9E"/>
    <w:rsid w:val="00562E6A"/>
    <w:rsid w:val="00562F59"/>
    <w:rsid w:val="00563341"/>
    <w:rsid w:val="00563467"/>
    <w:rsid w:val="00563470"/>
    <w:rsid w:val="00563627"/>
    <w:rsid w:val="0056362E"/>
    <w:rsid w:val="00563746"/>
    <w:rsid w:val="00563A7D"/>
    <w:rsid w:val="00563BA6"/>
    <w:rsid w:val="00563D79"/>
    <w:rsid w:val="00563DF7"/>
    <w:rsid w:val="00563EE9"/>
    <w:rsid w:val="00563F29"/>
    <w:rsid w:val="00564461"/>
    <w:rsid w:val="00564665"/>
    <w:rsid w:val="005649E9"/>
    <w:rsid w:val="00564AE8"/>
    <w:rsid w:val="00564E7E"/>
    <w:rsid w:val="00565013"/>
    <w:rsid w:val="005650C3"/>
    <w:rsid w:val="005653CA"/>
    <w:rsid w:val="00565408"/>
    <w:rsid w:val="005655FD"/>
    <w:rsid w:val="0056571C"/>
    <w:rsid w:val="00565A78"/>
    <w:rsid w:val="00565B3B"/>
    <w:rsid w:val="00565E47"/>
    <w:rsid w:val="00565F6A"/>
    <w:rsid w:val="00566068"/>
    <w:rsid w:val="00566290"/>
    <w:rsid w:val="00566437"/>
    <w:rsid w:val="0056653A"/>
    <w:rsid w:val="00566837"/>
    <w:rsid w:val="00566A94"/>
    <w:rsid w:val="00566B45"/>
    <w:rsid w:val="00566B67"/>
    <w:rsid w:val="00566B7A"/>
    <w:rsid w:val="00566E9C"/>
    <w:rsid w:val="00566F99"/>
    <w:rsid w:val="0056705D"/>
    <w:rsid w:val="00567206"/>
    <w:rsid w:val="005672CD"/>
    <w:rsid w:val="0056731D"/>
    <w:rsid w:val="00567512"/>
    <w:rsid w:val="005675CC"/>
    <w:rsid w:val="005675D3"/>
    <w:rsid w:val="00567729"/>
    <w:rsid w:val="005677B3"/>
    <w:rsid w:val="005677CD"/>
    <w:rsid w:val="0056788D"/>
    <w:rsid w:val="00567911"/>
    <w:rsid w:val="00567A6E"/>
    <w:rsid w:val="00567ABE"/>
    <w:rsid w:val="00567E81"/>
    <w:rsid w:val="00567FC5"/>
    <w:rsid w:val="00567FE7"/>
    <w:rsid w:val="00570124"/>
    <w:rsid w:val="00570131"/>
    <w:rsid w:val="00570209"/>
    <w:rsid w:val="00570433"/>
    <w:rsid w:val="005704BC"/>
    <w:rsid w:val="005704DC"/>
    <w:rsid w:val="005705C0"/>
    <w:rsid w:val="00570795"/>
    <w:rsid w:val="005708E5"/>
    <w:rsid w:val="0057096A"/>
    <w:rsid w:val="005709F0"/>
    <w:rsid w:val="00570AF5"/>
    <w:rsid w:val="00570B77"/>
    <w:rsid w:val="00570C6A"/>
    <w:rsid w:val="00570D7B"/>
    <w:rsid w:val="00571026"/>
    <w:rsid w:val="00571097"/>
    <w:rsid w:val="0057128A"/>
    <w:rsid w:val="005712BE"/>
    <w:rsid w:val="005714BF"/>
    <w:rsid w:val="005714D5"/>
    <w:rsid w:val="00571506"/>
    <w:rsid w:val="005716CC"/>
    <w:rsid w:val="0057176D"/>
    <w:rsid w:val="00571837"/>
    <w:rsid w:val="00571992"/>
    <w:rsid w:val="00571AD8"/>
    <w:rsid w:val="00571D53"/>
    <w:rsid w:val="00571E27"/>
    <w:rsid w:val="0057209D"/>
    <w:rsid w:val="00572331"/>
    <w:rsid w:val="0057263D"/>
    <w:rsid w:val="00572702"/>
    <w:rsid w:val="00572776"/>
    <w:rsid w:val="005727F6"/>
    <w:rsid w:val="00572966"/>
    <w:rsid w:val="005729B4"/>
    <w:rsid w:val="00572A61"/>
    <w:rsid w:val="005735B6"/>
    <w:rsid w:val="0057363F"/>
    <w:rsid w:val="005736AE"/>
    <w:rsid w:val="005737DB"/>
    <w:rsid w:val="0057385B"/>
    <w:rsid w:val="0057387A"/>
    <w:rsid w:val="00573B7B"/>
    <w:rsid w:val="00573C5F"/>
    <w:rsid w:val="00573DF2"/>
    <w:rsid w:val="00574264"/>
    <w:rsid w:val="00574514"/>
    <w:rsid w:val="00574800"/>
    <w:rsid w:val="005748D2"/>
    <w:rsid w:val="00574A67"/>
    <w:rsid w:val="00574E30"/>
    <w:rsid w:val="005751B2"/>
    <w:rsid w:val="0057522B"/>
    <w:rsid w:val="00575235"/>
    <w:rsid w:val="005752EC"/>
    <w:rsid w:val="00575458"/>
    <w:rsid w:val="005754BD"/>
    <w:rsid w:val="0057563D"/>
    <w:rsid w:val="00575651"/>
    <w:rsid w:val="00575851"/>
    <w:rsid w:val="005759B5"/>
    <w:rsid w:val="00575A86"/>
    <w:rsid w:val="00575DF5"/>
    <w:rsid w:val="00575E9B"/>
    <w:rsid w:val="00576468"/>
    <w:rsid w:val="0057676B"/>
    <w:rsid w:val="005769ED"/>
    <w:rsid w:val="00576B71"/>
    <w:rsid w:val="00576E43"/>
    <w:rsid w:val="00576F2F"/>
    <w:rsid w:val="00577288"/>
    <w:rsid w:val="005773C5"/>
    <w:rsid w:val="005773CD"/>
    <w:rsid w:val="005775EB"/>
    <w:rsid w:val="005779E2"/>
    <w:rsid w:val="00577A12"/>
    <w:rsid w:val="00577B02"/>
    <w:rsid w:val="00577B9A"/>
    <w:rsid w:val="00577C68"/>
    <w:rsid w:val="00577FCB"/>
    <w:rsid w:val="005801C1"/>
    <w:rsid w:val="005801E9"/>
    <w:rsid w:val="005802CC"/>
    <w:rsid w:val="00580328"/>
    <w:rsid w:val="0058041E"/>
    <w:rsid w:val="0058058A"/>
    <w:rsid w:val="005807F7"/>
    <w:rsid w:val="00580808"/>
    <w:rsid w:val="00580836"/>
    <w:rsid w:val="0058088C"/>
    <w:rsid w:val="005808E2"/>
    <w:rsid w:val="00580993"/>
    <w:rsid w:val="00580A99"/>
    <w:rsid w:val="00580D9F"/>
    <w:rsid w:val="00580E6F"/>
    <w:rsid w:val="00581405"/>
    <w:rsid w:val="0058156E"/>
    <w:rsid w:val="00581939"/>
    <w:rsid w:val="0058199A"/>
    <w:rsid w:val="00581A4E"/>
    <w:rsid w:val="00581B76"/>
    <w:rsid w:val="00581D1C"/>
    <w:rsid w:val="00581D5F"/>
    <w:rsid w:val="00581E26"/>
    <w:rsid w:val="0058223B"/>
    <w:rsid w:val="00582503"/>
    <w:rsid w:val="00582581"/>
    <w:rsid w:val="005825C9"/>
    <w:rsid w:val="005826AB"/>
    <w:rsid w:val="00582C6D"/>
    <w:rsid w:val="00582DDB"/>
    <w:rsid w:val="00582EC8"/>
    <w:rsid w:val="0058304A"/>
    <w:rsid w:val="005833BE"/>
    <w:rsid w:val="005833CF"/>
    <w:rsid w:val="00583655"/>
    <w:rsid w:val="00583754"/>
    <w:rsid w:val="005838C5"/>
    <w:rsid w:val="00583A3A"/>
    <w:rsid w:val="00583C6D"/>
    <w:rsid w:val="00583E0E"/>
    <w:rsid w:val="00583E2C"/>
    <w:rsid w:val="005840E3"/>
    <w:rsid w:val="0058415F"/>
    <w:rsid w:val="00584260"/>
    <w:rsid w:val="005844E2"/>
    <w:rsid w:val="005844FA"/>
    <w:rsid w:val="0058455A"/>
    <w:rsid w:val="00584618"/>
    <w:rsid w:val="00584657"/>
    <w:rsid w:val="00584872"/>
    <w:rsid w:val="00584A75"/>
    <w:rsid w:val="00584B1D"/>
    <w:rsid w:val="00584B8F"/>
    <w:rsid w:val="00584CAE"/>
    <w:rsid w:val="00584F26"/>
    <w:rsid w:val="00585001"/>
    <w:rsid w:val="00585039"/>
    <w:rsid w:val="00585293"/>
    <w:rsid w:val="0058534C"/>
    <w:rsid w:val="005853C3"/>
    <w:rsid w:val="00585517"/>
    <w:rsid w:val="0058555B"/>
    <w:rsid w:val="00585698"/>
    <w:rsid w:val="0058578D"/>
    <w:rsid w:val="00585BBF"/>
    <w:rsid w:val="00585C0A"/>
    <w:rsid w:val="00585D62"/>
    <w:rsid w:val="00585F75"/>
    <w:rsid w:val="005860FD"/>
    <w:rsid w:val="005861B9"/>
    <w:rsid w:val="00586338"/>
    <w:rsid w:val="005864BA"/>
    <w:rsid w:val="005864E8"/>
    <w:rsid w:val="005864F2"/>
    <w:rsid w:val="005868E7"/>
    <w:rsid w:val="00586E1A"/>
    <w:rsid w:val="00586E42"/>
    <w:rsid w:val="005870CC"/>
    <w:rsid w:val="0058734D"/>
    <w:rsid w:val="00587482"/>
    <w:rsid w:val="00587489"/>
    <w:rsid w:val="00587559"/>
    <w:rsid w:val="005876C9"/>
    <w:rsid w:val="0058784D"/>
    <w:rsid w:val="00587910"/>
    <w:rsid w:val="005879A0"/>
    <w:rsid w:val="005879B5"/>
    <w:rsid w:val="005879EF"/>
    <w:rsid w:val="00587A9D"/>
    <w:rsid w:val="00587D54"/>
    <w:rsid w:val="00587DAC"/>
    <w:rsid w:val="00587F66"/>
    <w:rsid w:val="00590078"/>
    <w:rsid w:val="00590155"/>
    <w:rsid w:val="00590177"/>
    <w:rsid w:val="00590271"/>
    <w:rsid w:val="00590275"/>
    <w:rsid w:val="005902EF"/>
    <w:rsid w:val="005904C7"/>
    <w:rsid w:val="005905C1"/>
    <w:rsid w:val="005905D0"/>
    <w:rsid w:val="00590728"/>
    <w:rsid w:val="005907E5"/>
    <w:rsid w:val="005909D2"/>
    <w:rsid w:val="00590A1D"/>
    <w:rsid w:val="00590A9D"/>
    <w:rsid w:val="00590BD6"/>
    <w:rsid w:val="00590CC7"/>
    <w:rsid w:val="00590E51"/>
    <w:rsid w:val="00590E5B"/>
    <w:rsid w:val="00590F28"/>
    <w:rsid w:val="00590FF9"/>
    <w:rsid w:val="0059103B"/>
    <w:rsid w:val="0059111C"/>
    <w:rsid w:val="005913A1"/>
    <w:rsid w:val="00591598"/>
    <w:rsid w:val="005915E4"/>
    <w:rsid w:val="00591A84"/>
    <w:rsid w:val="00591B91"/>
    <w:rsid w:val="00591C92"/>
    <w:rsid w:val="00591CD5"/>
    <w:rsid w:val="00591D43"/>
    <w:rsid w:val="00591DD7"/>
    <w:rsid w:val="00591ECF"/>
    <w:rsid w:val="00591FB0"/>
    <w:rsid w:val="00592011"/>
    <w:rsid w:val="00592037"/>
    <w:rsid w:val="0059204C"/>
    <w:rsid w:val="0059225F"/>
    <w:rsid w:val="005922A0"/>
    <w:rsid w:val="005922F7"/>
    <w:rsid w:val="0059245D"/>
    <w:rsid w:val="005924F6"/>
    <w:rsid w:val="005927F2"/>
    <w:rsid w:val="00592A45"/>
    <w:rsid w:val="00592DA6"/>
    <w:rsid w:val="00592EC1"/>
    <w:rsid w:val="00592EC4"/>
    <w:rsid w:val="0059308A"/>
    <w:rsid w:val="00593172"/>
    <w:rsid w:val="00593237"/>
    <w:rsid w:val="005932D0"/>
    <w:rsid w:val="00593556"/>
    <w:rsid w:val="0059360C"/>
    <w:rsid w:val="0059374A"/>
    <w:rsid w:val="005937FC"/>
    <w:rsid w:val="00593979"/>
    <w:rsid w:val="0059397D"/>
    <w:rsid w:val="00593A51"/>
    <w:rsid w:val="00593BFF"/>
    <w:rsid w:val="00593F5A"/>
    <w:rsid w:val="0059408F"/>
    <w:rsid w:val="005940B1"/>
    <w:rsid w:val="00594147"/>
    <w:rsid w:val="00594190"/>
    <w:rsid w:val="00594432"/>
    <w:rsid w:val="005944ED"/>
    <w:rsid w:val="00594605"/>
    <w:rsid w:val="00594843"/>
    <w:rsid w:val="00594AFA"/>
    <w:rsid w:val="00594B6F"/>
    <w:rsid w:val="00594BE8"/>
    <w:rsid w:val="00594D28"/>
    <w:rsid w:val="00594E9A"/>
    <w:rsid w:val="00594F3D"/>
    <w:rsid w:val="00594F7B"/>
    <w:rsid w:val="0059529F"/>
    <w:rsid w:val="0059594D"/>
    <w:rsid w:val="005959A2"/>
    <w:rsid w:val="005959B7"/>
    <w:rsid w:val="00595C7E"/>
    <w:rsid w:val="00595DB3"/>
    <w:rsid w:val="00595F5F"/>
    <w:rsid w:val="00596046"/>
    <w:rsid w:val="00596328"/>
    <w:rsid w:val="00596331"/>
    <w:rsid w:val="0059646A"/>
    <w:rsid w:val="005966A2"/>
    <w:rsid w:val="005967B4"/>
    <w:rsid w:val="005968B4"/>
    <w:rsid w:val="00596968"/>
    <w:rsid w:val="00596B52"/>
    <w:rsid w:val="00596B5F"/>
    <w:rsid w:val="00596E8D"/>
    <w:rsid w:val="00596FAF"/>
    <w:rsid w:val="00597136"/>
    <w:rsid w:val="0059746F"/>
    <w:rsid w:val="00597543"/>
    <w:rsid w:val="0059776E"/>
    <w:rsid w:val="005978A0"/>
    <w:rsid w:val="0059794E"/>
    <w:rsid w:val="00597B57"/>
    <w:rsid w:val="00597B81"/>
    <w:rsid w:val="00597D1D"/>
    <w:rsid w:val="00597E5C"/>
    <w:rsid w:val="00597F29"/>
    <w:rsid w:val="00597F44"/>
    <w:rsid w:val="00597FFE"/>
    <w:rsid w:val="005A014F"/>
    <w:rsid w:val="005A0393"/>
    <w:rsid w:val="005A0590"/>
    <w:rsid w:val="005A089F"/>
    <w:rsid w:val="005A08C5"/>
    <w:rsid w:val="005A0940"/>
    <w:rsid w:val="005A098B"/>
    <w:rsid w:val="005A09D9"/>
    <w:rsid w:val="005A0A72"/>
    <w:rsid w:val="005A0CB7"/>
    <w:rsid w:val="005A0DDC"/>
    <w:rsid w:val="005A102E"/>
    <w:rsid w:val="005A1073"/>
    <w:rsid w:val="005A1385"/>
    <w:rsid w:val="005A13C7"/>
    <w:rsid w:val="005A1585"/>
    <w:rsid w:val="005A15C0"/>
    <w:rsid w:val="005A1704"/>
    <w:rsid w:val="005A17A9"/>
    <w:rsid w:val="005A18EC"/>
    <w:rsid w:val="005A19BD"/>
    <w:rsid w:val="005A1A97"/>
    <w:rsid w:val="005A1B30"/>
    <w:rsid w:val="005A1C42"/>
    <w:rsid w:val="005A1DE2"/>
    <w:rsid w:val="005A1E36"/>
    <w:rsid w:val="005A1EDD"/>
    <w:rsid w:val="005A21BC"/>
    <w:rsid w:val="005A2231"/>
    <w:rsid w:val="005A247A"/>
    <w:rsid w:val="005A2562"/>
    <w:rsid w:val="005A2581"/>
    <w:rsid w:val="005A2809"/>
    <w:rsid w:val="005A28A4"/>
    <w:rsid w:val="005A295A"/>
    <w:rsid w:val="005A2D17"/>
    <w:rsid w:val="005A2E0F"/>
    <w:rsid w:val="005A2FAB"/>
    <w:rsid w:val="005A30CD"/>
    <w:rsid w:val="005A3170"/>
    <w:rsid w:val="005A31D2"/>
    <w:rsid w:val="005A377F"/>
    <w:rsid w:val="005A38C4"/>
    <w:rsid w:val="005A391A"/>
    <w:rsid w:val="005A3985"/>
    <w:rsid w:val="005A3A6F"/>
    <w:rsid w:val="005A3BEB"/>
    <w:rsid w:val="005A3D8E"/>
    <w:rsid w:val="005A4082"/>
    <w:rsid w:val="005A40DC"/>
    <w:rsid w:val="005A41F7"/>
    <w:rsid w:val="005A435B"/>
    <w:rsid w:val="005A445D"/>
    <w:rsid w:val="005A45E2"/>
    <w:rsid w:val="005A4774"/>
    <w:rsid w:val="005A495C"/>
    <w:rsid w:val="005A4972"/>
    <w:rsid w:val="005A4B2D"/>
    <w:rsid w:val="005A4CEA"/>
    <w:rsid w:val="005A4EDC"/>
    <w:rsid w:val="005A4FF6"/>
    <w:rsid w:val="005A5146"/>
    <w:rsid w:val="005A5237"/>
    <w:rsid w:val="005A5453"/>
    <w:rsid w:val="005A555B"/>
    <w:rsid w:val="005A566A"/>
    <w:rsid w:val="005A569C"/>
    <w:rsid w:val="005A589A"/>
    <w:rsid w:val="005A5A20"/>
    <w:rsid w:val="005A5B9C"/>
    <w:rsid w:val="005A5BF6"/>
    <w:rsid w:val="005A5CE7"/>
    <w:rsid w:val="005A5D37"/>
    <w:rsid w:val="005A5E7E"/>
    <w:rsid w:val="005A5F66"/>
    <w:rsid w:val="005A6105"/>
    <w:rsid w:val="005A6119"/>
    <w:rsid w:val="005A639B"/>
    <w:rsid w:val="005A6431"/>
    <w:rsid w:val="005A674E"/>
    <w:rsid w:val="005A6793"/>
    <w:rsid w:val="005A6BE9"/>
    <w:rsid w:val="005A6BF0"/>
    <w:rsid w:val="005A6C2C"/>
    <w:rsid w:val="005A6CC4"/>
    <w:rsid w:val="005A6D32"/>
    <w:rsid w:val="005A726F"/>
    <w:rsid w:val="005A749A"/>
    <w:rsid w:val="005A77C2"/>
    <w:rsid w:val="005A78A8"/>
    <w:rsid w:val="005A7DF1"/>
    <w:rsid w:val="005A7E34"/>
    <w:rsid w:val="005A7E3F"/>
    <w:rsid w:val="005A7E7E"/>
    <w:rsid w:val="005A7EC2"/>
    <w:rsid w:val="005B0219"/>
    <w:rsid w:val="005B0434"/>
    <w:rsid w:val="005B07C3"/>
    <w:rsid w:val="005B08B2"/>
    <w:rsid w:val="005B0976"/>
    <w:rsid w:val="005B09B3"/>
    <w:rsid w:val="005B0D30"/>
    <w:rsid w:val="005B1296"/>
    <w:rsid w:val="005B12A1"/>
    <w:rsid w:val="005B1492"/>
    <w:rsid w:val="005B1687"/>
    <w:rsid w:val="005B178E"/>
    <w:rsid w:val="005B17DF"/>
    <w:rsid w:val="005B186A"/>
    <w:rsid w:val="005B1943"/>
    <w:rsid w:val="005B1D9A"/>
    <w:rsid w:val="005B1EB3"/>
    <w:rsid w:val="005B221D"/>
    <w:rsid w:val="005B23CE"/>
    <w:rsid w:val="005B2452"/>
    <w:rsid w:val="005B2642"/>
    <w:rsid w:val="005B282A"/>
    <w:rsid w:val="005B28C4"/>
    <w:rsid w:val="005B28FD"/>
    <w:rsid w:val="005B29DC"/>
    <w:rsid w:val="005B29FA"/>
    <w:rsid w:val="005B2A12"/>
    <w:rsid w:val="005B2C60"/>
    <w:rsid w:val="005B2D0F"/>
    <w:rsid w:val="005B2D1E"/>
    <w:rsid w:val="005B2F93"/>
    <w:rsid w:val="005B326F"/>
    <w:rsid w:val="005B330A"/>
    <w:rsid w:val="005B33CB"/>
    <w:rsid w:val="005B33E8"/>
    <w:rsid w:val="005B33EC"/>
    <w:rsid w:val="005B3783"/>
    <w:rsid w:val="005B37BC"/>
    <w:rsid w:val="005B3AAC"/>
    <w:rsid w:val="005B3BD1"/>
    <w:rsid w:val="005B3C4D"/>
    <w:rsid w:val="005B3E19"/>
    <w:rsid w:val="005B3E33"/>
    <w:rsid w:val="005B3E3C"/>
    <w:rsid w:val="005B3EDB"/>
    <w:rsid w:val="005B3F44"/>
    <w:rsid w:val="005B4125"/>
    <w:rsid w:val="005B4259"/>
    <w:rsid w:val="005B439F"/>
    <w:rsid w:val="005B4BD3"/>
    <w:rsid w:val="005B4FEC"/>
    <w:rsid w:val="005B5058"/>
    <w:rsid w:val="005B5080"/>
    <w:rsid w:val="005B520E"/>
    <w:rsid w:val="005B5453"/>
    <w:rsid w:val="005B56AD"/>
    <w:rsid w:val="005B56AF"/>
    <w:rsid w:val="005B579F"/>
    <w:rsid w:val="005B58E6"/>
    <w:rsid w:val="005B5906"/>
    <w:rsid w:val="005B5951"/>
    <w:rsid w:val="005B59CE"/>
    <w:rsid w:val="005B60F3"/>
    <w:rsid w:val="005B60F9"/>
    <w:rsid w:val="005B6284"/>
    <w:rsid w:val="005B66F4"/>
    <w:rsid w:val="005B6869"/>
    <w:rsid w:val="005B6890"/>
    <w:rsid w:val="005B6911"/>
    <w:rsid w:val="005B712B"/>
    <w:rsid w:val="005B71E3"/>
    <w:rsid w:val="005B724A"/>
    <w:rsid w:val="005B726D"/>
    <w:rsid w:val="005B734D"/>
    <w:rsid w:val="005B737F"/>
    <w:rsid w:val="005B7790"/>
    <w:rsid w:val="005B788B"/>
    <w:rsid w:val="005B79B4"/>
    <w:rsid w:val="005B7BC3"/>
    <w:rsid w:val="005B7C45"/>
    <w:rsid w:val="005B7CC0"/>
    <w:rsid w:val="005B7D67"/>
    <w:rsid w:val="005B7EDD"/>
    <w:rsid w:val="005B7F2C"/>
    <w:rsid w:val="005C0079"/>
    <w:rsid w:val="005C009D"/>
    <w:rsid w:val="005C02BA"/>
    <w:rsid w:val="005C02EB"/>
    <w:rsid w:val="005C08A0"/>
    <w:rsid w:val="005C091D"/>
    <w:rsid w:val="005C0AB6"/>
    <w:rsid w:val="005C0D3A"/>
    <w:rsid w:val="005C0D6E"/>
    <w:rsid w:val="005C0DD3"/>
    <w:rsid w:val="005C0E37"/>
    <w:rsid w:val="005C119D"/>
    <w:rsid w:val="005C11DA"/>
    <w:rsid w:val="005C132A"/>
    <w:rsid w:val="005C1415"/>
    <w:rsid w:val="005C145D"/>
    <w:rsid w:val="005C15A7"/>
    <w:rsid w:val="005C17B2"/>
    <w:rsid w:val="005C18E0"/>
    <w:rsid w:val="005C1A2B"/>
    <w:rsid w:val="005C1BB3"/>
    <w:rsid w:val="005C1BF4"/>
    <w:rsid w:val="005C1C9A"/>
    <w:rsid w:val="005C1E57"/>
    <w:rsid w:val="005C1FBF"/>
    <w:rsid w:val="005C2037"/>
    <w:rsid w:val="005C207B"/>
    <w:rsid w:val="005C20A6"/>
    <w:rsid w:val="005C213A"/>
    <w:rsid w:val="005C22B1"/>
    <w:rsid w:val="005C23A3"/>
    <w:rsid w:val="005C23FB"/>
    <w:rsid w:val="005C25B9"/>
    <w:rsid w:val="005C27AC"/>
    <w:rsid w:val="005C283F"/>
    <w:rsid w:val="005C2841"/>
    <w:rsid w:val="005C29DB"/>
    <w:rsid w:val="005C2C0B"/>
    <w:rsid w:val="005C2DA3"/>
    <w:rsid w:val="005C2DFF"/>
    <w:rsid w:val="005C2F2A"/>
    <w:rsid w:val="005C3090"/>
    <w:rsid w:val="005C3107"/>
    <w:rsid w:val="005C31D1"/>
    <w:rsid w:val="005C3733"/>
    <w:rsid w:val="005C3A4A"/>
    <w:rsid w:val="005C3BB1"/>
    <w:rsid w:val="005C3BDD"/>
    <w:rsid w:val="005C3C69"/>
    <w:rsid w:val="005C3E2D"/>
    <w:rsid w:val="005C3F05"/>
    <w:rsid w:val="005C3F9A"/>
    <w:rsid w:val="005C4018"/>
    <w:rsid w:val="005C401B"/>
    <w:rsid w:val="005C401E"/>
    <w:rsid w:val="005C412F"/>
    <w:rsid w:val="005C4160"/>
    <w:rsid w:val="005C4294"/>
    <w:rsid w:val="005C43D0"/>
    <w:rsid w:val="005C440A"/>
    <w:rsid w:val="005C4586"/>
    <w:rsid w:val="005C48FE"/>
    <w:rsid w:val="005C4A4E"/>
    <w:rsid w:val="005C4B71"/>
    <w:rsid w:val="005C4C6B"/>
    <w:rsid w:val="005C4CE8"/>
    <w:rsid w:val="005C4D07"/>
    <w:rsid w:val="005C4F51"/>
    <w:rsid w:val="005C508D"/>
    <w:rsid w:val="005C5110"/>
    <w:rsid w:val="005C51F8"/>
    <w:rsid w:val="005C5223"/>
    <w:rsid w:val="005C5365"/>
    <w:rsid w:val="005C5645"/>
    <w:rsid w:val="005C56B2"/>
    <w:rsid w:val="005C59B4"/>
    <w:rsid w:val="005C59F3"/>
    <w:rsid w:val="005C5BAF"/>
    <w:rsid w:val="005C5CD4"/>
    <w:rsid w:val="005C5E81"/>
    <w:rsid w:val="005C6043"/>
    <w:rsid w:val="005C608A"/>
    <w:rsid w:val="005C6324"/>
    <w:rsid w:val="005C6390"/>
    <w:rsid w:val="005C63C3"/>
    <w:rsid w:val="005C63F7"/>
    <w:rsid w:val="005C6431"/>
    <w:rsid w:val="005C651C"/>
    <w:rsid w:val="005C6527"/>
    <w:rsid w:val="005C6842"/>
    <w:rsid w:val="005C6AAD"/>
    <w:rsid w:val="005C6AB7"/>
    <w:rsid w:val="005C6C96"/>
    <w:rsid w:val="005C6E93"/>
    <w:rsid w:val="005C6E97"/>
    <w:rsid w:val="005C6EC2"/>
    <w:rsid w:val="005C70E9"/>
    <w:rsid w:val="005C712B"/>
    <w:rsid w:val="005C725B"/>
    <w:rsid w:val="005C7294"/>
    <w:rsid w:val="005C73DF"/>
    <w:rsid w:val="005C76DA"/>
    <w:rsid w:val="005C78BF"/>
    <w:rsid w:val="005C7919"/>
    <w:rsid w:val="005C792C"/>
    <w:rsid w:val="005C7A5C"/>
    <w:rsid w:val="005C7ACB"/>
    <w:rsid w:val="005C7B47"/>
    <w:rsid w:val="005C7C65"/>
    <w:rsid w:val="005C7DB7"/>
    <w:rsid w:val="005D00ED"/>
    <w:rsid w:val="005D0345"/>
    <w:rsid w:val="005D048C"/>
    <w:rsid w:val="005D05F6"/>
    <w:rsid w:val="005D06D8"/>
    <w:rsid w:val="005D0846"/>
    <w:rsid w:val="005D08CF"/>
    <w:rsid w:val="005D08FD"/>
    <w:rsid w:val="005D0B22"/>
    <w:rsid w:val="005D0B75"/>
    <w:rsid w:val="005D0BB4"/>
    <w:rsid w:val="005D0BB6"/>
    <w:rsid w:val="005D0BDC"/>
    <w:rsid w:val="005D0C1C"/>
    <w:rsid w:val="005D0CF7"/>
    <w:rsid w:val="005D0E94"/>
    <w:rsid w:val="005D0EA3"/>
    <w:rsid w:val="005D0F3C"/>
    <w:rsid w:val="005D1189"/>
    <w:rsid w:val="005D123D"/>
    <w:rsid w:val="005D1255"/>
    <w:rsid w:val="005D12AD"/>
    <w:rsid w:val="005D1345"/>
    <w:rsid w:val="005D14BF"/>
    <w:rsid w:val="005D1602"/>
    <w:rsid w:val="005D16FD"/>
    <w:rsid w:val="005D1712"/>
    <w:rsid w:val="005D18E4"/>
    <w:rsid w:val="005D1913"/>
    <w:rsid w:val="005D1C7A"/>
    <w:rsid w:val="005D1CA7"/>
    <w:rsid w:val="005D1DEB"/>
    <w:rsid w:val="005D1F9A"/>
    <w:rsid w:val="005D20F4"/>
    <w:rsid w:val="005D223F"/>
    <w:rsid w:val="005D26E8"/>
    <w:rsid w:val="005D281F"/>
    <w:rsid w:val="005D28D7"/>
    <w:rsid w:val="005D2A11"/>
    <w:rsid w:val="005D2AE6"/>
    <w:rsid w:val="005D2B6A"/>
    <w:rsid w:val="005D2DC2"/>
    <w:rsid w:val="005D2DFE"/>
    <w:rsid w:val="005D31C4"/>
    <w:rsid w:val="005D3406"/>
    <w:rsid w:val="005D34D0"/>
    <w:rsid w:val="005D3583"/>
    <w:rsid w:val="005D387E"/>
    <w:rsid w:val="005D38D2"/>
    <w:rsid w:val="005D3974"/>
    <w:rsid w:val="005D3A74"/>
    <w:rsid w:val="005D3B91"/>
    <w:rsid w:val="005D3DA0"/>
    <w:rsid w:val="005D3DA5"/>
    <w:rsid w:val="005D4069"/>
    <w:rsid w:val="005D42C3"/>
    <w:rsid w:val="005D45CD"/>
    <w:rsid w:val="005D4676"/>
    <w:rsid w:val="005D499F"/>
    <w:rsid w:val="005D4A47"/>
    <w:rsid w:val="005D4C71"/>
    <w:rsid w:val="005D4D7A"/>
    <w:rsid w:val="005D4DCA"/>
    <w:rsid w:val="005D4FA2"/>
    <w:rsid w:val="005D4FCB"/>
    <w:rsid w:val="005D5083"/>
    <w:rsid w:val="005D5130"/>
    <w:rsid w:val="005D521A"/>
    <w:rsid w:val="005D528D"/>
    <w:rsid w:val="005D52B1"/>
    <w:rsid w:val="005D554D"/>
    <w:rsid w:val="005D5683"/>
    <w:rsid w:val="005D57E1"/>
    <w:rsid w:val="005D5980"/>
    <w:rsid w:val="005D59C8"/>
    <w:rsid w:val="005D5A4F"/>
    <w:rsid w:val="005D5A5C"/>
    <w:rsid w:val="005D5B62"/>
    <w:rsid w:val="005D5BAC"/>
    <w:rsid w:val="005D5D35"/>
    <w:rsid w:val="005D5D5F"/>
    <w:rsid w:val="005D5EB8"/>
    <w:rsid w:val="005D5FA3"/>
    <w:rsid w:val="005D6012"/>
    <w:rsid w:val="005D6102"/>
    <w:rsid w:val="005D6269"/>
    <w:rsid w:val="005D65CB"/>
    <w:rsid w:val="005D6880"/>
    <w:rsid w:val="005D6924"/>
    <w:rsid w:val="005D69CD"/>
    <w:rsid w:val="005D69EE"/>
    <w:rsid w:val="005D6BC6"/>
    <w:rsid w:val="005D6BE6"/>
    <w:rsid w:val="005D6D11"/>
    <w:rsid w:val="005D6E27"/>
    <w:rsid w:val="005D6E5D"/>
    <w:rsid w:val="005D7124"/>
    <w:rsid w:val="005D7435"/>
    <w:rsid w:val="005D7501"/>
    <w:rsid w:val="005D750D"/>
    <w:rsid w:val="005D7632"/>
    <w:rsid w:val="005D77D2"/>
    <w:rsid w:val="005D7A6C"/>
    <w:rsid w:val="005D7DE5"/>
    <w:rsid w:val="005D7EE9"/>
    <w:rsid w:val="005D7F92"/>
    <w:rsid w:val="005D7FD2"/>
    <w:rsid w:val="005E005A"/>
    <w:rsid w:val="005E00E8"/>
    <w:rsid w:val="005E02C5"/>
    <w:rsid w:val="005E04F5"/>
    <w:rsid w:val="005E0672"/>
    <w:rsid w:val="005E0726"/>
    <w:rsid w:val="005E080B"/>
    <w:rsid w:val="005E083E"/>
    <w:rsid w:val="005E08D3"/>
    <w:rsid w:val="005E0A48"/>
    <w:rsid w:val="005E0A73"/>
    <w:rsid w:val="005E0BAB"/>
    <w:rsid w:val="005E0C2B"/>
    <w:rsid w:val="005E0CE1"/>
    <w:rsid w:val="005E0D18"/>
    <w:rsid w:val="005E0E76"/>
    <w:rsid w:val="005E0ECB"/>
    <w:rsid w:val="005E1281"/>
    <w:rsid w:val="005E1310"/>
    <w:rsid w:val="005E146F"/>
    <w:rsid w:val="005E1471"/>
    <w:rsid w:val="005E15E5"/>
    <w:rsid w:val="005E1683"/>
    <w:rsid w:val="005E1692"/>
    <w:rsid w:val="005E16B8"/>
    <w:rsid w:val="005E1785"/>
    <w:rsid w:val="005E1A95"/>
    <w:rsid w:val="005E1B45"/>
    <w:rsid w:val="005E1B46"/>
    <w:rsid w:val="005E1DF9"/>
    <w:rsid w:val="005E1FBE"/>
    <w:rsid w:val="005E2159"/>
    <w:rsid w:val="005E2235"/>
    <w:rsid w:val="005E225E"/>
    <w:rsid w:val="005E2328"/>
    <w:rsid w:val="005E2340"/>
    <w:rsid w:val="005E2353"/>
    <w:rsid w:val="005E2568"/>
    <w:rsid w:val="005E2769"/>
    <w:rsid w:val="005E298B"/>
    <w:rsid w:val="005E2B44"/>
    <w:rsid w:val="005E2C35"/>
    <w:rsid w:val="005E2FF5"/>
    <w:rsid w:val="005E30F3"/>
    <w:rsid w:val="005E312D"/>
    <w:rsid w:val="005E3132"/>
    <w:rsid w:val="005E31D3"/>
    <w:rsid w:val="005E359D"/>
    <w:rsid w:val="005E38A7"/>
    <w:rsid w:val="005E3AEB"/>
    <w:rsid w:val="005E3DEA"/>
    <w:rsid w:val="005E3EA3"/>
    <w:rsid w:val="005E3F80"/>
    <w:rsid w:val="005E4020"/>
    <w:rsid w:val="005E40F4"/>
    <w:rsid w:val="005E4111"/>
    <w:rsid w:val="005E42B2"/>
    <w:rsid w:val="005E42F6"/>
    <w:rsid w:val="005E431A"/>
    <w:rsid w:val="005E44BB"/>
    <w:rsid w:val="005E4568"/>
    <w:rsid w:val="005E4627"/>
    <w:rsid w:val="005E475E"/>
    <w:rsid w:val="005E4825"/>
    <w:rsid w:val="005E4984"/>
    <w:rsid w:val="005E4A01"/>
    <w:rsid w:val="005E4B70"/>
    <w:rsid w:val="005E4B97"/>
    <w:rsid w:val="005E4E3B"/>
    <w:rsid w:val="005E4F11"/>
    <w:rsid w:val="005E5034"/>
    <w:rsid w:val="005E5273"/>
    <w:rsid w:val="005E5339"/>
    <w:rsid w:val="005E553B"/>
    <w:rsid w:val="005E55E0"/>
    <w:rsid w:val="005E5699"/>
    <w:rsid w:val="005E570F"/>
    <w:rsid w:val="005E5992"/>
    <w:rsid w:val="005E59B9"/>
    <w:rsid w:val="005E5B9E"/>
    <w:rsid w:val="005E5BB6"/>
    <w:rsid w:val="005E5F9C"/>
    <w:rsid w:val="005E5FF3"/>
    <w:rsid w:val="005E62DD"/>
    <w:rsid w:val="005E6537"/>
    <w:rsid w:val="005E6543"/>
    <w:rsid w:val="005E6627"/>
    <w:rsid w:val="005E68A5"/>
    <w:rsid w:val="005E6973"/>
    <w:rsid w:val="005E6CEC"/>
    <w:rsid w:val="005E6E65"/>
    <w:rsid w:val="005E709F"/>
    <w:rsid w:val="005E70BF"/>
    <w:rsid w:val="005E720F"/>
    <w:rsid w:val="005E7231"/>
    <w:rsid w:val="005E7302"/>
    <w:rsid w:val="005E738B"/>
    <w:rsid w:val="005E74C3"/>
    <w:rsid w:val="005E766A"/>
    <w:rsid w:val="005E77C0"/>
    <w:rsid w:val="005E798E"/>
    <w:rsid w:val="005E7AD2"/>
    <w:rsid w:val="005E7B20"/>
    <w:rsid w:val="005E7CDB"/>
    <w:rsid w:val="005E7CE4"/>
    <w:rsid w:val="005E7E17"/>
    <w:rsid w:val="005E7E3A"/>
    <w:rsid w:val="005E7F67"/>
    <w:rsid w:val="005E7FC7"/>
    <w:rsid w:val="005F013C"/>
    <w:rsid w:val="005F01D9"/>
    <w:rsid w:val="005F0329"/>
    <w:rsid w:val="005F05CC"/>
    <w:rsid w:val="005F083F"/>
    <w:rsid w:val="005F0975"/>
    <w:rsid w:val="005F0B6D"/>
    <w:rsid w:val="005F0C84"/>
    <w:rsid w:val="005F0EA9"/>
    <w:rsid w:val="005F0F08"/>
    <w:rsid w:val="005F107B"/>
    <w:rsid w:val="005F113C"/>
    <w:rsid w:val="005F11EB"/>
    <w:rsid w:val="005F14E0"/>
    <w:rsid w:val="005F14FE"/>
    <w:rsid w:val="005F166E"/>
    <w:rsid w:val="005F167E"/>
    <w:rsid w:val="005F18A6"/>
    <w:rsid w:val="005F1A29"/>
    <w:rsid w:val="005F1B74"/>
    <w:rsid w:val="005F1CC5"/>
    <w:rsid w:val="005F1D73"/>
    <w:rsid w:val="005F1DB3"/>
    <w:rsid w:val="005F1DE6"/>
    <w:rsid w:val="005F1ECF"/>
    <w:rsid w:val="005F1F83"/>
    <w:rsid w:val="005F1FB2"/>
    <w:rsid w:val="005F1FC0"/>
    <w:rsid w:val="005F2004"/>
    <w:rsid w:val="005F20C5"/>
    <w:rsid w:val="005F20E5"/>
    <w:rsid w:val="005F2123"/>
    <w:rsid w:val="005F21DA"/>
    <w:rsid w:val="005F2321"/>
    <w:rsid w:val="005F240E"/>
    <w:rsid w:val="005F243C"/>
    <w:rsid w:val="005F2514"/>
    <w:rsid w:val="005F26F7"/>
    <w:rsid w:val="005F272E"/>
    <w:rsid w:val="005F2817"/>
    <w:rsid w:val="005F2FF8"/>
    <w:rsid w:val="005F3065"/>
    <w:rsid w:val="005F3133"/>
    <w:rsid w:val="005F331F"/>
    <w:rsid w:val="005F347C"/>
    <w:rsid w:val="005F35D4"/>
    <w:rsid w:val="005F36D1"/>
    <w:rsid w:val="005F37BE"/>
    <w:rsid w:val="005F3955"/>
    <w:rsid w:val="005F3C69"/>
    <w:rsid w:val="005F3D04"/>
    <w:rsid w:val="005F3D20"/>
    <w:rsid w:val="005F3E1A"/>
    <w:rsid w:val="005F41BB"/>
    <w:rsid w:val="005F41F8"/>
    <w:rsid w:val="005F4220"/>
    <w:rsid w:val="005F4285"/>
    <w:rsid w:val="005F4541"/>
    <w:rsid w:val="005F4594"/>
    <w:rsid w:val="005F45BE"/>
    <w:rsid w:val="005F4643"/>
    <w:rsid w:val="005F479B"/>
    <w:rsid w:val="005F47C8"/>
    <w:rsid w:val="005F4985"/>
    <w:rsid w:val="005F49F1"/>
    <w:rsid w:val="005F4BAC"/>
    <w:rsid w:val="005F4EA7"/>
    <w:rsid w:val="005F4EF9"/>
    <w:rsid w:val="005F5271"/>
    <w:rsid w:val="005F52D5"/>
    <w:rsid w:val="005F5441"/>
    <w:rsid w:val="005F55C0"/>
    <w:rsid w:val="005F577F"/>
    <w:rsid w:val="005F58CA"/>
    <w:rsid w:val="005F5910"/>
    <w:rsid w:val="005F59BD"/>
    <w:rsid w:val="005F5A7F"/>
    <w:rsid w:val="005F5B89"/>
    <w:rsid w:val="005F5C3C"/>
    <w:rsid w:val="005F5DA5"/>
    <w:rsid w:val="005F5DC7"/>
    <w:rsid w:val="005F5E31"/>
    <w:rsid w:val="005F5F11"/>
    <w:rsid w:val="005F6007"/>
    <w:rsid w:val="005F60F1"/>
    <w:rsid w:val="005F6185"/>
    <w:rsid w:val="005F6197"/>
    <w:rsid w:val="005F63C3"/>
    <w:rsid w:val="005F64AF"/>
    <w:rsid w:val="005F677F"/>
    <w:rsid w:val="005F680D"/>
    <w:rsid w:val="005F6887"/>
    <w:rsid w:val="005F6A44"/>
    <w:rsid w:val="005F6A6F"/>
    <w:rsid w:val="005F6AFB"/>
    <w:rsid w:val="005F6D61"/>
    <w:rsid w:val="005F6F1E"/>
    <w:rsid w:val="005F6F35"/>
    <w:rsid w:val="005F7057"/>
    <w:rsid w:val="005F7526"/>
    <w:rsid w:val="005F78D6"/>
    <w:rsid w:val="005F7A0B"/>
    <w:rsid w:val="005F7A5F"/>
    <w:rsid w:val="005F7AAB"/>
    <w:rsid w:val="005F7B44"/>
    <w:rsid w:val="005F7C4B"/>
    <w:rsid w:val="005F7F2C"/>
    <w:rsid w:val="00600069"/>
    <w:rsid w:val="0060018F"/>
    <w:rsid w:val="00600210"/>
    <w:rsid w:val="00600238"/>
    <w:rsid w:val="00600325"/>
    <w:rsid w:val="006003F9"/>
    <w:rsid w:val="006004EA"/>
    <w:rsid w:val="00600603"/>
    <w:rsid w:val="006006B6"/>
    <w:rsid w:val="0060086C"/>
    <w:rsid w:val="00600931"/>
    <w:rsid w:val="00600A60"/>
    <w:rsid w:val="00600C00"/>
    <w:rsid w:val="00600D12"/>
    <w:rsid w:val="00601032"/>
    <w:rsid w:val="006010EF"/>
    <w:rsid w:val="00601296"/>
    <w:rsid w:val="006012AE"/>
    <w:rsid w:val="006013C8"/>
    <w:rsid w:val="006013FA"/>
    <w:rsid w:val="00601515"/>
    <w:rsid w:val="00601C37"/>
    <w:rsid w:val="00601D62"/>
    <w:rsid w:val="00601E39"/>
    <w:rsid w:val="00602189"/>
    <w:rsid w:val="0060226B"/>
    <w:rsid w:val="00602346"/>
    <w:rsid w:val="006026A9"/>
    <w:rsid w:val="00602809"/>
    <w:rsid w:val="00602831"/>
    <w:rsid w:val="00602A14"/>
    <w:rsid w:val="00602C6B"/>
    <w:rsid w:val="00602F36"/>
    <w:rsid w:val="00602FC7"/>
    <w:rsid w:val="00602FF5"/>
    <w:rsid w:val="00603044"/>
    <w:rsid w:val="00603205"/>
    <w:rsid w:val="00603301"/>
    <w:rsid w:val="0060341A"/>
    <w:rsid w:val="00603686"/>
    <w:rsid w:val="00603689"/>
    <w:rsid w:val="0060376D"/>
    <w:rsid w:val="00603796"/>
    <w:rsid w:val="006037D3"/>
    <w:rsid w:val="00603A78"/>
    <w:rsid w:val="00603D6C"/>
    <w:rsid w:val="00603DC0"/>
    <w:rsid w:val="0060402C"/>
    <w:rsid w:val="006040A2"/>
    <w:rsid w:val="00604649"/>
    <w:rsid w:val="006046F4"/>
    <w:rsid w:val="006049F6"/>
    <w:rsid w:val="00604B43"/>
    <w:rsid w:val="00604BBC"/>
    <w:rsid w:val="00605135"/>
    <w:rsid w:val="00605356"/>
    <w:rsid w:val="0060535F"/>
    <w:rsid w:val="00605379"/>
    <w:rsid w:val="0060540E"/>
    <w:rsid w:val="0060541F"/>
    <w:rsid w:val="00605782"/>
    <w:rsid w:val="00605E56"/>
    <w:rsid w:val="00605F36"/>
    <w:rsid w:val="00605F9C"/>
    <w:rsid w:val="00606068"/>
    <w:rsid w:val="006063B6"/>
    <w:rsid w:val="00606475"/>
    <w:rsid w:val="0060652D"/>
    <w:rsid w:val="006068A5"/>
    <w:rsid w:val="006069ED"/>
    <w:rsid w:val="00606B7C"/>
    <w:rsid w:val="00606BDB"/>
    <w:rsid w:val="00606E14"/>
    <w:rsid w:val="00607041"/>
    <w:rsid w:val="006071BA"/>
    <w:rsid w:val="0060730A"/>
    <w:rsid w:val="006074FC"/>
    <w:rsid w:val="00607566"/>
    <w:rsid w:val="00607637"/>
    <w:rsid w:val="0060765B"/>
    <w:rsid w:val="00607790"/>
    <w:rsid w:val="00607931"/>
    <w:rsid w:val="00607963"/>
    <w:rsid w:val="00607A82"/>
    <w:rsid w:val="00607B62"/>
    <w:rsid w:val="00607C9C"/>
    <w:rsid w:val="00607D84"/>
    <w:rsid w:val="00610082"/>
    <w:rsid w:val="0061012F"/>
    <w:rsid w:val="0061041D"/>
    <w:rsid w:val="00610429"/>
    <w:rsid w:val="0061045F"/>
    <w:rsid w:val="006107CE"/>
    <w:rsid w:val="006108D8"/>
    <w:rsid w:val="00610948"/>
    <w:rsid w:val="00610982"/>
    <w:rsid w:val="00610A0A"/>
    <w:rsid w:val="00610F11"/>
    <w:rsid w:val="00610FDF"/>
    <w:rsid w:val="0061108E"/>
    <w:rsid w:val="00611415"/>
    <w:rsid w:val="0061146F"/>
    <w:rsid w:val="00611558"/>
    <w:rsid w:val="0061167F"/>
    <w:rsid w:val="00611775"/>
    <w:rsid w:val="006117BE"/>
    <w:rsid w:val="006118B0"/>
    <w:rsid w:val="006118D4"/>
    <w:rsid w:val="00611A92"/>
    <w:rsid w:val="00611ABA"/>
    <w:rsid w:val="00611ACB"/>
    <w:rsid w:val="00611AFF"/>
    <w:rsid w:val="00611BC5"/>
    <w:rsid w:val="00611C0A"/>
    <w:rsid w:val="00611D2F"/>
    <w:rsid w:val="00611D89"/>
    <w:rsid w:val="00611EF7"/>
    <w:rsid w:val="00611F4D"/>
    <w:rsid w:val="00611FBF"/>
    <w:rsid w:val="00612184"/>
    <w:rsid w:val="00612212"/>
    <w:rsid w:val="00612410"/>
    <w:rsid w:val="0061253D"/>
    <w:rsid w:val="0061254C"/>
    <w:rsid w:val="00612606"/>
    <w:rsid w:val="00612A24"/>
    <w:rsid w:val="00612C6C"/>
    <w:rsid w:val="00612CC6"/>
    <w:rsid w:val="00612EBD"/>
    <w:rsid w:val="00612FB1"/>
    <w:rsid w:val="0061326A"/>
    <w:rsid w:val="006132EE"/>
    <w:rsid w:val="00613638"/>
    <w:rsid w:val="006136ED"/>
    <w:rsid w:val="00613D0F"/>
    <w:rsid w:val="00613D24"/>
    <w:rsid w:val="00613F3A"/>
    <w:rsid w:val="00613F4C"/>
    <w:rsid w:val="00613F6C"/>
    <w:rsid w:val="00613F74"/>
    <w:rsid w:val="00613FC2"/>
    <w:rsid w:val="00614187"/>
    <w:rsid w:val="006141BB"/>
    <w:rsid w:val="006142BF"/>
    <w:rsid w:val="006144A0"/>
    <w:rsid w:val="006144BC"/>
    <w:rsid w:val="006146E2"/>
    <w:rsid w:val="0061470E"/>
    <w:rsid w:val="006147A8"/>
    <w:rsid w:val="00614CD4"/>
    <w:rsid w:val="00614D07"/>
    <w:rsid w:val="00614D77"/>
    <w:rsid w:val="00614DBB"/>
    <w:rsid w:val="00614F76"/>
    <w:rsid w:val="00614F88"/>
    <w:rsid w:val="0061524C"/>
    <w:rsid w:val="006152B2"/>
    <w:rsid w:val="0061531A"/>
    <w:rsid w:val="006155E3"/>
    <w:rsid w:val="00615765"/>
    <w:rsid w:val="00615813"/>
    <w:rsid w:val="0061582F"/>
    <w:rsid w:val="00615933"/>
    <w:rsid w:val="0061609B"/>
    <w:rsid w:val="006161B6"/>
    <w:rsid w:val="00616205"/>
    <w:rsid w:val="00616304"/>
    <w:rsid w:val="00616397"/>
    <w:rsid w:val="006163B3"/>
    <w:rsid w:val="00616499"/>
    <w:rsid w:val="006164E2"/>
    <w:rsid w:val="00616549"/>
    <w:rsid w:val="006165CA"/>
    <w:rsid w:val="00616746"/>
    <w:rsid w:val="00616929"/>
    <w:rsid w:val="00616D8F"/>
    <w:rsid w:val="00616E9F"/>
    <w:rsid w:val="00616F58"/>
    <w:rsid w:val="0061704D"/>
    <w:rsid w:val="0061705F"/>
    <w:rsid w:val="00617475"/>
    <w:rsid w:val="00617549"/>
    <w:rsid w:val="00617571"/>
    <w:rsid w:val="006175FD"/>
    <w:rsid w:val="00617927"/>
    <w:rsid w:val="0061797B"/>
    <w:rsid w:val="006179D5"/>
    <w:rsid w:val="00617C33"/>
    <w:rsid w:val="00617D81"/>
    <w:rsid w:val="00617D85"/>
    <w:rsid w:val="00617F85"/>
    <w:rsid w:val="006202F6"/>
    <w:rsid w:val="006203C8"/>
    <w:rsid w:val="006204D6"/>
    <w:rsid w:val="0062051C"/>
    <w:rsid w:val="00620905"/>
    <w:rsid w:val="0062090B"/>
    <w:rsid w:val="00620929"/>
    <w:rsid w:val="00620D0C"/>
    <w:rsid w:val="00620EE4"/>
    <w:rsid w:val="00620FDA"/>
    <w:rsid w:val="00620FDC"/>
    <w:rsid w:val="00621158"/>
    <w:rsid w:val="00621406"/>
    <w:rsid w:val="0062143B"/>
    <w:rsid w:val="006215F8"/>
    <w:rsid w:val="006216BA"/>
    <w:rsid w:val="006217A8"/>
    <w:rsid w:val="006219EA"/>
    <w:rsid w:val="00621B81"/>
    <w:rsid w:val="00621BD1"/>
    <w:rsid w:val="00621C70"/>
    <w:rsid w:val="00621F7A"/>
    <w:rsid w:val="00621FB0"/>
    <w:rsid w:val="006221AD"/>
    <w:rsid w:val="006221C3"/>
    <w:rsid w:val="006222BE"/>
    <w:rsid w:val="006222DD"/>
    <w:rsid w:val="006223CF"/>
    <w:rsid w:val="006223EE"/>
    <w:rsid w:val="00622456"/>
    <w:rsid w:val="0062251A"/>
    <w:rsid w:val="006225CF"/>
    <w:rsid w:val="00622732"/>
    <w:rsid w:val="00622764"/>
    <w:rsid w:val="0062276C"/>
    <w:rsid w:val="00622A75"/>
    <w:rsid w:val="00622B18"/>
    <w:rsid w:val="00622E17"/>
    <w:rsid w:val="00622F79"/>
    <w:rsid w:val="00622FAE"/>
    <w:rsid w:val="006230E0"/>
    <w:rsid w:val="00623336"/>
    <w:rsid w:val="00623405"/>
    <w:rsid w:val="0062386C"/>
    <w:rsid w:val="0062396D"/>
    <w:rsid w:val="0062398E"/>
    <w:rsid w:val="0062399B"/>
    <w:rsid w:val="00623C13"/>
    <w:rsid w:val="00623D23"/>
    <w:rsid w:val="00624112"/>
    <w:rsid w:val="006241BB"/>
    <w:rsid w:val="00624516"/>
    <w:rsid w:val="00624785"/>
    <w:rsid w:val="006247C9"/>
    <w:rsid w:val="00624857"/>
    <w:rsid w:val="00624959"/>
    <w:rsid w:val="00624C93"/>
    <w:rsid w:val="00624E67"/>
    <w:rsid w:val="006250BA"/>
    <w:rsid w:val="006250C6"/>
    <w:rsid w:val="00625188"/>
    <w:rsid w:val="006252C3"/>
    <w:rsid w:val="006252E3"/>
    <w:rsid w:val="006253CB"/>
    <w:rsid w:val="0062545A"/>
    <w:rsid w:val="00625748"/>
    <w:rsid w:val="006257B2"/>
    <w:rsid w:val="006257BA"/>
    <w:rsid w:val="00625B01"/>
    <w:rsid w:val="00625BAB"/>
    <w:rsid w:val="00625D47"/>
    <w:rsid w:val="0062601E"/>
    <w:rsid w:val="006262BF"/>
    <w:rsid w:val="006263F3"/>
    <w:rsid w:val="006266F7"/>
    <w:rsid w:val="00626735"/>
    <w:rsid w:val="00626759"/>
    <w:rsid w:val="006267DE"/>
    <w:rsid w:val="006268B4"/>
    <w:rsid w:val="0062693C"/>
    <w:rsid w:val="00626A51"/>
    <w:rsid w:val="00626E6A"/>
    <w:rsid w:val="006274CE"/>
    <w:rsid w:val="006275A1"/>
    <w:rsid w:val="0062792C"/>
    <w:rsid w:val="006279B8"/>
    <w:rsid w:val="00627A0D"/>
    <w:rsid w:val="00627B70"/>
    <w:rsid w:val="00627C82"/>
    <w:rsid w:val="00627D7D"/>
    <w:rsid w:val="00627E78"/>
    <w:rsid w:val="00627E9C"/>
    <w:rsid w:val="00627FA6"/>
    <w:rsid w:val="0063011A"/>
    <w:rsid w:val="006301C0"/>
    <w:rsid w:val="0063040F"/>
    <w:rsid w:val="00630617"/>
    <w:rsid w:val="00630A20"/>
    <w:rsid w:val="00630BAD"/>
    <w:rsid w:val="00630C10"/>
    <w:rsid w:val="00630C17"/>
    <w:rsid w:val="006311D5"/>
    <w:rsid w:val="006315E2"/>
    <w:rsid w:val="006316AF"/>
    <w:rsid w:val="0063172E"/>
    <w:rsid w:val="006317FB"/>
    <w:rsid w:val="00631B0C"/>
    <w:rsid w:val="00631C76"/>
    <w:rsid w:val="00631D07"/>
    <w:rsid w:val="00631E1F"/>
    <w:rsid w:val="006321F2"/>
    <w:rsid w:val="00632230"/>
    <w:rsid w:val="006322CD"/>
    <w:rsid w:val="0063230E"/>
    <w:rsid w:val="006323F7"/>
    <w:rsid w:val="00632610"/>
    <w:rsid w:val="006326DC"/>
    <w:rsid w:val="006329A1"/>
    <w:rsid w:val="00632B39"/>
    <w:rsid w:val="00632C92"/>
    <w:rsid w:val="00632D54"/>
    <w:rsid w:val="00632ECE"/>
    <w:rsid w:val="00632F19"/>
    <w:rsid w:val="0063311A"/>
    <w:rsid w:val="0063318E"/>
    <w:rsid w:val="006331ED"/>
    <w:rsid w:val="00633318"/>
    <w:rsid w:val="0063350D"/>
    <w:rsid w:val="006335F5"/>
    <w:rsid w:val="006336BC"/>
    <w:rsid w:val="00633B38"/>
    <w:rsid w:val="00633F48"/>
    <w:rsid w:val="00633FA6"/>
    <w:rsid w:val="006340E5"/>
    <w:rsid w:val="00634100"/>
    <w:rsid w:val="00634138"/>
    <w:rsid w:val="00634209"/>
    <w:rsid w:val="00634290"/>
    <w:rsid w:val="0063439C"/>
    <w:rsid w:val="006343C2"/>
    <w:rsid w:val="00634489"/>
    <w:rsid w:val="00634502"/>
    <w:rsid w:val="006345CF"/>
    <w:rsid w:val="006345E1"/>
    <w:rsid w:val="006348A8"/>
    <w:rsid w:val="0063492A"/>
    <w:rsid w:val="006349CC"/>
    <w:rsid w:val="00634AD2"/>
    <w:rsid w:val="00634C1A"/>
    <w:rsid w:val="00635063"/>
    <w:rsid w:val="00635077"/>
    <w:rsid w:val="006350CA"/>
    <w:rsid w:val="0063518D"/>
    <w:rsid w:val="006352AD"/>
    <w:rsid w:val="006352E6"/>
    <w:rsid w:val="006353EA"/>
    <w:rsid w:val="006355C3"/>
    <w:rsid w:val="006356EE"/>
    <w:rsid w:val="0063586E"/>
    <w:rsid w:val="0063588F"/>
    <w:rsid w:val="00635A15"/>
    <w:rsid w:val="00635B65"/>
    <w:rsid w:val="00635BAA"/>
    <w:rsid w:val="00635C41"/>
    <w:rsid w:val="00635CB3"/>
    <w:rsid w:val="00635CD5"/>
    <w:rsid w:val="00635D3B"/>
    <w:rsid w:val="00635D67"/>
    <w:rsid w:val="00635E0B"/>
    <w:rsid w:val="00635F46"/>
    <w:rsid w:val="00635FB7"/>
    <w:rsid w:val="00636300"/>
    <w:rsid w:val="00636386"/>
    <w:rsid w:val="006367FD"/>
    <w:rsid w:val="00636853"/>
    <w:rsid w:val="00636868"/>
    <w:rsid w:val="006369E4"/>
    <w:rsid w:val="00636B5B"/>
    <w:rsid w:val="00636BD8"/>
    <w:rsid w:val="00636C7A"/>
    <w:rsid w:val="00636D89"/>
    <w:rsid w:val="00636DE3"/>
    <w:rsid w:val="00636E74"/>
    <w:rsid w:val="00636FD8"/>
    <w:rsid w:val="006371D7"/>
    <w:rsid w:val="006372B7"/>
    <w:rsid w:val="006372DB"/>
    <w:rsid w:val="00637468"/>
    <w:rsid w:val="00637504"/>
    <w:rsid w:val="00637547"/>
    <w:rsid w:val="006378AC"/>
    <w:rsid w:val="00637C5B"/>
    <w:rsid w:val="00637CFD"/>
    <w:rsid w:val="00637EE5"/>
    <w:rsid w:val="00637F1F"/>
    <w:rsid w:val="00640098"/>
    <w:rsid w:val="0064036A"/>
    <w:rsid w:val="0064036B"/>
    <w:rsid w:val="006403A3"/>
    <w:rsid w:val="00640410"/>
    <w:rsid w:val="00640646"/>
    <w:rsid w:val="00640663"/>
    <w:rsid w:val="006406B7"/>
    <w:rsid w:val="00640700"/>
    <w:rsid w:val="006409F2"/>
    <w:rsid w:val="00640B11"/>
    <w:rsid w:val="00640BB6"/>
    <w:rsid w:val="00640BF5"/>
    <w:rsid w:val="00640C9A"/>
    <w:rsid w:val="0064108B"/>
    <w:rsid w:val="00641248"/>
    <w:rsid w:val="00641363"/>
    <w:rsid w:val="0064140E"/>
    <w:rsid w:val="00641580"/>
    <w:rsid w:val="006415D3"/>
    <w:rsid w:val="00641F55"/>
    <w:rsid w:val="00642013"/>
    <w:rsid w:val="006422ED"/>
    <w:rsid w:val="006423CC"/>
    <w:rsid w:val="006426A8"/>
    <w:rsid w:val="006427C1"/>
    <w:rsid w:val="00642842"/>
    <w:rsid w:val="006428C5"/>
    <w:rsid w:val="00642A08"/>
    <w:rsid w:val="00642C70"/>
    <w:rsid w:val="00642D71"/>
    <w:rsid w:val="00642DA4"/>
    <w:rsid w:val="00642E7D"/>
    <w:rsid w:val="006431B3"/>
    <w:rsid w:val="006432CB"/>
    <w:rsid w:val="006433ED"/>
    <w:rsid w:val="006434AB"/>
    <w:rsid w:val="0064357F"/>
    <w:rsid w:val="00643767"/>
    <w:rsid w:val="00643A3E"/>
    <w:rsid w:val="00643B0D"/>
    <w:rsid w:val="00643BAB"/>
    <w:rsid w:val="00643C64"/>
    <w:rsid w:val="00643D12"/>
    <w:rsid w:val="00643F3D"/>
    <w:rsid w:val="00643F64"/>
    <w:rsid w:val="00643F85"/>
    <w:rsid w:val="0064404B"/>
    <w:rsid w:val="00644395"/>
    <w:rsid w:val="00644694"/>
    <w:rsid w:val="006447F5"/>
    <w:rsid w:val="006448DD"/>
    <w:rsid w:val="00644943"/>
    <w:rsid w:val="00644A47"/>
    <w:rsid w:val="00644C05"/>
    <w:rsid w:val="00644D0C"/>
    <w:rsid w:val="00644F13"/>
    <w:rsid w:val="00644F2D"/>
    <w:rsid w:val="006453C0"/>
    <w:rsid w:val="006453C6"/>
    <w:rsid w:val="0064570E"/>
    <w:rsid w:val="006457F6"/>
    <w:rsid w:val="006458B5"/>
    <w:rsid w:val="0064594C"/>
    <w:rsid w:val="00645988"/>
    <w:rsid w:val="00645A73"/>
    <w:rsid w:val="00645C84"/>
    <w:rsid w:val="00645E5D"/>
    <w:rsid w:val="00645E94"/>
    <w:rsid w:val="00645ED7"/>
    <w:rsid w:val="00645EE3"/>
    <w:rsid w:val="00645F3C"/>
    <w:rsid w:val="00645FAE"/>
    <w:rsid w:val="006460AD"/>
    <w:rsid w:val="0064612E"/>
    <w:rsid w:val="00646165"/>
    <w:rsid w:val="006461DC"/>
    <w:rsid w:val="0064632F"/>
    <w:rsid w:val="006463D6"/>
    <w:rsid w:val="0064645E"/>
    <w:rsid w:val="006464DA"/>
    <w:rsid w:val="00646569"/>
    <w:rsid w:val="00646595"/>
    <w:rsid w:val="00646659"/>
    <w:rsid w:val="006468DD"/>
    <w:rsid w:val="00646935"/>
    <w:rsid w:val="006469A2"/>
    <w:rsid w:val="00646AFD"/>
    <w:rsid w:val="00646C70"/>
    <w:rsid w:val="00646E77"/>
    <w:rsid w:val="00646F4F"/>
    <w:rsid w:val="00646FB4"/>
    <w:rsid w:val="00647093"/>
    <w:rsid w:val="0064709C"/>
    <w:rsid w:val="00647333"/>
    <w:rsid w:val="00647413"/>
    <w:rsid w:val="00647560"/>
    <w:rsid w:val="00647754"/>
    <w:rsid w:val="00647B15"/>
    <w:rsid w:val="0065011A"/>
    <w:rsid w:val="006502D2"/>
    <w:rsid w:val="0065045A"/>
    <w:rsid w:val="006504D2"/>
    <w:rsid w:val="00650532"/>
    <w:rsid w:val="00650562"/>
    <w:rsid w:val="00650787"/>
    <w:rsid w:val="006508C7"/>
    <w:rsid w:val="00650E5E"/>
    <w:rsid w:val="00650EC6"/>
    <w:rsid w:val="00651017"/>
    <w:rsid w:val="00651362"/>
    <w:rsid w:val="006513C4"/>
    <w:rsid w:val="006513F3"/>
    <w:rsid w:val="0065162D"/>
    <w:rsid w:val="006518D9"/>
    <w:rsid w:val="0065195F"/>
    <w:rsid w:val="00651C70"/>
    <w:rsid w:val="00651C87"/>
    <w:rsid w:val="00651E05"/>
    <w:rsid w:val="00652106"/>
    <w:rsid w:val="0065213D"/>
    <w:rsid w:val="00652240"/>
    <w:rsid w:val="00652282"/>
    <w:rsid w:val="006522F0"/>
    <w:rsid w:val="006523FD"/>
    <w:rsid w:val="0065294F"/>
    <w:rsid w:val="00652AD4"/>
    <w:rsid w:val="00652D90"/>
    <w:rsid w:val="00652DD9"/>
    <w:rsid w:val="00652FFB"/>
    <w:rsid w:val="006530F8"/>
    <w:rsid w:val="006532E6"/>
    <w:rsid w:val="006532E8"/>
    <w:rsid w:val="006534A0"/>
    <w:rsid w:val="006534A8"/>
    <w:rsid w:val="00653516"/>
    <w:rsid w:val="0065356E"/>
    <w:rsid w:val="006535C9"/>
    <w:rsid w:val="00653605"/>
    <w:rsid w:val="00653A38"/>
    <w:rsid w:val="00653C7A"/>
    <w:rsid w:val="00653DD1"/>
    <w:rsid w:val="00653DE5"/>
    <w:rsid w:val="00654013"/>
    <w:rsid w:val="006540DF"/>
    <w:rsid w:val="00654144"/>
    <w:rsid w:val="00654303"/>
    <w:rsid w:val="0065437E"/>
    <w:rsid w:val="0065461E"/>
    <w:rsid w:val="00654CFB"/>
    <w:rsid w:val="00654D7F"/>
    <w:rsid w:val="00654F2F"/>
    <w:rsid w:val="0065525B"/>
    <w:rsid w:val="00655270"/>
    <w:rsid w:val="00655306"/>
    <w:rsid w:val="0065532C"/>
    <w:rsid w:val="0065535C"/>
    <w:rsid w:val="00655436"/>
    <w:rsid w:val="006555E3"/>
    <w:rsid w:val="00655615"/>
    <w:rsid w:val="00655D52"/>
    <w:rsid w:val="00655D80"/>
    <w:rsid w:val="00655F2B"/>
    <w:rsid w:val="00655FA1"/>
    <w:rsid w:val="00656034"/>
    <w:rsid w:val="006560B1"/>
    <w:rsid w:val="0065613F"/>
    <w:rsid w:val="006565D9"/>
    <w:rsid w:val="00656621"/>
    <w:rsid w:val="0065664D"/>
    <w:rsid w:val="00656706"/>
    <w:rsid w:val="006567A4"/>
    <w:rsid w:val="006568FD"/>
    <w:rsid w:val="00656B03"/>
    <w:rsid w:val="00656C3B"/>
    <w:rsid w:val="00656C46"/>
    <w:rsid w:val="00656C62"/>
    <w:rsid w:val="00656DB2"/>
    <w:rsid w:val="00656E92"/>
    <w:rsid w:val="00657337"/>
    <w:rsid w:val="00657402"/>
    <w:rsid w:val="0065754B"/>
    <w:rsid w:val="00657800"/>
    <w:rsid w:val="00657817"/>
    <w:rsid w:val="006578E8"/>
    <w:rsid w:val="00657A41"/>
    <w:rsid w:val="00657C51"/>
    <w:rsid w:val="00657D95"/>
    <w:rsid w:val="00657DC4"/>
    <w:rsid w:val="00657DD8"/>
    <w:rsid w:val="00657EB4"/>
    <w:rsid w:val="00657FAF"/>
    <w:rsid w:val="00657FCD"/>
    <w:rsid w:val="006600F4"/>
    <w:rsid w:val="0066041C"/>
    <w:rsid w:val="006604B2"/>
    <w:rsid w:val="00660630"/>
    <w:rsid w:val="0066089B"/>
    <w:rsid w:val="006608BC"/>
    <w:rsid w:val="006608CF"/>
    <w:rsid w:val="006608F4"/>
    <w:rsid w:val="00660981"/>
    <w:rsid w:val="00660AF9"/>
    <w:rsid w:val="00660B2B"/>
    <w:rsid w:val="00660D3C"/>
    <w:rsid w:val="00660F66"/>
    <w:rsid w:val="006610AC"/>
    <w:rsid w:val="00661192"/>
    <w:rsid w:val="006612B7"/>
    <w:rsid w:val="006613C5"/>
    <w:rsid w:val="006615A4"/>
    <w:rsid w:val="006618C4"/>
    <w:rsid w:val="006618C9"/>
    <w:rsid w:val="00661AC1"/>
    <w:rsid w:val="00661C37"/>
    <w:rsid w:val="00661D70"/>
    <w:rsid w:val="00661D7E"/>
    <w:rsid w:val="00661F83"/>
    <w:rsid w:val="0066223A"/>
    <w:rsid w:val="00662443"/>
    <w:rsid w:val="00662462"/>
    <w:rsid w:val="006625A8"/>
    <w:rsid w:val="006628CA"/>
    <w:rsid w:val="00662970"/>
    <w:rsid w:val="00662985"/>
    <w:rsid w:val="00662A11"/>
    <w:rsid w:val="00662CD8"/>
    <w:rsid w:val="00662E00"/>
    <w:rsid w:val="00663205"/>
    <w:rsid w:val="00663336"/>
    <w:rsid w:val="00663497"/>
    <w:rsid w:val="006635F5"/>
    <w:rsid w:val="00663613"/>
    <w:rsid w:val="006636B4"/>
    <w:rsid w:val="0066374F"/>
    <w:rsid w:val="0066390B"/>
    <w:rsid w:val="00663D28"/>
    <w:rsid w:val="00663E00"/>
    <w:rsid w:val="006640E4"/>
    <w:rsid w:val="006641A4"/>
    <w:rsid w:val="006641A8"/>
    <w:rsid w:val="0066421A"/>
    <w:rsid w:val="00664341"/>
    <w:rsid w:val="00664498"/>
    <w:rsid w:val="006647D8"/>
    <w:rsid w:val="00664817"/>
    <w:rsid w:val="00664A12"/>
    <w:rsid w:val="00664B8E"/>
    <w:rsid w:val="00664EAF"/>
    <w:rsid w:val="006653EE"/>
    <w:rsid w:val="00665407"/>
    <w:rsid w:val="006654BF"/>
    <w:rsid w:val="0066555C"/>
    <w:rsid w:val="006655BC"/>
    <w:rsid w:val="0066560F"/>
    <w:rsid w:val="00665A28"/>
    <w:rsid w:val="00665CD7"/>
    <w:rsid w:val="00665F92"/>
    <w:rsid w:val="0066608A"/>
    <w:rsid w:val="006662F1"/>
    <w:rsid w:val="006662F3"/>
    <w:rsid w:val="0066637B"/>
    <w:rsid w:val="0066685D"/>
    <w:rsid w:val="006668FA"/>
    <w:rsid w:val="00666993"/>
    <w:rsid w:val="00666998"/>
    <w:rsid w:val="00666A2F"/>
    <w:rsid w:val="00666EFA"/>
    <w:rsid w:val="00666F1D"/>
    <w:rsid w:val="0066706E"/>
    <w:rsid w:val="006671D0"/>
    <w:rsid w:val="0066724C"/>
    <w:rsid w:val="00667357"/>
    <w:rsid w:val="006674BF"/>
    <w:rsid w:val="00667561"/>
    <w:rsid w:val="00667913"/>
    <w:rsid w:val="00667B4A"/>
    <w:rsid w:val="00667D0C"/>
    <w:rsid w:val="00667E3E"/>
    <w:rsid w:val="00667E8E"/>
    <w:rsid w:val="006700D9"/>
    <w:rsid w:val="00670138"/>
    <w:rsid w:val="0067033C"/>
    <w:rsid w:val="006703C9"/>
    <w:rsid w:val="006703DB"/>
    <w:rsid w:val="006704C1"/>
    <w:rsid w:val="0067060A"/>
    <w:rsid w:val="00670A03"/>
    <w:rsid w:val="00670CD9"/>
    <w:rsid w:val="00670E17"/>
    <w:rsid w:val="00670EA3"/>
    <w:rsid w:val="00670EFB"/>
    <w:rsid w:val="00670F35"/>
    <w:rsid w:val="00670FAB"/>
    <w:rsid w:val="00671173"/>
    <w:rsid w:val="00671535"/>
    <w:rsid w:val="0067170C"/>
    <w:rsid w:val="0067182B"/>
    <w:rsid w:val="0067188D"/>
    <w:rsid w:val="006719D5"/>
    <w:rsid w:val="00671A92"/>
    <w:rsid w:val="00671B55"/>
    <w:rsid w:val="00671D1E"/>
    <w:rsid w:val="00671D63"/>
    <w:rsid w:val="00672058"/>
    <w:rsid w:val="00672090"/>
    <w:rsid w:val="006720CE"/>
    <w:rsid w:val="00672397"/>
    <w:rsid w:val="00672457"/>
    <w:rsid w:val="006724CB"/>
    <w:rsid w:val="0067259A"/>
    <w:rsid w:val="006727D4"/>
    <w:rsid w:val="006728C3"/>
    <w:rsid w:val="00672910"/>
    <w:rsid w:val="0067293E"/>
    <w:rsid w:val="00672989"/>
    <w:rsid w:val="00672AD5"/>
    <w:rsid w:val="00672C4D"/>
    <w:rsid w:val="00672DA0"/>
    <w:rsid w:val="00672DE0"/>
    <w:rsid w:val="00672E74"/>
    <w:rsid w:val="00673153"/>
    <w:rsid w:val="0067325C"/>
    <w:rsid w:val="0067332D"/>
    <w:rsid w:val="00673452"/>
    <w:rsid w:val="00673482"/>
    <w:rsid w:val="00673488"/>
    <w:rsid w:val="00673ADE"/>
    <w:rsid w:val="00673C58"/>
    <w:rsid w:val="00673C7B"/>
    <w:rsid w:val="00673EDA"/>
    <w:rsid w:val="00674124"/>
    <w:rsid w:val="00674445"/>
    <w:rsid w:val="0067444E"/>
    <w:rsid w:val="00674847"/>
    <w:rsid w:val="006748E4"/>
    <w:rsid w:val="00674BB0"/>
    <w:rsid w:val="00674C98"/>
    <w:rsid w:val="00674CAB"/>
    <w:rsid w:val="00674DD2"/>
    <w:rsid w:val="00674E48"/>
    <w:rsid w:val="00674EC4"/>
    <w:rsid w:val="00674FA7"/>
    <w:rsid w:val="006750F5"/>
    <w:rsid w:val="0067511D"/>
    <w:rsid w:val="006753BF"/>
    <w:rsid w:val="006755C6"/>
    <w:rsid w:val="00675815"/>
    <w:rsid w:val="00675829"/>
    <w:rsid w:val="00675BC8"/>
    <w:rsid w:val="00675D1C"/>
    <w:rsid w:val="00675DF0"/>
    <w:rsid w:val="00675EDF"/>
    <w:rsid w:val="00676135"/>
    <w:rsid w:val="00676793"/>
    <w:rsid w:val="00676840"/>
    <w:rsid w:val="006769E0"/>
    <w:rsid w:val="006769FB"/>
    <w:rsid w:val="00676D65"/>
    <w:rsid w:val="0067705C"/>
    <w:rsid w:val="0067719F"/>
    <w:rsid w:val="0067737F"/>
    <w:rsid w:val="006773B8"/>
    <w:rsid w:val="006773F7"/>
    <w:rsid w:val="00677A20"/>
    <w:rsid w:val="00677C15"/>
    <w:rsid w:val="00677E46"/>
    <w:rsid w:val="00680015"/>
    <w:rsid w:val="006801DC"/>
    <w:rsid w:val="00680238"/>
    <w:rsid w:val="0068031E"/>
    <w:rsid w:val="00680689"/>
    <w:rsid w:val="006806E8"/>
    <w:rsid w:val="00680751"/>
    <w:rsid w:val="00680904"/>
    <w:rsid w:val="00680922"/>
    <w:rsid w:val="00680BCE"/>
    <w:rsid w:val="00680DDE"/>
    <w:rsid w:val="00680ECB"/>
    <w:rsid w:val="00680F54"/>
    <w:rsid w:val="006811C4"/>
    <w:rsid w:val="006814C9"/>
    <w:rsid w:val="0068165F"/>
    <w:rsid w:val="006817EC"/>
    <w:rsid w:val="006818B8"/>
    <w:rsid w:val="00681A0C"/>
    <w:rsid w:val="00681AE7"/>
    <w:rsid w:val="00681AFA"/>
    <w:rsid w:val="00681B1B"/>
    <w:rsid w:val="00681BA0"/>
    <w:rsid w:val="00681CE9"/>
    <w:rsid w:val="00681DFB"/>
    <w:rsid w:val="00681E20"/>
    <w:rsid w:val="00682391"/>
    <w:rsid w:val="006823D9"/>
    <w:rsid w:val="00682429"/>
    <w:rsid w:val="0068279E"/>
    <w:rsid w:val="00682835"/>
    <w:rsid w:val="00682BFE"/>
    <w:rsid w:val="00682E57"/>
    <w:rsid w:val="00683219"/>
    <w:rsid w:val="00683225"/>
    <w:rsid w:val="006832A0"/>
    <w:rsid w:val="006832FC"/>
    <w:rsid w:val="006833EF"/>
    <w:rsid w:val="00683407"/>
    <w:rsid w:val="00683434"/>
    <w:rsid w:val="0068358D"/>
    <w:rsid w:val="0068378E"/>
    <w:rsid w:val="006837CF"/>
    <w:rsid w:val="006837E1"/>
    <w:rsid w:val="00683996"/>
    <w:rsid w:val="00683A54"/>
    <w:rsid w:val="00683B03"/>
    <w:rsid w:val="00683C67"/>
    <w:rsid w:val="00683D3E"/>
    <w:rsid w:val="00683F97"/>
    <w:rsid w:val="00684111"/>
    <w:rsid w:val="00684156"/>
    <w:rsid w:val="006841A8"/>
    <w:rsid w:val="006842FB"/>
    <w:rsid w:val="006844D3"/>
    <w:rsid w:val="00684AAB"/>
    <w:rsid w:val="00684CE3"/>
    <w:rsid w:val="00684ECB"/>
    <w:rsid w:val="006850C4"/>
    <w:rsid w:val="006852A6"/>
    <w:rsid w:val="00685576"/>
    <w:rsid w:val="006856D7"/>
    <w:rsid w:val="00685846"/>
    <w:rsid w:val="00685972"/>
    <w:rsid w:val="00685AF0"/>
    <w:rsid w:val="00685DBA"/>
    <w:rsid w:val="00685DC6"/>
    <w:rsid w:val="00685EEB"/>
    <w:rsid w:val="00685F18"/>
    <w:rsid w:val="00685F46"/>
    <w:rsid w:val="0068602C"/>
    <w:rsid w:val="0068616F"/>
    <w:rsid w:val="006861C1"/>
    <w:rsid w:val="006861DA"/>
    <w:rsid w:val="006861ED"/>
    <w:rsid w:val="006862D5"/>
    <w:rsid w:val="006864F2"/>
    <w:rsid w:val="00686513"/>
    <w:rsid w:val="00686554"/>
    <w:rsid w:val="00686744"/>
    <w:rsid w:val="006868BF"/>
    <w:rsid w:val="00686B47"/>
    <w:rsid w:val="00686CEE"/>
    <w:rsid w:val="00686D49"/>
    <w:rsid w:val="00686F7F"/>
    <w:rsid w:val="0068726F"/>
    <w:rsid w:val="00687545"/>
    <w:rsid w:val="00687764"/>
    <w:rsid w:val="006877A5"/>
    <w:rsid w:val="006877D1"/>
    <w:rsid w:val="00687BE8"/>
    <w:rsid w:val="00687D92"/>
    <w:rsid w:val="00687E12"/>
    <w:rsid w:val="00687E1C"/>
    <w:rsid w:val="00687E79"/>
    <w:rsid w:val="00687F76"/>
    <w:rsid w:val="006902ED"/>
    <w:rsid w:val="0069039E"/>
    <w:rsid w:val="006903AE"/>
    <w:rsid w:val="006903F8"/>
    <w:rsid w:val="0069051E"/>
    <w:rsid w:val="0069071F"/>
    <w:rsid w:val="00690B2A"/>
    <w:rsid w:val="00690DB2"/>
    <w:rsid w:val="00690FE7"/>
    <w:rsid w:val="0069111E"/>
    <w:rsid w:val="006911A5"/>
    <w:rsid w:val="006911B0"/>
    <w:rsid w:val="006911EF"/>
    <w:rsid w:val="00691249"/>
    <w:rsid w:val="006913DC"/>
    <w:rsid w:val="0069149F"/>
    <w:rsid w:val="006915EE"/>
    <w:rsid w:val="0069180C"/>
    <w:rsid w:val="00691992"/>
    <w:rsid w:val="00691A40"/>
    <w:rsid w:val="00691A99"/>
    <w:rsid w:val="00691B5B"/>
    <w:rsid w:val="00691E20"/>
    <w:rsid w:val="00691E4C"/>
    <w:rsid w:val="0069200C"/>
    <w:rsid w:val="006920CF"/>
    <w:rsid w:val="006921BD"/>
    <w:rsid w:val="00692259"/>
    <w:rsid w:val="006924F1"/>
    <w:rsid w:val="006924FC"/>
    <w:rsid w:val="00692768"/>
    <w:rsid w:val="006927C6"/>
    <w:rsid w:val="00692811"/>
    <w:rsid w:val="00692836"/>
    <w:rsid w:val="006928AE"/>
    <w:rsid w:val="006928C4"/>
    <w:rsid w:val="00692C98"/>
    <w:rsid w:val="00693012"/>
    <w:rsid w:val="006932D8"/>
    <w:rsid w:val="00693323"/>
    <w:rsid w:val="006933CA"/>
    <w:rsid w:val="00693826"/>
    <w:rsid w:val="00693C9D"/>
    <w:rsid w:val="00693F02"/>
    <w:rsid w:val="00694013"/>
    <w:rsid w:val="00694171"/>
    <w:rsid w:val="006941CD"/>
    <w:rsid w:val="0069476E"/>
    <w:rsid w:val="00694AA9"/>
    <w:rsid w:val="00694AD6"/>
    <w:rsid w:val="00694BDB"/>
    <w:rsid w:val="00694C24"/>
    <w:rsid w:val="00694C38"/>
    <w:rsid w:val="00694D15"/>
    <w:rsid w:val="00694EC7"/>
    <w:rsid w:val="0069504E"/>
    <w:rsid w:val="00695097"/>
    <w:rsid w:val="00695235"/>
    <w:rsid w:val="0069524F"/>
    <w:rsid w:val="0069525E"/>
    <w:rsid w:val="00695269"/>
    <w:rsid w:val="0069535E"/>
    <w:rsid w:val="00695674"/>
    <w:rsid w:val="006957F5"/>
    <w:rsid w:val="00695935"/>
    <w:rsid w:val="00695AD3"/>
    <w:rsid w:val="00695BBE"/>
    <w:rsid w:val="00695CAF"/>
    <w:rsid w:val="00695CC9"/>
    <w:rsid w:val="00695D3C"/>
    <w:rsid w:val="006960A4"/>
    <w:rsid w:val="006961B1"/>
    <w:rsid w:val="006962F8"/>
    <w:rsid w:val="006963EA"/>
    <w:rsid w:val="006964D6"/>
    <w:rsid w:val="0069662D"/>
    <w:rsid w:val="0069664B"/>
    <w:rsid w:val="0069666A"/>
    <w:rsid w:val="006966FB"/>
    <w:rsid w:val="00696749"/>
    <w:rsid w:val="006967D2"/>
    <w:rsid w:val="006967E3"/>
    <w:rsid w:val="00696A14"/>
    <w:rsid w:val="00696E57"/>
    <w:rsid w:val="00696EA3"/>
    <w:rsid w:val="0069709D"/>
    <w:rsid w:val="006972B3"/>
    <w:rsid w:val="006973D0"/>
    <w:rsid w:val="00697418"/>
    <w:rsid w:val="006976DA"/>
    <w:rsid w:val="0069779B"/>
    <w:rsid w:val="00697B79"/>
    <w:rsid w:val="00697E25"/>
    <w:rsid w:val="00697E69"/>
    <w:rsid w:val="006A0059"/>
    <w:rsid w:val="006A01D9"/>
    <w:rsid w:val="006A04AB"/>
    <w:rsid w:val="006A0766"/>
    <w:rsid w:val="006A0898"/>
    <w:rsid w:val="006A0B93"/>
    <w:rsid w:val="006A0D88"/>
    <w:rsid w:val="006A0EAB"/>
    <w:rsid w:val="006A0EFD"/>
    <w:rsid w:val="006A0FBD"/>
    <w:rsid w:val="006A10FF"/>
    <w:rsid w:val="006A11FD"/>
    <w:rsid w:val="006A12B7"/>
    <w:rsid w:val="006A12F3"/>
    <w:rsid w:val="006A13CC"/>
    <w:rsid w:val="006A1435"/>
    <w:rsid w:val="006A14A3"/>
    <w:rsid w:val="006A14D9"/>
    <w:rsid w:val="006A15E6"/>
    <w:rsid w:val="006A16D7"/>
    <w:rsid w:val="006A17F5"/>
    <w:rsid w:val="006A1AE8"/>
    <w:rsid w:val="006A1F7E"/>
    <w:rsid w:val="006A1FA0"/>
    <w:rsid w:val="006A1FC9"/>
    <w:rsid w:val="006A23D7"/>
    <w:rsid w:val="006A242B"/>
    <w:rsid w:val="006A244E"/>
    <w:rsid w:val="006A2590"/>
    <w:rsid w:val="006A26B8"/>
    <w:rsid w:val="006A26DB"/>
    <w:rsid w:val="006A271B"/>
    <w:rsid w:val="006A2786"/>
    <w:rsid w:val="006A28F4"/>
    <w:rsid w:val="006A2A6F"/>
    <w:rsid w:val="006A2B86"/>
    <w:rsid w:val="006A2BFE"/>
    <w:rsid w:val="006A2D37"/>
    <w:rsid w:val="006A2DC8"/>
    <w:rsid w:val="006A31DD"/>
    <w:rsid w:val="006A3A48"/>
    <w:rsid w:val="006A3AEA"/>
    <w:rsid w:val="006A3B1E"/>
    <w:rsid w:val="006A3B46"/>
    <w:rsid w:val="006A3FDB"/>
    <w:rsid w:val="006A42CF"/>
    <w:rsid w:val="006A44B1"/>
    <w:rsid w:val="006A44F2"/>
    <w:rsid w:val="006A455A"/>
    <w:rsid w:val="006A4792"/>
    <w:rsid w:val="006A4915"/>
    <w:rsid w:val="006A499D"/>
    <w:rsid w:val="006A4A6F"/>
    <w:rsid w:val="006A4AB1"/>
    <w:rsid w:val="006A4C03"/>
    <w:rsid w:val="006A4D51"/>
    <w:rsid w:val="006A4D6F"/>
    <w:rsid w:val="006A4EC7"/>
    <w:rsid w:val="006A500A"/>
    <w:rsid w:val="006A5161"/>
    <w:rsid w:val="006A56C5"/>
    <w:rsid w:val="006A598A"/>
    <w:rsid w:val="006A5B65"/>
    <w:rsid w:val="006A5BC1"/>
    <w:rsid w:val="006A5C95"/>
    <w:rsid w:val="006A5E25"/>
    <w:rsid w:val="006A61A9"/>
    <w:rsid w:val="006A6275"/>
    <w:rsid w:val="006A62D6"/>
    <w:rsid w:val="006A63EE"/>
    <w:rsid w:val="006A6448"/>
    <w:rsid w:val="006A6669"/>
    <w:rsid w:val="006A6931"/>
    <w:rsid w:val="006A69D6"/>
    <w:rsid w:val="006A6A9A"/>
    <w:rsid w:val="006A6C4C"/>
    <w:rsid w:val="006A6F59"/>
    <w:rsid w:val="006A6FBD"/>
    <w:rsid w:val="006A7050"/>
    <w:rsid w:val="006A7192"/>
    <w:rsid w:val="006A71C2"/>
    <w:rsid w:val="006A729E"/>
    <w:rsid w:val="006A756C"/>
    <w:rsid w:val="006A7843"/>
    <w:rsid w:val="006A7DAC"/>
    <w:rsid w:val="006A7E2D"/>
    <w:rsid w:val="006A7EA7"/>
    <w:rsid w:val="006B0130"/>
    <w:rsid w:val="006B0272"/>
    <w:rsid w:val="006B02E6"/>
    <w:rsid w:val="006B043C"/>
    <w:rsid w:val="006B054A"/>
    <w:rsid w:val="006B0589"/>
    <w:rsid w:val="006B0660"/>
    <w:rsid w:val="006B075B"/>
    <w:rsid w:val="006B07BC"/>
    <w:rsid w:val="006B093D"/>
    <w:rsid w:val="006B0A93"/>
    <w:rsid w:val="006B0AB1"/>
    <w:rsid w:val="006B0AEC"/>
    <w:rsid w:val="006B0B59"/>
    <w:rsid w:val="006B0BF4"/>
    <w:rsid w:val="006B0CBE"/>
    <w:rsid w:val="006B0CE9"/>
    <w:rsid w:val="006B0F4A"/>
    <w:rsid w:val="006B1059"/>
    <w:rsid w:val="006B1078"/>
    <w:rsid w:val="006B11B5"/>
    <w:rsid w:val="006B11BC"/>
    <w:rsid w:val="006B1216"/>
    <w:rsid w:val="006B126C"/>
    <w:rsid w:val="006B12F6"/>
    <w:rsid w:val="006B1502"/>
    <w:rsid w:val="006B1630"/>
    <w:rsid w:val="006B16BF"/>
    <w:rsid w:val="006B1828"/>
    <w:rsid w:val="006B184A"/>
    <w:rsid w:val="006B19BC"/>
    <w:rsid w:val="006B1AE9"/>
    <w:rsid w:val="006B1AF6"/>
    <w:rsid w:val="006B1BB3"/>
    <w:rsid w:val="006B1CF2"/>
    <w:rsid w:val="006B1F83"/>
    <w:rsid w:val="006B216D"/>
    <w:rsid w:val="006B228F"/>
    <w:rsid w:val="006B24E1"/>
    <w:rsid w:val="006B25DD"/>
    <w:rsid w:val="006B25E0"/>
    <w:rsid w:val="006B29F9"/>
    <w:rsid w:val="006B2A57"/>
    <w:rsid w:val="006B2AB5"/>
    <w:rsid w:val="006B2B69"/>
    <w:rsid w:val="006B2D53"/>
    <w:rsid w:val="006B2D6E"/>
    <w:rsid w:val="006B32F7"/>
    <w:rsid w:val="006B32F8"/>
    <w:rsid w:val="006B3DB5"/>
    <w:rsid w:val="006B3DE5"/>
    <w:rsid w:val="006B3E9A"/>
    <w:rsid w:val="006B3ED9"/>
    <w:rsid w:val="006B3FAA"/>
    <w:rsid w:val="006B3FB8"/>
    <w:rsid w:val="006B4056"/>
    <w:rsid w:val="006B40CE"/>
    <w:rsid w:val="006B430C"/>
    <w:rsid w:val="006B479D"/>
    <w:rsid w:val="006B4DF6"/>
    <w:rsid w:val="006B4EC5"/>
    <w:rsid w:val="006B507A"/>
    <w:rsid w:val="006B529C"/>
    <w:rsid w:val="006B55FC"/>
    <w:rsid w:val="006B5729"/>
    <w:rsid w:val="006B574C"/>
    <w:rsid w:val="006B57D3"/>
    <w:rsid w:val="006B57ED"/>
    <w:rsid w:val="006B58BC"/>
    <w:rsid w:val="006B58E9"/>
    <w:rsid w:val="006B59F1"/>
    <w:rsid w:val="006B5A32"/>
    <w:rsid w:val="006B5AC0"/>
    <w:rsid w:val="006B5C7B"/>
    <w:rsid w:val="006B5DC6"/>
    <w:rsid w:val="006B5F33"/>
    <w:rsid w:val="006B6188"/>
    <w:rsid w:val="006B62B1"/>
    <w:rsid w:val="006B66E0"/>
    <w:rsid w:val="006B6740"/>
    <w:rsid w:val="006B6A43"/>
    <w:rsid w:val="006B6A9B"/>
    <w:rsid w:val="006B6AE4"/>
    <w:rsid w:val="006B6B90"/>
    <w:rsid w:val="006B6C3F"/>
    <w:rsid w:val="006B6D8E"/>
    <w:rsid w:val="006B6F43"/>
    <w:rsid w:val="006B6FD1"/>
    <w:rsid w:val="006B7021"/>
    <w:rsid w:val="006B7208"/>
    <w:rsid w:val="006B75D1"/>
    <w:rsid w:val="006B75E9"/>
    <w:rsid w:val="006B7619"/>
    <w:rsid w:val="006B7992"/>
    <w:rsid w:val="006B7A7D"/>
    <w:rsid w:val="006B7AEF"/>
    <w:rsid w:val="006B7AF1"/>
    <w:rsid w:val="006B7CA9"/>
    <w:rsid w:val="006B7D95"/>
    <w:rsid w:val="006B7EE7"/>
    <w:rsid w:val="006B7FD3"/>
    <w:rsid w:val="006C01D3"/>
    <w:rsid w:val="006C054A"/>
    <w:rsid w:val="006C0758"/>
    <w:rsid w:val="006C0ADF"/>
    <w:rsid w:val="006C0E4F"/>
    <w:rsid w:val="006C0E75"/>
    <w:rsid w:val="006C1293"/>
    <w:rsid w:val="006C15B3"/>
    <w:rsid w:val="006C1637"/>
    <w:rsid w:val="006C166D"/>
    <w:rsid w:val="006C16D3"/>
    <w:rsid w:val="006C171B"/>
    <w:rsid w:val="006C1775"/>
    <w:rsid w:val="006C17A3"/>
    <w:rsid w:val="006C181C"/>
    <w:rsid w:val="006C18D6"/>
    <w:rsid w:val="006C18F9"/>
    <w:rsid w:val="006C190C"/>
    <w:rsid w:val="006C1A0D"/>
    <w:rsid w:val="006C1B54"/>
    <w:rsid w:val="006C1D93"/>
    <w:rsid w:val="006C1E60"/>
    <w:rsid w:val="006C1F32"/>
    <w:rsid w:val="006C1F84"/>
    <w:rsid w:val="006C2228"/>
    <w:rsid w:val="006C2778"/>
    <w:rsid w:val="006C2959"/>
    <w:rsid w:val="006C2BDC"/>
    <w:rsid w:val="006C2C37"/>
    <w:rsid w:val="006C2CE9"/>
    <w:rsid w:val="006C2E3A"/>
    <w:rsid w:val="006C2E88"/>
    <w:rsid w:val="006C3107"/>
    <w:rsid w:val="006C3505"/>
    <w:rsid w:val="006C3A25"/>
    <w:rsid w:val="006C3B3A"/>
    <w:rsid w:val="006C3E47"/>
    <w:rsid w:val="006C3F9F"/>
    <w:rsid w:val="006C4078"/>
    <w:rsid w:val="006C4098"/>
    <w:rsid w:val="006C4120"/>
    <w:rsid w:val="006C4172"/>
    <w:rsid w:val="006C417A"/>
    <w:rsid w:val="006C43FA"/>
    <w:rsid w:val="006C45CF"/>
    <w:rsid w:val="006C4788"/>
    <w:rsid w:val="006C492A"/>
    <w:rsid w:val="006C4A1F"/>
    <w:rsid w:val="006C4E59"/>
    <w:rsid w:val="006C4E94"/>
    <w:rsid w:val="006C555B"/>
    <w:rsid w:val="006C55E1"/>
    <w:rsid w:val="006C5689"/>
    <w:rsid w:val="006C5790"/>
    <w:rsid w:val="006C583F"/>
    <w:rsid w:val="006C5A6D"/>
    <w:rsid w:val="006C5AF2"/>
    <w:rsid w:val="006C5CFA"/>
    <w:rsid w:val="006C5F10"/>
    <w:rsid w:val="006C6008"/>
    <w:rsid w:val="006C6236"/>
    <w:rsid w:val="006C63C3"/>
    <w:rsid w:val="006C64D3"/>
    <w:rsid w:val="006C6572"/>
    <w:rsid w:val="006C666A"/>
    <w:rsid w:val="006C66E4"/>
    <w:rsid w:val="006C6B72"/>
    <w:rsid w:val="006C6B74"/>
    <w:rsid w:val="006C6C5F"/>
    <w:rsid w:val="006C6D0E"/>
    <w:rsid w:val="006C6F8E"/>
    <w:rsid w:val="006C70FB"/>
    <w:rsid w:val="006C721D"/>
    <w:rsid w:val="006C72FE"/>
    <w:rsid w:val="006C7309"/>
    <w:rsid w:val="006C7350"/>
    <w:rsid w:val="006C741D"/>
    <w:rsid w:val="006C7480"/>
    <w:rsid w:val="006C753A"/>
    <w:rsid w:val="006C763E"/>
    <w:rsid w:val="006C7909"/>
    <w:rsid w:val="006C7940"/>
    <w:rsid w:val="006C798E"/>
    <w:rsid w:val="006C79FE"/>
    <w:rsid w:val="006C7A65"/>
    <w:rsid w:val="006C7FDA"/>
    <w:rsid w:val="006D00C7"/>
    <w:rsid w:val="006D01DE"/>
    <w:rsid w:val="006D02DF"/>
    <w:rsid w:val="006D034E"/>
    <w:rsid w:val="006D05F9"/>
    <w:rsid w:val="006D080C"/>
    <w:rsid w:val="006D088D"/>
    <w:rsid w:val="006D0946"/>
    <w:rsid w:val="006D0C11"/>
    <w:rsid w:val="006D0C64"/>
    <w:rsid w:val="006D0F0D"/>
    <w:rsid w:val="006D10F6"/>
    <w:rsid w:val="006D1133"/>
    <w:rsid w:val="006D1193"/>
    <w:rsid w:val="006D11F2"/>
    <w:rsid w:val="006D124D"/>
    <w:rsid w:val="006D125A"/>
    <w:rsid w:val="006D138C"/>
    <w:rsid w:val="006D139B"/>
    <w:rsid w:val="006D140E"/>
    <w:rsid w:val="006D1423"/>
    <w:rsid w:val="006D1442"/>
    <w:rsid w:val="006D1533"/>
    <w:rsid w:val="006D1631"/>
    <w:rsid w:val="006D17F3"/>
    <w:rsid w:val="006D18D3"/>
    <w:rsid w:val="006D1998"/>
    <w:rsid w:val="006D1A4E"/>
    <w:rsid w:val="006D1BC9"/>
    <w:rsid w:val="006D1C51"/>
    <w:rsid w:val="006D1D08"/>
    <w:rsid w:val="006D1ED8"/>
    <w:rsid w:val="006D1F32"/>
    <w:rsid w:val="006D20D6"/>
    <w:rsid w:val="006D210E"/>
    <w:rsid w:val="006D2163"/>
    <w:rsid w:val="006D21D4"/>
    <w:rsid w:val="006D22ED"/>
    <w:rsid w:val="006D22FA"/>
    <w:rsid w:val="006D24BF"/>
    <w:rsid w:val="006D251A"/>
    <w:rsid w:val="006D29FB"/>
    <w:rsid w:val="006D2A54"/>
    <w:rsid w:val="006D2A6E"/>
    <w:rsid w:val="006D2B6F"/>
    <w:rsid w:val="006D30A2"/>
    <w:rsid w:val="006D3151"/>
    <w:rsid w:val="006D328F"/>
    <w:rsid w:val="006D3296"/>
    <w:rsid w:val="006D33B0"/>
    <w:rsid w:val="006D33DB"/>
    <w:rsid w:val="006D35A4"/>
    <w:rsid w:val="006D363D"/>
    <w:rsid w:val="006D36AE"/>
    <w:rsid w:val="006D3B6B"/>
    <w:rsid w:val="006D3F7E"/>
    <w:rsid w:val="006D426A"/>
    <w:rsid w:val="006D43BD"/>
    <w:rsid w:val="006D45EB"/>
    <w:rsid w:val="006D464A"/>
    <w:rsid w:val="006D4908"/>
    <w:rsid w:val="006D49B2"/>
    <w:rsid w:val="006D4A50"/>
    <w:rsid w:val="006D4C04"/>
    <w:rsid w:val="006D4CB2"/>
    <w:rsid w:val="006D4CCB"/>
    <w:rsid w:val="006D4D5A"/>
    <w:rsid w:val="006D4FF9"/>
    <w:rsid w:val="006D50D1"/>
    <w:rsid w:val="006D5622"/>
    <w:rsid w:val="006D56ED"/>
    <w:rsid w:val="006D5AC3"/>
    <w:rsid w:val="006D5B44"/>
    <w:rsid w:val="006D5D81"/>
    <w:rsid w:val="006D5E53"/>
    <w:rsid w:val="006D5E91"/>
    <w:rsid w:val="006D5EC2"/>
    <w:rsid w:val="006D5F8E"/>
    <w:rsid w:val="006D5F9B"/>
    <w:rsid w:val="006D601B"/>
    <w:rsid w:val="006D6087"/>
    <w:rsid w:val="006D60F1"/>
    <w:rsid w:val="006D63E8"/>
    <w:rsid w:val="006D6738"/>
    <w:rsid w:val="006D68DD"/>
    <w:rsid w:val="006D691C"/>
    <w:rsid w:val="006D69A9"/>
    <w:rsid w:val="006D6A3A"/>
    <w:rsid w:val="006D6A72"/>
    <w:rsid w:val="006D6D2E"/>
    <w:rsid w:val="006D6E2B"/>
    <w:rsid w:val="006D729D"/>
    <w:rsid w:val="006D73F8"/>
    <w:rsid w:val="006D7460"/>
    <w:rsid w:val="006D758C"/>
    <w:rsid w:val="006D768A"/>
    <w:rsid w:val="006D7879"/>
    <w:rsid w:val="006D7AF6"/>
    <w:rsid w:val="006D7B6B"/>
    <w:rsid w:val="006D7C3A"/>
    <w:rsid w:val="006E009C"/>
    <w:rsid w:val="006E02F7"/>
    <w:rsid w:val="006E0510"/>
    <w:rsid w:val="006E06DE"/>
    <w:rsid w:val="006E079E"/>
    <w:rsid w:val="006E0B31"/>
    <w:rsid w:val="006E0B8B"/>
    <w:rsid w:val="006E0C01"/>
    <w:rsid w:val="006E0C5E"/>
    <w:rsid w:val="006E0DA8"/>
    <w:rsid w:val="006E10A3"/>
    <w:rsid w:val="006E11E7"/>
    <w:rsid w:val="006E12C1"/>
    <w:rsid w:val="006E13E3"/>
    <w:rsid w:val="006E141A"/>
    <w:rsid w:val="006E14B6"/>
    <w:rsid w:val="006E1634"/>
    <w:rsid w:val="006E1647"/>
    <w:rsid w:val="006E16CD"/>
    <w:rsid w:val="006E1899"/>
    <w:rsid w:val="006E1C8F"/>
    <w:rsid w:val="006E1CEB"/>
    <w:rsid w:val="006E1CFD"/>
    <w:rsid w:val="006E1DDB"/>
    <w:rsid w:val="006E2158"/>
    <w:rsid w:val="006E22E8"/>
    <w:rsid w:val="006E26FE"/>
    <w:rsid w:val="006E291D"/>
    <w:rsid w:val="006E2BA1"/>
    <w:rsid w:val="006E2BE6"/>
    <w:rsid w:val="006E2D26"/>
    <w:rsid w:val="006E2D8A"/>
    <w:rsid w:val="006E2E66"/>
    <w:rsid w:val="006E2E79"/>
    <w:rsid w:val="006E31E0"/>
    <w:rsid w:val="006E3237"/>
    <w:rsid w:val="006E35DB"/>
    <w:rsid w:val="006E36EE"/>
    <w:rsid w:val="006E372A"/>
    <w:rsid w:val="006E3745"/>
    <w:rsid w:val="006E38A5"/>
    <w:rsid w:val="006E3966"/>
    <w:rsid w:val="006E3D03"/>
    <w:rsid w:val="006E3D77"/>
    <w:rsid w:val="006E3E6E"/>
    <w:rsid w:val="006E3F5E"/>
    <w:rsid w:val="006E4049"/>
    <w:rsid w:val="006E43C3"/>
    <w:rsid w:val="006E43F9"/>
    <w:rsid w:val="006E47DB"/>
    <w:rsid w:val="006E4849"/>
    <w:rsid w:val="006E490D"/>
    <w:rsid w:val="006E4A9C"/>
    <w:rsid w:val="006E4B41"/>
    <w:rsid w:val="006E4C5D"/>
    <w:rsid w:val="006E4CD3"/>
    <w:rsid w:val="006E507C"/>
    <w:rsid w:val="006E529C"/>
    <w:rsid w:val="006E53B6"/>
    <w:rsid w:val="006E56AF"/>
    <w:rsid w:val="006E5755"/>
    <w:rsid w:val="006E58AC"/>
    <w:rsid w:val="006E5AA0"/>
    <w:rsid w:val="006E5CB7"/>
    <w:rsid w:val="006E5DE0"/>
    <w:rsid w:val="006E5DF3"/>
    <w:rsid w:val="006E5E28"/>
    <w:rsid w:val="006E5E48"/>
    <w:rsid w:val="006E600E"/>
    <w:rsid w:val="006E62B7"/>
    <w:rsid w:val="006E6534"/>
    <w:rsid w:val="006E67E4"/>
    <w:rsid w:val="006E695D"/>
    <w:rsid w:val="006E6AD1"/>
    <w:rsid w:val="006E6C07"/>
    <w:rsid w:val="006E7087"/>
    <w:rsid w:val="006E7149"/>
    <w:rsid w:val="006E715D"/>
    <w:rsid w:val="006E721D"/>
    <w:rsid w:val="006E72AB"/>
    <w:rsid w:val="006E7348"/>
    <w:rsid w:val="006E73F2"/>
    <w:rsid w:val="006E7685"/>
    <w:rsid w:val="006E76A8"/>
    <w:rsid w:val="006E78BA"/>
    <w:rsid w:val="006E79BA"/>
    <w:rsid w:val="006E7C4D"/>
    <w:rsid w:val="006E7DFF"/>
    <w:rsid w:val="006E7F04"/>
    <w:rsid w:val="006F009C"/>
    <w:rsid w:val="006F0125"/>
    <w:rsid w:val="006F02AE"/>
    <w:rsid w:val="006F02E1"/>
    <w:rsid w:val="006F0334"/>
    <w:rsid w:val="006F03BE"/>
    <w:rsid w:val="006F0409"/>
    <w:rsid w:val="006F0738"/>
    <w:rsid w:val="006F080A"/>
    <w:rsid w:val="006F0A3F"/>
    <w:rsid w:val="006F0ACC"/>
    <w:rsid w:val="006F0DDA"/>
    <w:rsid w:val="006F0F7F"/>
    <w:rsid w:val="006F1022"/>
    <w:rsid w:val="006F10D5"/>
    <w:rsid w:val="006F1325"/>
    <w:rsid w:val="006F139E"/>
    <w:rsid w:val="006F13B4"/>
    <w:rsid w:val="006F1629"/>
    <w:rsid w:val="006F16A2"/>
    <w:rsid w:val="006F1740"/>
    <w:rsid w:val="006F185A"/>
    <w:rsid w:val="006F1876"/>
    <w:rsid w:val="006F18C9"/>
    <w:rsid w:val="006F1903"/>
    <w:rsid w:val="006F1A1F"/>
    <w:rsid w:val="006F1AE6"/>
    <w:rsid w:val="006F1CBA"/>
    <w:rsid w:val="006F1DF7"/>
    <w:rsid w:val="006F1FCA"/>
    <w:rsid w:val="006F1FCF"/>
    <w:rsid w:val="006F21A0"/>
    <w:rsid w:val="006F21F9"/>
    <w:rsid w:val="006F25B4"/>
    <w:rsid w:val="006F280C"/>
    <w:rsid w:val="006F285A"/>
    <w:rsid w:val="006F2926"/>
    <w:rsid w:val="006F2938"/>
    <w:rsid w:val="006F29FA"/>
    <w:rsid w:val="006F2A05"/>
    <w:rsid w:val="006F2A3B"/>
    <w:rsid w:val="006F2A6E"/>
    <w:rsid w:val="006F2A82"/>
    <w:rsid w:val="006F2B42"/>
    <w:rsid w:val="006F2BD9"/>
    <w:rsid w:val="006F301B"/>
    <w:rsid w:val="006F31AB"/>
    <w:rsid w:val="006F3205"/>
    <w:rsid w:val="006F32C2"/>
    <w:rsid w:val="006F335D"/>
    <w:rsid w:val="006F3435"/>
    <w:rsid w:val="006F3564"/>
    <w:rsid w:val="006F35AA"/>
    <w:rsid w:val="006F3624"/>
    <w:rsid w:val="006F37A1"/>
    <w:rsid w:val="006F37DA"/>
    <w:rsid w:val="006F39E3"/>
    <w:rsid w:val="006F3A83"/>
    <w:rsid w:val="006F3B20"/>
    <w:rsid w:val="006F3CBE"/>
    <w:rsid w:val="006F3D3B"/>
    <w:rsid w:val="006F3D62"/>
    <w:rsid w:val="006F3D82"/>
    <w:rsid w:val="006F3E9C"/>
    <w:rsid w:val="006F3FC6"/>
    <w:rsid w:val="006F402C"/>
    <w:rsid w:val="006F4132"/>
    <w:rsid w:val="006F41BB"/>
    <w:rsid w:val="006F4240"/>
    <w:rsid w:val="006F4251"/>
    <w:rsid w:val="006F4526"/>
    <w:rsid w:val="006F45EF"/>
    <w:rsid w:val="006F47F2"/>
    <w:rsid w:val="006F492B"/>
    <w:rsid w:val="006F4BA4"/>
    <w:rsid w:val="006F4C14"/>
    <w:rsid w:val="006F4DCE"/>
    <w:rsid w:val="006F4DD6"/>
    <w:rsid w:val="006F4E60"/>
    <w:rsid w:val="006F544E"/>
    <w:rsid w:val="006F5497"/>
    <w:rsid w:val="006F550B"/>
    <w:rsid w:val="006F555E"/>
    <w:rsid w:val="006F55BE"/>
    <w:rsid w:val="006F5633"/>
    <w:rsid w:val="006F57E8"/>
    <w:rsid w:val="006F5B10"/>
    <w:rsid w:val="006F6243"/>
    <w:rsid w:val="006F6325"/>
    <w:rsid w:val="006F6401"/>
    <w:rsid w:val="006F686D"/>
    <w:rsid w:val="006F68CD"/>
    <w:rsid w:val="006F68EF"/>
    <w:rsid w:val="006F69DC"/>
    <w:rsid w:val="006F6A07"/>
    <w:rsid w:val="006F6AAC"/>
    <w:rsid w:val="006F6B38"/>
    <w:rsid w:val="006F6C54"/>
    <w:rsid w:val="006F6EA7"/>
    <w:rsid w:val="006F6EAD"/>
    <w:rsid w:val="006F7021"/>
    <w:rsid w:val="006F70B8"/>
    <w:rsid w:val="006F73AA"/>
    <w:rsid w:val="006F73BF"/>
    <w:rsid w:val="006F746C"/>
    <w:rsid w:val="006F74A3"/>
    <w:rsid w:val="006F74BE"/>
    <w:rsid w:val="006F7570"/>
    <w:rsid w:val="006F757A"/>
    <w:rsid w:val="006F769C"/>
    <w:rsid w:val="006F779A"/>
    <w:rsid w:val="006F77F2"/>
    <w:rsid w:val="006F7B4B"/>
    <w:rsid w:val="006F7BC6"/>
    <w:rsid w:val="006F7EAB"/>
    <w:rsid w:val="006F7ED9"/>
    <w:rsid w:val="006F7F14"/>
    <w:rsid w:val="00700213"/>
    <w:rsid w:val="007003B3"/>
    <w:rsid w:val="00700448"/>
    <w:rsid w:val="0070058F"/>
    <w:rsid w:val="0070077C"/>
    <w:rsid w:val="007007D4"/>
    <w:rsid w:val="00700811"/>
    <w:rsid w:val="0070099B"/>
    <w:rsid w:val="00700AB4"/>
    <w:rsid w:val="00700B1D"/>
    <w:rsid w:val="00700BD8"/>
    <w:rsid w:val="00700BEA"/>
    <w:rsid w:val="00700C74"/>
    <w:rsid w:val="00700CDE"/>
    <w:rsid w:val="00700D87"/>
    <w:rsid w:val="00700E35"/>
    <w:rsid w:val="00700F7C"/>
    <w:rsid w:val="007012B9"/>
    <w:rsid w:val="0070131D"/>
    <w:rsid w:val="00701499"/>
    <w:rsid w:val="0070150B"/>
    <w:rsid w:val="00701582"/>
    <w:rsid w:val="007015FD"/>
    <w:rsid w:val="0070170C"/>
    <w:rsid w:val="0070180D"/>
    <w:rsid w:val="0070187F"/>
    <w:rsid w:val="007019F3"/>
    <w:rsid w:val="00701A9D"/>
    <w:rsid w:val="00701CC1"/>
    <w:rsid w:val="00702283"/>
    <w:rsid w:val="00702284"/>
    <w:rsid w:val="007023F4"/>
    <w:rsid w:val="00702483"/>
    <w:rsid w:val="007024A9"/>
    <w:rsid w:val="00702AF7"/>
    <w:rsid w:val="00702CAA"/>
    <w:rsid w:val="00702D79"/>
    <w:rsid w:val="00702E28"/>
    <w:rsid w:val="00702FAD"/>
    <w:rsid w:val="00702FBC"/>
    <w:rsid w:val="0070303D"/>
    <w:rsid w:val="007030CC"/>
    <w:rsid w:val="00703151"/>
    <w:rsid w:val="00703199"/>
    <w:rsid w:val="0070333B"/>
    <w:rsid w:val="00703386"/>
    <w:rsid w:val="0070338A"/>
    <w:rsid w:val="0070348A"/>
    <w:rsid w:val="007036C7"/>
    <w:rsid w:val="007036DC"/>
    <w:rsid w:val="00703822"/>
    <w:rsid w:val="00703B11"/>
    <w:rsid w:val="00703D20"/>
    <w:rsid w:val="00703D48"/>
    <w:rsid w:val="00703E68"/>
    <w:rsid w:val="00703F2C"/>
    <w:rsid w:val="00703FDD"/>
    <w:rsid w:val="00704042"/>
    <w:rsid w:val="00704142"/>
    <w:rsid w:val="00704230"/>
    <w:rsid w:val="0070436D"/>
    <w:rsid w:val="007043DF"/>
    <w:rsid w:val="0070440E"/>
    <w:rsid w:val="007046CE"/>
    <w:rsid w:val="0070489A"/>
    <w:rsid w:val="007048B0"/>
    <w:rsid w:val="007048B5"/>
    <w:rsid w:val="00704C19"/>
    <w:rsid w:val="00704C84"/>
    <w:rsid w:val="00704E1E"/>
    <w:rsid w:val="00704E2D"/>
    <w:rsid w:val="0070503F"/>
    <w:rsid w:val="007051CD"/>
    <w:rsid w:val="007052B1"/>
    <w:rsid w:val="00705405"/>
    <w:rsid w:val="00705426"/>
    <w:rsid w:val="0070544A"/>
    <w:rsid w:val="00705451"/>
    <w:rsid w:val="00705466"/>
    <w:rsid w:val="00705526"/>
    <w:rsid w:val="00705654"/>
    <w:rsid w:val="00705728"/>
    <w:rsid w:val="007057AA"/>
    <w:rsid w:val="00705829"/>
    <w:rsid w:val="00705B4C"/>
    <w:rsid w:val="00705C4D"/>
    <w:rsid w:val="00705C74"/>
    <w:rsid w:val="00705CCE"/>
    <w:rsid w:val="00705D3E"/>
    <w:rsid w:val="00705DAE"/>
    <w:rsid w:val="00705ED0"/>
    <w:rsid w:val="0070618A"/>
    <w:rsid w:val="007061D3"/>
    <w:rsid w:val="00706388"/>
    <w:rsid w:val="0070663E"/>
    <w:rsid w:val="00706724"/>
    <w:rsid w:val="00706A6F"/>
    <w:rsid w:val="00706BB4"/>
    <w:rsid w:val="00706C2A"/>
    <w:rsid w:val="00706C5A"/>
    <w:rsid w:val="00706E10"/>
    <w:rsid w:val="0070702E"/>
    <w:rsid w:val="007070DB"/>
    <w:rsid w:val="0070716A"/>
    <w:rsid w:val="007071E1"/>
    <w:rsid w:val="007071F7"/>
    <w:rsid w:val="007071F8"/>
    <w:rsid w:val="007073CC"/>
    <w:rsid w:val="00707502"/>
    <w:rsid w:val="007075A6"/>
    <w:rsid w:val="007076B6"/>
    <w:rsid w:val="007077A2"/>
    <w:rsid w:val="007077AF"/>
    <w:rsid w:val="007078D1"/>
    <w:rsid w:val="0070791D"/>
    <w:rsid w:val="00707B63"/>
    <w:rsid w:val="00707B73"/>
    <w:rsid w:val="00707B76"/>
    <w:rsid w:val="00707DF8"/>
    <w:rsid w:val="00707EC8"/>
    <w:rsid w:val="00707F1C"/>
    <w:rsid w:val="00707F70"/>
    <w:rsid w:val="0071002A"/>
    <w:rsid w:val="00710086"/>
    <w:rsid w:val="007101C9"/>
    <w:rsid w:val="00710272"/>
    <w:rsid w:val="00710593"/>
    <w:rsid w:val="00710714"/>
    <w:rsid w:val="0071084F"/>
    <w:rsid w:val="007108B9"/>
    <w:rsid w:val="007108EC"/>
    <w:rsid w:val="00710914"/>
    <w:rsid w:val="0071098A"/>
    <w:rsid w:val="0071099D"/>
    <w:rsid w:val="007109C9"/>
    <w:rsid w:val="00710B34"/>
    <w:rsid w:val="00710B40"/>
    <w:rsid w:val="00710B9D"/>
    <w:rsid w:val="00710BEB"/>
    <w:rsid w:val="00710CF8"/>
    <w:rsid w:val="00711067"/>
    <w:rsid w:val="00711306"/>
    <w:rsid w:val="00711691"/>
    <w:rsid w:val="00711742"/>
    <w:rsid w:val="007117F2"/>
    <w:rsid w:val="007118A6"/>
    <w:rsid w:val="0071193A"/>
    <w:rsid w:val="00712217"/>
    <w:rsid w:val="00712264"/>
    <w:rsid w:val="007122ED"/>
    <w:rsid w:val="00712421"/>
    <w:rsid w:val="00712667"/>
    <w:rsid w:val="00712783"/>
    <w:rsid w:val="00712925"/>
    <w:rsid w:val="00712946"/>
    <w:rsid w:val="00712A22"/>
    <w:rsid w:val="00712F6E"/>
    <w:rsid w:val="00713034"/>
    <w:rsid w:val="007131C0"/>
    <w:rsid w:val="007131D8"/>
    <w:rsid w:val="0071336A"/>
    <w:rsid w:val="00713423"/>
    <w:rsid w:val="00713545"/>
    <w:rsid w:val="007138B9"/>
    <w:rsid w:val="007138E9"/>
    <w:rsid w:val="00713C54"/>
    <w:rsid w:val="00713E15"/>
    <w:rsid w:val="00713E24"/>
    <w:rsid w:val="00714005"/>
    <w:rsid w:val="007140AE"/>
    <w:rsid w:val="00714167"/>
    <w:rsid w:val="00714354"/>
    <w:rsid w:val="007146E1"/>
    <w:rsid w:val="00714719"/>
    <w:rsid w:val="00714C21"/>
    <w:rsid w:val="00714C59"/>
    <w:rsid w:val="00714C8B"/>
    <w:rsid w:val="00714E61"/>
    <w:rsid w:val="007150E2"/>
    <w:rsid w:val="0071521A"/>
    <w:rsid w:val="00715304"/>
    <w:rsid w:val="00715392"/>
    <w:rsid w:val="007153A0"/>
    <w:rsid w:val="007153F1"/>
    <w:rsid w:val="007154D2"/>
    <w:rsid w:val="00715592"/>
    <w:rsid w:val="007156CA"/>
    <w:rsid w:val="007157AA"/>
    <w:rsid w:val="007157BA"/>
    <w:rsid w:val="007157C0"/>
    <w:rsid w:val="007158E3"/>
    <w:rsid w:val="00715953"/>
    <w:rsid w:val="00715DA4"/>
    <w:rsid w:val="00715F33"/>
    <w:rsid w:val="007160D4"/>
    <w:rsid w:val="007160DD"/>
    <w:rsid w:val="007160FF"/>
    <w:rsid w:val="007161E9"/>
    <w:rsid w:val="00716230"/>
    <w:rsid w:val="00716432"/>
    <w:rsid w:val="00716535"/>
    <w:rsid w:val="00716610"/>
    <w:rsid w:val="007168C7"/>
    <w:rsid w:val="007168E7"/>
    <w:rsid w:val="007169A1"/>
    <w:rsid w:val="00716A6E"/>
    <w:rsid w:val="00716C4A"/>
    <w:rsid w:val="00716CCA"/>
    <w:rsid w:val="00716D54"/>
    <w:rsid w:val="00716FC4"/>
    <w:rsid w:val="00717238"/>
    <w:rsid w:val="007172C2"/>
    <w:rsid w:val="0071740A"/>
    <w:rsid w:val="00717428"/>
    <w:rsid w:val="00717452"/>
    <w:rsid w:val="00717477"/>
    <w:rsid w:val="007174C5"/>
    <w:rsid w:val="00717735"/>
    <w:rsid w:val="00717749"/>
    <w:rsid w:val="0071781E"/>
    <w:rsid w:val="00717992"/>
    <w:rsid w:val="00717A7C"/>
    <w:rsid w:val="00717B31"/>
    <w:rsid w:val="00717DF4"/>
    <w:rsid w:val="00717F25"/>
    <w:rsid w:val="0072034A"/>
    <w:rsid w:val="0072036E"/>
    <w:rsid w:val="0072038E"/>
    <w:rsid w:val="007203EC"/>
    <w:rsid w:val="00720642"/>
    <w:rsid w:val="00720A3F"/>
    <w:rsid w:val="00720AD5"/>
    <w:rsid w:val="00720BFE"/>
    <w:rsid w:val="00720EEB"/>
    <w:rsid w:val="00720FC3"/>
    <w:rsid w:val="00721275"/>
    <w:rsid w:val="007213A7"/>
    <w:rsid w:val="007213EA"/>
    <w:rsid w:val="007215FC"/>
    <w:rsid w:val="00721A0E"/>
    <w:rsid w:val="00721BE7"/>
    <w:rsid w:val="00721C25"/>
    <w:rsid w:val="00721D0B"/>
    <w:rsid w:val="00721DFA"/>
    <w:rsid w:val="00721EFA"/>
    <w:rsid w:val="00721F11"/>
    <w:rsid w:val="00722010"/>
    <w:rsid w:val="007220F6"/>
    <w:rsid w:val="0072210E"/>
    <w:rsid w:val="007221C1"/>
    <w:rsid w:val="0072232C"/>
    <w:rsid w:val="00722405"/>
    <w:rsid w:val="00722723"/>
    <w:rsid w:val="00722842"/>
    <w:rsid w:val="00722B39"/>
    <w:rsid w:val="00722D3C"/>
    <w:rsid w:val="00722E2F"/>
    <w:rsid w:val="00722EEE"/>
    <w:rsid w:val="00722F2B"/>
    <w:rsid w:val="007231D1"/>
    <w:rsid w:val="007232AE"/>
    <w:rsid w:val="007232B8"/>
    <w:rsid w:val="007233A6"/>
    <w:rsid w:val="00723699"/>
    <w:rsid w:val="007237F8"/>
    <w:rsid w:val="00723824"/>
    <w:rsid w:val="0072388D"/>
    <w:rsid w:val="00723920"/>
    <w:rsid w:val="00723AA1"/>
    <w:rsid w:val="00723C05"/>
    <w:rsid w:val="00723C61"/>
    <w:rsid w:val="00723D00"/>
    <w:rsid w:val="00723E89"/>
    <w:rsid w:val="007240C4"/>
    <w:rsid w:val="007241AD"/>
    <w:rsid w:val="007242ED"/>
    <w:rsid w:val="0072432A"/>
    <w:rsid w:val="00724361"/>
    <w:rsid w:val="0072446D"/>
    <w:rsid w:val="00724632"/>
    <w:rsid w:val="00724681"/>
    <w:rsid w:val="007246FF"/>
    <w:rsid w:val="007247CD"/>
    <w:rsid w:val="0072499A"/>
    <w:rsid w:val="007249B7"/>
    <w:rsid w:val="00724C06"/>
    <w:rsid w:val="00724CB7"/>
    <w:rsid w:val="00724D6A"/>
    <w:rsid w:val="007250C6"/>
    <w:rsid w:val="007254EE"/>
    <w:rsid w:val="00725767"/>
    <w:rsid w:val="0072581C"/>
    <w:rsid w:val="00725CD9"/>
    <w:rsid w:val="00725F55"/>
    <w:rsid w:val="00726071"/>
    <w:rsid w:val="00726134"/>
    <w:rsid w:val="007263FB"/>
    <w:rsid w:val="0072659D"/>
    <w:rsid w:val="00726B31"/>
    <w:rsid w:val="00726D0F"/>
    <w:rsid w:val="00726D56"/>
    <w:rsid w:val="00726DFF"/>
    <w:rsid w:val="00726F26"/>
    <w:rsid w:val="00726F5A"/>
    <w:rsid w:val="0072735F"/>
    <w:rsid w:val="007274FB"/>
    <w:rsid w:val="0072750D"/>
    <w:rsid w:val="00727678"/>
    <w:rsid w:val="007276AF"/>
    <w:rsid w:val="00727933"/>
    <w:rsid w:val="00727A68"/>
    <w:rsid w:val="00727A85"/>
    <w:rsid w:val="00727B1B"/>
    <w:rsid w:val="00727D11"/>
    <w:rsid w:val="00727D3C"/>
    <w:rsid w:val="00730012"/>
    <w:rsid w:val="007300E2"/>
    <w:rsid w:val="0073011B"/>
    <w:rsid w:val="007303E4"/>
    <w:rsid w:val="00730402"/>
    <w:rsid w:val="00730488"/>
    <w:rsid w:val="007307C3"/>
    <w:rsid w:val="007309A1"/>
    <w:rsid w:val="00730B66"/>
    <w:rsid w:val="00730CCD"/>
    <w:rsid w:val="00730E25"/>
    <w:rsid w:val="00730E99"/>
    <w:rsid w:val="00730F6A"/>
    <w:rsid w:val="00730FE0"/>
    <w:rsid w:val="00731165"/>
    <w:rsid w:val="007317C0"/>
    <w:rsid w:val="007317F1"/>
    <w:rsid w:val="00731895"/>
    <w:rsid w:val="00731928"/>
    <w:rsid w:val="00731978"/>
    <w:rsid w:val="00731B44"/>
    <w:rsid w:val="00731BE5"/>
    <w:rsid w:val="00731C42"/>
    <w:rsid w:val="00731D12"/>
    <w:rsid w:val="00731E69"/>
    <w:rsid w:val="00731FAC"/>
    <w:rsid w:val="00732030"/>
    <w:rsid w:val="00732116"/>
    <w:rsid w:val="00732118"/>
    <w:rsid w:val="0073214C"/>
    <w:rsid w:val="007324B9"/>
    <w:rsid w:val="00732678"/>
    <w:rsid w:val="007326C0"/>
    <w:rsid w:val="0073273D"/>
    <w:rsid w:val="007329EB"/>
    <w:rsid w:val="00732AEB"/>
    <w:rsid w:val="00732B29"/>
    <w:rsid w:val="00732CAC"/>
    <w:rsid w:val="00733122"/>
    <w:rsid w:val="00733159"/>
    <w:rsid w:val="0073315F"/>
    <w:rsid w:val="0073335D"/>
    <w:rsid w:val="007334B4"/>
    <w:rsid w:val="007335F4"/>
    <w:rsid w:val="00733680"/>
    <w:rsid w:val="00733850"/>
    <w:rsid w:val="00733863"/>
    <w:rsid w:val="00733A72"/>
    <w:rsid w:val="00733ACD"/>
    <w:rsid w:val="00733BC3"/>
    <w:rsid w:val="00733C8B"/>
    <w:rsid w:val="00733DF3"/>
    <w:rsid w:val="00733E51"/>
    <w:rsid w:val="0073410F"/>
    <w:rsid w:val="0073412A"/>
    <w:rsid w:val="0073424C"/>
    <w:rsid w:val="007343A1"/>
    <w:rsid w:val="007344B6"/>
    <w:rsid w:val="007344BF"/>
    <w:rsid w:val="00734584"/>
    <w:rsid w:val="00734823"/>
    <w:rsid w:val="00734B08"/>
    <w:rsid w:val="00734BAC"/>
    <w:rsid w:val="00734CD3"/>
    <w:rsid w:val="00734DA7"/>
    <w:rsid w:val="00734DE3"/>
    <w:rsid w:val="00734ED9"/>
    <w:rsid w:val="00734EFC"/>
    <w:rsid w:val="007350BF"/>
    <w:rsid w:val="007350F0"/>
    <w:rsid w:val="0073522E"/>
    <w:rsid w:val="00735247"/>
    <w:rsid w:val="0073531E"/>
    <w:rsid w:val="0073536C"/>
    <w:rsid w:val="0073560F"/>
    <w:rsid w:val="00735650"/>
    <w:rsid w:val="007356E9"/>
    <w:rsid w:val="007357DE"/>
    <w:rsid w:val="00735887"/>
    <w:rsid w:val="0073589E"/>
    <w:rsid w:val="00735A8D"/>
    <w:rsid w:val="00735B64"/>
    <w:rsid w:val="00735C85"/>
    <w:rsid w:val="00735CCE"/>
    <w:rsid w:val="00735D4C"/>
    <w:rsid w:val="00736002"/>
    <w:rsid w:val="00736153"/>
    <w:rsid w:val="0073623C"/>
    <w:rsid w:val="007363DB"/>
    <w:rsid w:val="0073647C"/>
    <w:rsid w:val="007364F2"/>
    <w:rsid w:val="0073663C"/>
    <w:rsid w:val="00736913"/>
    <w:rsid w:val="00736AB7"/>
    <w:rsid w:val="00736BD0"/>
    <w:rsid w:val="00736C23"/>
    <w:rsid w:val="00736CFC"/>
    <w:rsid w:val="00736DAD"/>
    <w:rsid w:val="00736EEE"/>
    <w:rsid w:val="00736F28"/>
    <w:rsid w:val="00736F3C"/>
    <w:rsid w:val="00737183"/>
    <w:rsid w:val="007371EF"/>
    <w:rsid w:val="00737371"/>
    <w:rsid w:val="0073742E"/>
    <w:rsid w:val="00737893"/>
    <w:rsid w:val="00737BC7"/>
    <w:rsid w:val="00737BF4"/>
    <w:rsid w:val="00737C6F"/>
    <w:rsid w:val="00737E8F"/>
    <w:rsid w:val="0074026F"/>
    <w:rsid w:val="0074067D"/>
    <w:rsid w:val="00740786"/>
    <w:rsid w:val="007407DB"/>
    <w:rsid w:val="0074089D"/>
    <w:rsid w:val="0074091D"/>
    <w:rsid w:val="00740931"/>
    <w:rsid w:val="00740C7C"/>
    <w:rsid w:val="00740E92"/>
    <w:rsid w:val="00740EAE"/>
    <w:rsid w:val="00741009"/>
    <w:rsid w:val="007412D6"/>
    <w:rsid w:val="00741419"/>
    <w:rsid w:val="00741453"/>
    <w:rsid w:val="007414A7"/>
    <w:rsid w:val="00741572"/>
    <w:rsid w:val="00741590"/>
    <w:rsid w:val="00741961"/>
    <w:rsid w:val="00741AC2"/>
    <w:rsid w:val="00741B8F"/>
    <w:rsid w:val="00741DAC"/>
    <w:rsid w:val="00741DE0"/>
    <w:rsid w:val="00741EEC"/>
    <w:rsid w:val="0074225A"/>
    <w:rsid w:val="007423E2"/>
    <w:rsid w:val="00742752"/>
    <w:rsid w:val="0074276E"/>
    <w:rsid w:val="00742775"/>
    <w:rsid w:val="007429E1"/>
    <w:rsid w:val="00742B04"/>
    <w:rsid w:val="00742BF9"/>
    <w:rsid w:val="00742C2B"/>
    <w:rsid w:val="00742D8E"/>
    <w:rsid w:val="00742F47"/>
    <w:rsid w:val="00742F93"/>
    <w:rsid w:val="00743074"/>
    <w:rsid w:val="00743144"/>
    <w:rsid w:val="0074323B"/>
    <w:rsid w:val="007432BD"/>
    <w:rsid w:val="007433BC"/>
    <w:rsid w:val="0074349C"/>
    <w:rsid w:val="0074355A"/>
    <w:rsid w:val="007437ED"/>
    <w:rsid w:val="00743886"/>
    <w:rsid w:val="00743F63"/>
    <w:rsid w:val="00744143"/>
    <w:rsid w:val="0074429D"/>
    <w:rsid w:val="007444E7"/>
    <w:rsid w:val="007446B9"/>
    <w:rsid w:val="007448E9"/>
    <w:rsid w:val="00744954"/>
    <w:rsid w:val="007449F3"/>
    <w:rsid w:val="00744AF5"/>
    <w:rsid w:val="00744BA2"/>
    <w:rsid w:val="00744F4B"/>
    <w:rsid w:val="00744FF0"/>
    <w:rsid w:val="00745031"/>
    <w:rsid w:val="00745139"/>
    <w:rsid w:val="00745193"/>
    <w:rsid w:val="007451C8"/>
    <w:rsid w:val="00745592"/>
    <w:rsid w:val="00745851"/>
    <w:rsid w:val="007458C0"/>
    <w:rsid w:val="00745942"/>
    <w:rsid w:val="00745B6F"/>
    <w:rsid w:val="00745BC3"/>
    <w:rsid w:val="00745C42"/>
    <w:rsid w:val="00746004"/>
    <w:rsid w:val="00746007"/>
    <w:rsid w:val="007461B2"/>
    <w:rsid w:val="007464FB"/>
    <w:rsid w:val="0074685C"/>
    <w:rsid w:val="00746DBE"/>
    <w:rsid w:val="00746DED"/>
    <w:rsid w:val="00746E23"/>
    <w:rsid w:val="00746FE1"/>
    <w:rsid w:val="00747018"/>
    <w:rsid w:val="007472EE"/>
    <w:rsid w:val="0074737E"/>
    <w:rsid w:val="0074749E"/>
    <w:rsid w:val="00747516"/>
    <w:rsid w:val="00747634"/>
    <w:rsid w:val="00747710"/>
    <w:rsid w:val="00747AB7"/>
    <w:rsid w:val="00747AEE"/>
    <w:rsid w:val="00747F3B"/>
    <w:rsid w:val="00750243"/>
    <w:rsid w:val="007502AC"/>
    <w:rsid w:val="0075045E"/>
    <w:rsid w:val="0075053D"/>
    <w:rsid w:val="007505C1"/>
    <w:rsid w:val="007505C9"/>
    <w:rsid w:val="00750697"/>
    <w:rsid w:val="007509A4"/>
    <w:rsid w:val="00750AF9"/>
    <w:rsid w:val="00750B15"/>
    <w:rsid w:val="00750B30"/>
    <w:rsid w:val="00750E64"/>
    <w:rsid w:val="00751201"/>
    <w:rsid w:val="007512FD"/>
    <w:rsid w:val="00751434"/>
    <w:rsid w:val="00751540"/>
    <w:rsid w:val="0075164E"/>
    <w:rsid w:val="00751702"/>
    <w:rsid w:val="0075173D"/>
    <w:rsid w:val="007517EB"/>
    <w:rsid w:val="00751973"/>
    <w:rsid w:val="0075198B"/>
    <w:rsid w:val="007519A4"/>
    <w:rsid w:val="007519F7"/>
    <w:rsid w:val="00751A79"/>
    <w:rsid w:val="00751AA0"/>
    <w:rsid w:val="00751BAC"/>
    <w:rsid w:val="00751C20"/>
    <w:rsid w:val="00751D1D"/>
    <w:rsid w:val="00751DA3"/>
    <w:rsid w:val="00751DC7"/>
    <w:rsid w:val="00751F0A"/>
    <w:rsid w:val="00752020"/>
    <w:rsid w:val="007520B0"/>
    <w:rsid w:val="007520B8"/>
    <w:rsid w:val="00752203"/>
    <w:rsid w:val="00752256"/>
    <w:rsid w:val="007525AF"/>
    <w:rsid w:val="007526E0"/>
    <w:rsid w:val="00752785"/>
    <w:rsid w:val="007527BF"/>
    <w:rsid w:val="00752915"/>
    <w:rsid w:val="007529CA"/>
    <w:rsid w:val="007529D9"/>
    <w:rsid w:val="00752A03"/>
    <w:rsid w:val="00752A25"/>
    <w:rsid w:val="00752AA5"/>
    <w:rsid w:val="00752D5B"/>
    <w:rsid w:val="007531BA"/>
    <w:rsid w:val="007533A0"/>
    <w:rsid w:val="007533EB"/>
    <w:rsid w:val="007534E6"/>
    <w:rsid w:val="007537CD"/>
    <w:rsid w:val="00753894"/>
    <w:rsid w:val="00753939"/>
    <w:rsid w:val="007539CA"/>
    <w:rsid w:val="00753A80"/>
    <w:rsid w:val="00753B15"/>
    <w:rsid w:val="00753CDE"/>
    <w:rsid w:val="00753D50"/>
    <w:rsid w:val="00753ED4"/>
    <w:rsid w:val="00753FF6"/>
    <w:rsid w:val="00754018"/>
    <w:rsid w:val="00754263"/>
    <w:rsid w:val="0075430D"/>
    <w:rsid w:val="00754741"/>
    <w:rsid w:val="0075489E"/>
    <w:rsid w:val="00754A73"/>
    <w:rsid w:val="00754EC4"/>
    <w:rsid w:val="0075529D"/>
    <w:rsid w:val="0075572B"/>
    <w:rsid w:val="00755784"/>
    <w:rsid w:val="0075596D"/>
    <w:rsid w:val="00755AEF"/>
    <w:rsid w:val="00755DA2"/>
    <w:rsid w:val="00755DAE"/>
    <w:rsid w:val="00755EB4"/>
    <w:rsid w:val="00756339"/>
    <w:rsid w:val="0075643B"/>
    <w:rsid w:val="007564BC"/>
    <w:rsid w:val="00756555"/>
    <w:rsid w:val="00756723"/>
    <w:rsid w:val="007567EB"/>
    <w:rsid w:val="0075691E"/>
    <w:rsid w:val="00756B96"/>
    <w:rsid w:val="00756C4D"/>
    <w:rsid w:val="00756CD2"/>
    <w:rsid w:val="00756E91"/>
    <w:rsid w:val="00756F86"/>
    <w:rsid w:val="007571D0"/>
    <w:rsid w:val="00757261"/>
    <w:rsid w:val="00757627"/>
    <w:rsid w:val="00757685"/>
    <w:rsid w:val="00757845"/>
    <w:rsid w:val="00757A1E"/>
    <w:rsid w:val="00757ABD"/>
    <w:rsid w:val="00757BDC"/>
    <w:rsid w:val="00757BE4"/>
    <w:rsid w:val="00757F90"/>
    <w:rsid w:val="00757F9B"/>
    <w:rsid w:val="0076000E"/>
    <w:rsid w:val="00760179"/>
    <w:rsid w:val="0076049D"/>
    <w:rsid w:val="0076050B"/>
    <w:rsid w:val="00760563"/>
    <w:rsid w:val="00760A15"/>
    <w:rsid w:val="00760BE2"/>
    <w:rsid w:val="00760BED"/>
    <w:rsid w:val="00760CE2"/>
    <w:rsid w:val="00760D2C"/>
    <w:rsid w:val="00760E9A"/>
    <w:rsid w:val="0076111D"/>
    <w:rsid w:val="007612F7"/>
    <w:rsid w:val="007615DB"/>
    <w:rsid w:val="0076167E"/>
    <w:rsid w:val="0076190D"/>
    <w:rsid w:val="00761BF5"/>
    <w:rsid w:val="00761C1A"/>
    <w:rsid w:val="00761C55"/>
    <w:rsid w:val="00761DC0"/>
    <w:rsid w:val="00761E96"/>
    <w:rsid w:val="00761F7A"/>
    <w:rsid w:val="0076211B"/>
    <w:rsid w:val="007621CE"/>
    <w:rsid w:val="007621F0"/>
    <w:rsid w:val="00762324"/>
    <w:rsid w:val="007623CF"/>
    <w:rsid w:val="00762462"/>
    <w:rsid w:val="00762481"/>
    <w:rsid w:val="007624FB"/>
    <w:rsid w:val="00762640"/>
    <w:rsid w:val="00762811"/>
    <w:rsid w:val="00762A0F"/>
    <w:rsid w:val="00762A4A"/>
    <w:rsid w:val="00762B6A"/>
    <w:rsid w:val="00762B7E"/>
    <w:rsid w:val="00762D32"/>
    <w:rsid w:val="00762D9B"/>
    <w:rsid w:val="00762E3A"/>
    <w:rsid w:val="00762FEC"/>
    <w:rsid w:val="007630DC"/>
    <w:rsid w:val="0076313A"/>
    <w:rsid w:val="0076332F"/>
    <w:rsid w:val="00763454"/>
    <w:rsid w:val="00763847"/>
    <w:rsid w:val="007639D0"/>
    <w:rsid w:val="00763EC9"/>
    <w:rsid w:val="00763F13"/>
    <w:rsid w:val="0076408D"/>
    <w:rsid w:val="007641CC"/>
    <w:rsid w:val="0076429F"/>
    <w:rsid w:val="007645DD"/>
    <w:rsid w:val="007645FA"/>
    <w:rsid w:val="007648F8"/>
    <w:rsid w:val="00765842"/>
    <w:rsid w:val="0076586F"/>
    <w:rsid w:val="00765992"/>
    <w:rsid w:val="00765BCB"/>
    <w:rsid w:val="00765BD5"/>
    <w:rsid w:val="00765DCC"/>
    <w:rsid w:val="00765DEB"/>
    <w:rsid w:val="00765E38"/>
    <w:rsid w:val="00765FAF"/>
    <w:rsid w:val="00765FCB"/>
    <w:rsid w:val="00766266"/>
    <w:rsid w:val="007662D2"/>
    <w:rsid w:val="00766412"/>
    <w:rsid w:val="0076645F"/>
    <w:rsid w:val="007666D2"/>
    <w:rsid w:val="007666EA"/>
    <w:rsid w:val="00766894"/>
    <w:rsid w:val="007668A1"/>
    <w:rsid w:val="007669EA"/>
    <w:rsid w:val="00766BA0"/>
    <w:rsid w:val="00766BEA"/>
    <w:rsid w:val="00766CF5"/>
    <w:rsid w:val="00766D17"/>
    <w:rsid w:val="00766DC1"/>
    <w:rsid w:val="007679BC"/>
    <w:rsid w:val="00767B5A"/>
    <w:rsid w:val="00767DC1"/>
    <w:rsid w:val="007700C7"/>
    <w:rsid w:val="00770181"/>
    <w:rsid w:val="0077034E"/>
    <w:rsid w:val="0077055C"/>
    <w:rsid w:val="00770909"/>
    <w:rsid w:val="00770A62"/>
    <w:rsid w:val="00770FE5"/>
    <w:rsid w:val="00771110"/>
    <w:rsid w:val="007712A3"/>
    <w:rsid w:val="007712E3"/>
    <w:rsid w:val="00771520"/>
    <w:rsid w:val="00771702"/>
    <w:rsid w:val="0077186B"/>
    <w:rsid w:val="00771A4A"/>
    <w:rsid w:val="00771A7C"/>
    <w:rsid w:val="00771F8E"/>
    <w:rsid w:val="00772007"/>
    <w:rsid w:val="0077214D"/>
    <w:rsid w:val="00772261"/>
    <w:rsid w:val="007722CC"/>
    <w:rsid w:val="00772474"/>
    <w:rsid w:val="00772688"/>
    <w:rsid w:val="007727FC"/>
    <w:rsid w:val="00772C63"/>
    <w:rsid w:val="00772E11"/>
    <w:rsid w:val="0077319B"/>
    <w:rsid w:val="007731A4"/>
    <w:rsid w:val="007731E7"/>
    <w:rsid w:val="0077330D"/>
    <w:rsid w:val="00773361"/>
    <w:rsid w:val="00773399"/>
    <w:rsid w:val="00773514"/>
    <w:rsid w:val="007738F0"/>
    <w:rsid w:val="00773CA4"/>
    <w:rsid w:val="00773DA9"/>
    <w:rsid w:val="00773E0C"/>
    <w:rsid w:val="00773E8C"/>
    <w:rsid w:val="00773FA4"/>
    <w:rsid w:val="00774023"/>
    <w:rsid w:val="00774084"/>
    <w:rsid w:val="007740F2"/>
    <w:rsid w:val="00774215"/>
    <w:rsid w:val="007742CF"/>
    <w:rsid w:val="007745A5"/>
    <w:rsid w:val="00774630"/>
    <w:rsid w:val="00774649"/>
    <w:rsid w:val="00774A03"/>
    <w:rsid w:val="00774A14"/>
    <w:rsid w:val="00774ABF"/>
    <w:rsid w:val="00774D72"/>
    <w:rsid w:val="00774D9E"/>
    <w:rsid w:val="00774E63"/>
    <w:rsid w:val="00774F3C"/>
    <w:rsid w:val="00774F6C"/>
    <w:rsid w:val="0077501A"/>
    <w:rsid w:val="0077521D"/>
    <w:rsid w:val="0077529D"/>
    <w:rsid w:val="007752D9"/>
    <w:rsid w:val="00775356"/>
    <w:rsid w:val="007754F7"/>
    <w:rsid w:val="0077557C"/>
    <w:rsid w:val="007755D3"/>
    <w:rsid w:val="00775781"/>
    <w:rsid w:val="007759FF"/>
    <w:rsid w:val="00775BFB"/>
    <w:rsid w:val="00775CC3"/>
    <w:rsid w:val="00775D3A"/>
    <w:rsid w:val="00775DB4"/>
    <w:rsid w:val="00775E61"/>
    <w:rsid w:val="00775F97"/>
    <w:rsid w:val="00775FCB"/>
    <w:rsid w:val="0077607A"/>
    <w:rsid w:val="00776248"/>
    <w:rsid w:val="0077624B"/>
    <w:rsid w:val="00776438"/>
    <w:rsid w:val="00776684"/>
    <w:rsid w:val="007766AB"/>
    <w:rsid w:val="00776775"/>
    <w:rsid w:val="00776CB4"/>
    <w:rsid w:val="00776F9F"/>
    <w:rsid w:val="007771F3"/>
    <w:rsid w:val="0077730D"/>
    <w:rsid w:val="007774D7"/>
    <w:rsid w:val="00777774"/>
    <w:rsid w:val="007777F5"/>
    <w:rsid w:val="00777AC7"/>
    <w:rsid w:val="00777E1A"/>
    <w:rsid w:val="007801C1"/>
    <w:rsid w:val="00780232"/>
    <w:rsid w:val="007803A4"/>
    <w:rsid w:val="00780422"/>
    <w:rsid w:val="0078054B"/>
    <w:rsid w:val="007806F4"/>
    <w:rsid w:val="00780845"/>
    <w:rsid w:val="00780CA5"/>
    <w:rsid w:val="00780CCE"/>
    <w:rsid w:val="00780DA3"/>
    <w:rsid w:val="00780FBC"/>
    <w:rsid w:val="00781144"/>
    <w:rsid w:val="007811F1"/>
    <w:rsid w:val="00781204"/>
    <w:rsid w:val="00781362"/>
    <w:rsid w:val="00781391"/>
    <w:rsid w:val="00781534"/>
    <w:rsid w:val="007815C6"/>
    <w:rsid w:val="007818ED"/>
    <w:rsid w:val="00781B8B"/>
    <w:rsid w:val="00781C82"/>
    <w:rsid w:val="00781D29"/>
    <w:rsid w:val="00781E41"/>
    <w:rsid w:val="00781E49"/>
    <w:rsid w:val="00781EE3"/>
    <w:rsid w:val="00782049"/>
    <w:rsid w:val="00782398"/>
    <w:rsid w:val="007824FA"/>
    <w:rsid w:val="0078288F"/>
    <w:rsid w:val="007828B6"/>
    <w:rsid w:val="00782A2C"/>
    <w:rsid w:val="00782A5B"/>
    <w:rsid w:val="00782B32"/>
    <w:rsid w:val="00782C9C"/>
    <w:rsid w:val="00782D23"/>
    <w:rsid w:val="00782EBD"/>
    <w:rsid w:val="00782EE4"/>
    <w:rsid w:val="007830B3"/>
    <w:rsid w:val="0078342B"/>
    <w:rsid w:val="0078345D"/>
    <w:rsid w:val="007836F7"/>
    <w:rsid w:val="007837A8"/>
    <w:rsid w:val="007838B1"/>
    <w:rsid w:val="00783976"/>
    <w:rsid w:val="007839D7"/>
    <w:rsid w:val="007839FB"/>
    <w:rsid w:val="00783A83"/>
    <w:rsid w:val="00783B7B"/>
    <w:rsid w:val="00783CA1"/>
    <w:rsid w:val="00783D4D"/>
    <w:rsid w:val="00783D66"/>
    <w:rsid w:val="00783F9D"/>
    <w:rsid w:val="00784215"/>
    <w:rsid w:val="0078425C"/>
    <w:rsid w:val="0078425E"/>
    <w:rsid w:val="00784434"/>
    <w:rsid w:val="00784779"/>
    <w:rsid w:val="0078494D"/>
    <w:rsid w:val="007849A7"/>
    <w:rsid w:val="007849FA"/>
    <w:rsid w:val="00784A4B"/>
    <w:rsid w:val="00784A86"/>
    <w:rsid w:val="00784C33"/>
    <w:rsid w:val="00784ECE"/>
    <w:rsid w:val="00784F53"/>
    <w:rsid w:val="00785069"/>
    <w:rsid w:val="007853F3"/>
    <w:rsid w:val="0078542E"/>
    <w:rsid w:val="0078562A"/>
    <w:rsid w:val="00785712"/>
    <w:rsid w:val="0078585A"/>
    <w:rsid w:val="007859EF"/>
    <w:rsid w:val="00785AB9"/>
    <w:rsid w:val="00785BA3"/>
    <w:rsid w:val="00785BE0"/>
    <w:rsid w:val="00785D84"/>
    <w:rsid w:val="00785DD3"/>
    <w:rsid w:val="0078603B"/>
    <w:rsid w:val="007860EB"/>
    <w:rsid w:val="00786107"/>
    <w:rsid w:val="0078610E"/>
    <w:rsid w:val="00786273"/>
    <w:rsid w:val="0078657E"/>
    <w:rsid w:val="00786635"/>
    <w:rsid w:val="0078679A"/>
    <w:rsid w:val="007869A5"/>
    <w:rsid w:val="00786A9C"/>
    <w:rsid w:val="00786CB7"/>
    <w:rsid w:val="00786D32"/>
    <w:rsid w:val="00786DAE"/>
    <w:rsid w:val="00786EB6"/>
    <w:rsid w:val="00786F50"/>
    <w:rsid w:val="007870C8"/>
    <w:rsid w:val="0078713F"/>
    <w:rsid w:val="007871DD"/>
    <w:rsid w:val="007871E2"/>
    <w:rsid w:val="00787217"/>
    <w:rsid w:val="007872BD"/>
    <w:rsid w:val="00787390"/>
    <w:rsid w:val="007873B0"/>
    <w:rsid w:val="00787414"/>
    <w:rsid w:val="00787458"/>
    <w:rsid w:val="007874F1"/>
    <w:rsid w:val="0078776F"/>
    <w:rsid w:val="00787811"/>
    <w:rsid w:val="00787BCD"/>
    <w:rsid w:val="00787CB4"/>
    <w:rsid w:val="00787DD1"/>
    <w:rsid w:val="00787EA6"/>
    <w:rsid w:val="00787EFD"/>
    <w:rsid w:val="00787F37"/>
    <w:rsid w:val="00787F7B"/>
    <w:rsid w:val="0079016A"/>
    <w:rsid w:val="00790224"/>
    <w:rsid w:val="00790447"/>
    <w:rsid w:val="007904B5"/>
    <w:rsid w:val="0079050B"/>
    <w:rsid w:val="00790618"/>
    <w:rsid w:val="00790699"/>
    <w:rsid w:val="00790929"/>
    <w:rsid w:val="007909CA"/>
    <w:rsid w:val="00790AAA"/>
    <w:rsid w:val="00790BAA"/>
    <w:rsid w:val="00790C9D"/>
    <w:rsid w:val="00790E3D"/>
    <w:rsid w:val="00790EB2"/>
    <w:rsid w:val="00790F1B"/>
    <w:rsid w:val="00790FE6"/>
    <w:rsid w:val="007911D2"/>
    <w:rsid w:val="007911DE"/>
    <w:rsid w:val="00791480"/>
    <w:rsid w:val="00791496"/>
    <w:rsid w:val="007914B2"/>
    <w:rsid w:val="007915B5"/>
    <w:rsid w:val="00791A44"/>
    <w:rsid w:val="00791BA1"/>
    <w:rsid w:val="00791CCF"/>
    <w:rsid w:val="00791D0F"/>
    <w:rsid w:val="00791D98"/>
    <w:rsid w:val="00791ECA"/>
    <w:rsid w:val="00791F40"/>
    <w:rsid w:val="00791FB4"/>
    <w:rsid w:val="00791FB6"/>
    <w:rsid w:val="00791FF7"/>
    <w:rsid w:val="007921EE"/>
    <w:rsid w:val="0079222C"/>
    <w:rsid w:val="00792247"/>
    <w:rsid w:val="00792507"/>
    <w:rsid w:val="0079264D"/>
    <w:rsid w:val="0079276F"/>
    <w:rsid w:val="007928A4"/>
    <w:rsid w:val="007929A1"/>
    <w:rsid w:val="00792ACA"/>
    <w:rsid w:val="00792DD8"/>
    <w:rsid w:val="00792F33"/>
    <w:rsid w:val="007930B8"/>
    <w:rsid w:val="007932BD"/>
    <w:rsid w:val="0079332E"/>
    <w:rsid w:val="0079334A"/>
    <w:rsid w:val="00793379"/>
    <w:rsid w:val="00793411"/>
    <w:rsid w:val="0079350B"/>
    <w:rsid w:val="007937B2"/>
    <w:rsid w:val="0079382A"/>
    <w:rsid w:val="00793839"/>
    <w:rsid w:val="0079397F"/>
    <w:rsid w:val="007939C5"/>
    <w:rsid w:val="00793BCF"/>
    <w:rsid w:val="00793C33"/>
    <w:rsid w:val="00793C7D"/>
    <w:rsid w:val="00793F0C"/>
    <w:rsid w:val="0079405E"/>
    <w:rsid w:val="00794240"/>
    <w:rsid w:val="007942AA"/>
    <w:rsid w:val="007942C8"/>
    <w:rsid w:val="00794331"/>
    <w:rsid w:val="007943FF"/>
    <w:rsid w:val="007944BB"/>
    <w:rsid w:val="007944C0"/>
    <w:rsid w:val="007944F0"/>
    <w:rsid w:val="0079452C"/>
    <w:rsid w:val="00794542"/>
    <w:rsid w:val="0079454A"/>
    <w:rsid w:val="00794582"/>
    <w:rsid w:val="00794648"/>
    <w:rsid w:val="007946FD"/>
    <w:rsid w:val="0079477A"/>
    <w:rsid w:val="00794C5A"/>
    <w:rsid w:val="00794DE3"/>
    <w:rsid w:val="00794FF8"/>
    <w:rsid w:val="007950CF"/>
    <w:rsid w:val="007951DD"/>
    <w:rsid w:val="007953A0"/>
    <w:rsid w:val="007954BF"/>
    <w:rsid w:val="007955F2"/>
    <w:rsid w:val="0079566C"/>
    <w:rsid w:val="007956CD"/>
    <w:rsid w:val="007959DB"/>
    <w:rsid w:val="00795B55"/>
    <w:rsid w:val="00795BE3"/>
    <w:rsid w:val="00795E7A"/>
    <w:rsid w:val="0079606C"/>
    <w:rsid w:val="0079634F"/>
    <w:rsid w:val="00796506"/>
    <w:rsid w:val="0079655C"/>
    <w:rsid w:val="00796593"/>
    <w:rsid w:val="007967F9"/>
    <w:rsid w:val="00796A31"/>
    <w:rsid w:val="00796B28"/>
    <w:rsid w:val="00796B5D"/>
    <w:rsid w:val="00796C73"/>
    <w:rsid w:val="00796FC9"/>
    <w:rsid w:val="007970F5"/>
    <w:rsid w:val="007970FB"/>
    <w:rsid w:val="00797389"/>
    <w:rsid w:val="007973DF"/>
    <w:rsid w:val="00797485"/>
    <w:rsid w:val="00797546"/>
    <w:rsid w:val="007976DD"/>
    <w:rsid w:val="007977B3"/>
    <w:rsid w:val="0079797F"/>
    <w:rsid w:val="007979C9"/>
    <w:rsid w:val="00797BAE"/>
    <w:rsid w:val="00797C38"/>
    <w:rsid w:val="00797C5F"/>
    <w:rsid w:val="00797CFF"/>
    <w:rsid w:val="00797EFE"/>
    <w:rsid w:val="00797F3F"/>
    <w:rsid w:val="007A0031"/>
    <w:rsid w:val="007A01A3"/>
    <w:rsid w:val="007A0323"/>
    <w:rsid w:val="007A03E6"/>
    <w:rsid w:val="007A0418"/>
    <w:rsid w:val="007A0484"/>
    <w:rsid w:val="007A053F"/>
    <w:rsid w:val="007A05C1"/>
    <w:rsid w:val="007A0832"/>
    <w:rsid w:val="007A0A0C"/>
    <w:rsid w:val="007A0B0A"/>
    <w:rsid w:val="007A0B9C"/>
    <w:rsid w:val="007A0C1F"/>
    <w:rsid w:val="007A0CC2"/>
    <w:rsid w:val="007A11EC"/>
    <w:rsid w:val="007A139C"/>
    <w:rsid w:val="007A1639"/>
    <w:rsid w:val="007A1701"/>
    <w:rsid w:val="007A1989"/>
    <w:rsid w:val="007A199C"/>
    <w:rsid w:val="007A1A23"/>
    <w:rsid w:val="007A1C30"/>
    <w:rsid w:val="007A1CE9"/>
    <w:rsid w:val="007A1D3C"/>
    <w:rsid w:val="007A1DCE"/>
    <w:rsid w:val="007A1E3B"/>
    <w:rsid w:val="007A20E8"/>
    <w:rsid w:val="007A2341"/>
    <w:rsid w:val="007A2A5D"/>
    <w:rsid w:val="007A2AD5"/>
    <w:rsid w:val="007A2AFF"/>
    <w:rsid w:val="007A2BDF"/>
    <w:rsid w:val="007A3003"/>
    <w:rsid w:val="007A30E7"/>
    <w:rsid w:val="007A317E"/>
    <w:rsid w:val="007A31C3"/>
    <w:rsid w:val="007A329E"/>
    <w:rsid w:val="007A349A"/>
    <w:rsid w:val="007A36A4"/>
    <w:rsid w:val="007A3724"/>
    <w:rsid w:val="007A38F4"/>
    <w:rsid w:val="007A3953"/>
    <w:rsid w:val="007A3F17"/>
    <w:rsid w:val="007A3FA5"/>
    <w:rsid w:val="007A4169"/>
    <w:rsid w:val="007A4380"/>
    <w:rsid w:val="007A475F"/>
    <w:rsid w:val="007A4843"/>
    <w:rsid w:val="007A4BD4"/>
    <w:rsid w:val="007A4CDC"/>
    <w:rsid w:val="007A4CEA"/>
    <w:rsid w:val="007A4F52"/>
    <w:rsid w:val="007A5051"/>
    <w:rsid w:val="007A510E"/>
    <w:rsid w:val="007A5181"/>
    <w:rsid w:val="007A53C2"/>
    <w:rsid w:val="007A53C6"/>
    <w:rsid w:val="007A53DB"/>
    <w:rsid w:val="007A5406"/>
    <w:rsid w:val="007A55C8"/>
    <w:rsid w:val="007A56C1"/>
    <w:rsid w:val="007A5820"/>
    <w:rsid w:val="007A5916"/>
    <w:rsid w:val="007A593E"/>
    <w:rsid w:val="007A5950"/>
    <w:rsid w:val="007A59AF"/>
    <w:rsid w:val="007A5D34"/>
    <w:rsid w:val="007A5DD8"/>
    <w:rsid w:val="007A5E66"/>
    <w:rsid w:val="007A5EF8"/>
    <w:rsid w:val="007A5F2F"/>
    <w:rsid w:val="007A61BD"/>
    <w:rsid w:val="007A64CB"/>
    <w:rsid w:val="007A65DD"/>
    <w:rsid w:val="007A6600"/>
    <w:rsid w:val="007A669A"/>
    <w:rsid w:val="007A6779"/>
    <w:rsid w:val="007A67A6"/>
    <w:rsid w:val="007A681A"/>
    <w:rsid w:val="007A6843"/>
    <w:rsid w:val="007A6905"/>
    <w:rsid w:val="007A6B19"/>
    <w:rsid w:val="007A6BEA"/>
    <w:rsid w:val="007A6D6D"/>
    <w:rsid w:val="007A6F19"/>
    <w:rsid w:val="007A6F88"/>
    <w:rsid w:val="007A7086"/>
    <w:rsid w:val="007A7253"/>
    <w:rsid w:val="007A72EB"/>
    <w:rsid w:val="007A7341"/>
    <w:rsid w:val="007A74A0"/>
    <w:rsid w:val="007A756A"/>
    <w:rsid w:val="007A78AF"/>
    <w:rsid w:val="007A7B59"/>
    <w:rsid w:val="007A7BA2"/>
    <w:rsid w:val="007A7BFA"/>
    <w:rsid w:val="007A7D24"/>
    <w:rsid w:val="007A7D6A"/>
    <w:rsid w:val="007A7F70"/>
    <w:rsid w:val="007A7FE6"/>
    <w:rsid w:val="007B017A"/>
    <w:rsid w:val="007B0249"/>
    <w:rsid w:val="007B0293"/>
    <w:rsid w:val="007B0338"/>
    <w:rsid w:val="007B0795"/>
    <w:rsid w:val="007B0842"/>
    <w:rsid w:val="007B08E1"/>
    <w:rsid w:val="007B08FB"/>
    <w:rsid w:val="007B098F"/>
    <w:rsid w:val="007B0B36"/>
    <w:rsid w:val="007B0E41"/>
    <w:rsid w:val="007B11BF"/>
    <w:rsid w:val="007B1326"/>
    <w:rsid w:val="007B16D6"/>
    <w:rsid w:val="007B1908"/>
    <w:rsid w:val="007B1AB6"/>
    <w:rsid w:val="007B1E93"/>
    <w:rsid w:val="007B1FB8"/>
    <w:rsid w:val="007B20C3"/>
    <w:rsid w:val="007B224C"/>
    <w:rsid w:val="007B24F3"/>
    <w:rsid w:val="007B254F"/>
    <w:rsid w:val="007B2601"/>
    <w:rsid w:val="007B2854"/>
    <w:rsid w:val="007B2887"/>
    <w:rsid w:val="007B28EA"/>
    <w:rsid w:val="007B2B76"/>
    <w:rsid w:val="007B2BF7"/>
    <w:rsid w:val="007B2CB0"/>
    <w:rsid w:val="007B2DFA"/>
    <w:rsid w:val="007B2EFA"/>
    <w:rsid w:val="007B3160"/>
    <w:rsid w:val="007B31C6"/>
    <w:rsid w:val="007B3497"/>
    <w:rsid w:val="007B3748"/>
    <w:rsid w:val="007B3969"/>
    <w:rsid w:val="007B399C"/>
    <w:rsid w:val="007B3A16"/>
    <w:rsid w:val="007B3BCA"/>
    <w:rsid w:val="007B3DAB"/>
    <w:rsid w:val="007B4205"/>
    <w:rsid w:val="007B4295"/>
    <w:rsid w:val="007B43CB"/>
    <w:rsid w:val="007B43EC"/>
    <w:rsid w:val="007B452A"/>
    <w:rsid w:val="007B4685"/>
    <w:rsid w:val="007B48B5"/>
    <w:rsid w:val="007B490D"/>
    <w:rsid w:val="007B4A12"/>
    <w:rsid w:val="007B4A54"/>
    <w:rsid w:val="007B4AF1"/>
    <w:rsid w:val="007B4BEB"/>
    <w:rsid w:val="007B4CE4"/>
    <w:rsid w:val="007B4DDF"/>
    <w:rsid w:val="007B4DF6"/>
    <w:rsid w:val="007B4FA1"/>
    <w:rsid w:val="007B5099"/>
    <w:rsid w:val="007B51DE"/>
    <w:rsid w:val="007B52AA"/>
    <w:rsid w:val="007B563C"/>
    <w:rsid w:val="007B577F"/>
    <w:rsid w:val="007B5869"/>
    <w:rsid w:val="007B588B"/>
    <w:rsid w:val="007B5A8E"/>
    <w:rsid w:val="007B5BCE"/>
    <w:rsid w:val="007B5D31"/>
    <w:rsid w:val="007B5E15"/>
    <w:rsid w:val="007B5E9C"/>
    <w:rsid w:val="007B5FD3"/>
    <w:rsid w:val="007B601B"/>
    <w:rsid w:val="007B63FA"/>
    <w:rsid w:val="007B6462"/>
    <w:rsid w:val="007B652C"/>
    <w:rsid w:val="007B656F"/>
    <w:rsid w:val="007B6AFA"/>
    <w:rsid w:val="007B6D2D"/>
    <w:rsid w:val="007B6EEA"/>
    <w:rsid w:val="007B6F4C"/>
    <w:rsid w:val="007B7208"/>
    <w:rsid w:val="007B7248"/>
    <w:rsid w:val="007B7388"/>
    <w:rsid w:val="007B7480"/>
    <w:rsid w:val="007B7532"/>
    <w:rsid w:val="007B7540"/>
    <w:rsid w:val="007B7588"/>
    <w:rsid w:val="007B7611"/>
    <w:rsid w:val="007B77F0"/>
    <w:rsid w:val="007B7893"/>
    <w:rsid w:val="007B7950"/>
    <w:rsid w:val="007B7A2B"/>
    <w:rsid w:val="007B7A6E"/>
    <w:rsid w:val="007B7ADD"/>
    <w:rsid w:val="007B7B12"/>
    <w:rsid w:val="007B7BCB"/>
    <w:rsid w:val="007B7D5F"/>
    <w:rsid w:val="007B7EC6"/>
    <w:rsid w:val="007B7F87"/>
    <w:rsid w:val="007C051C"/>
    <w:rsid w:val="007C0854"/>
    <w:rsid w:val="007C0B52"/>
    <w:rsid w:val="007C0C32"/>
    <w:rsid w:val="007C0C60"/>
    <w:rsid w:val="007C0D18"/>
    <w:rsid w:val="007C0D2D"/>
    <w:rsid w:val="007C0DD9"/>
    <w:rsid w:val="007C0E2E"/>
    <w:rsid w:val="007C0EA2"/>
    <w:rsid w:val="007C114C"/>
    <w:rsid w:val="007C12FD"/>
    <w:rsid w:val="007C1376"/>
    <w:rsid w:val="007C15E3"/>
    <w:rsid w:val="007C17F1"/>
    <w:rsid w:val="007C1A34"/>
    <w:rsid w:val="007C1AE9"/>
    <w:rsid w:val="007C1C45"/>
    <w:rsid w:val="007C1C7D"/>
    <w:rsid w:val="007C1E14"/>
    <w:rsid w:val="007C1F60"/>
    <w:rsid w:val="007C2064"/>
    <w:rsid w:val="007C2218"/>
    <w:rsid w:val="007C23CB"/>
    <w:rsid w:val="007C24B7"/>
    <w:rsid w:val="007C292B"/>
    <w:rsid w:val="007C2AAE"/>
    <w:rsid w:val="007C2C2F"/>
    <w:rsid w:val="007C2C4B"/>
    <w:rsid w:val="007C2DC1"/>
    <w:rsid w:val="007C310D"/>
    <w:rsid w:val="007C318A"/>
    <w:rsid w:val="007C323E"/>
    <w:rsid w:val="007C3243"/>
    <w:rsid w:val="007C3502"/>
    <w:rsid w:val="007C37F7"/>
    <w:rsid w:val="007C3828"/>
    <w:rsid w:val="007C384B"/>
    <w:rsid w:val="007C3978"/>
    <w:rsid w:val="007C3AA2"/>
    <w:rsid w:val="007C3B2A"/>
    <w:rsid w:val="007C3BFE"/>
    <w:rsid w:val="007C3CC0"/>
    <w:rsid w:val="007C3D0E"/>
    <w:rsid w:val="007C3E48"/>
    <w:rsid w:val="007C418D"/>
    <w:rsid w:val="007C42F9"/>
    <w:rsid w:val="007C442D"/>
    <w:rsid w:val="007C445F"/>
    <w:rsid w:val="007C45F2"/>
    <w:rsid w:val="007C460F"/>
    <w:rsid w:val="007C4641"/>
    <w:rsid w:val="007C4828"/>
    <w:rsid w:val="007C4851"/>
    <w:rsid w:val="007C49B4"/>
    <w:rsid w:val="007C4A0B"/>
    <w:rsid w:val="007C4CB4"/>
    <w:rsid w:val="007C4D7E"/>
    <w:rsid w:val="007C4DE3"/>
    <w:rsid w:val="007C4F21"/>
    <w:rsid w:val="007C4F39"/>
    <w:rsid w:val="007C50A3"/>
    <w:rsid w:val="007C51EE"/>
    <w:rsid w:val="007C527B"/>
    <w:rsid w:val="007C5291"/>
    <w:rsid w:val="007C530F"/>
    <w:rsid w:val="007C53E8"/>
    <w:rsid w:val="007C5564"/>
    <w:rsid w:val="007C5767"/>
    <w:rsid w:val="007C58DC"/>
    <w:rsid w:val="007C5EDB"/>
    <w:rsid w:val="007C5FD1"/>
    <w:rsid w:val="007C6284"/>
    <w:rsid w:val="007C62D9"/>
    <w:rsid w:val="007C6450"/>
    <w:rsid w:val="007C64B1"/>
    <w:rsid w:val="007C64C1"/>
    <w:rsid w:val="007C659D"/>
    <w:rsid w:val="007C6881"/>
    <w:rsid w:val="007C693D"/>
    <w:rsid w:val="007C6AF4"/>
    <w:rsid w:val="007C6C09"/>
    <w:rsid w:val="007C6C2C"/>
    <w:rsid w:val="007C6C80"/>
    <w:rsid w:val="007C6E45"/>
    <w:rsid w:val="007C6F9F"/>
    <w:rsid w:val="007C700A"/>
    <w:rsid w:val="007C7196"/>
    <w:rsid w:val="007C72C4"/>
    <w:rsid w:val="007C738F"/>
    <w:rsid w:val="007C73EF"/>
    <w:rsid w:val="007C7572"/>
    <w:rsid w:val="007C7757"/>
    <w:rsid w:val="007C79B2"/>
    <w:rsid w:val="007C7AA4"/>
    <w:rsid w:val="007C7AC8"/>
    <w:rsid w:val="007C7AD3"/>
    <w:rsid w:val="007C7B0C"/>
    <w:rsid w:val="007C7C1A"/>
    <w:rsid w:val="007C7C51"/>
    <w:rsid w:val="007C7CB8"/>
    <w:rsid w:val="007C7D52"/>
    <w:rsid w:val="007D0077"/>
    <w:rsid w:val="007D00E1"/>
    <w:rsid w:val="007D01C0"/>
    <w:rsid w:val="007D01C5"/>
    <w:rsid w:val="007D0369"/>
    <w:rsid w:val="007D06B6"/>
    <w:rsid w:val="007D06E4"/>
    <w:rsid w:val="007D07A2"/>
    <w:rsid w:val="007D0B67"/>
    <w:rsid w:val="007D0B92"/>
    <w:rsid w:val="007D0BA9"/>
    <w:rsid w:val="007D0BD6"/>
    <w:rsid w:val="007D0E71"/>
    <w:rsid w:val="007D1040"/>
    <w:rsid w:val="007D105A"/>
    <w:rsid w:val="007D108B"/>
    <w:rsid w:val="007D1282"/>
    <w:rsid w:val="007D1448"/>
    <w:rsid w:val="007D1666"/>
    <w:rsid w:val="007D1689"/>
    <w:rsid w:val="007D173D"/>
    <w:rsid w:val="007D17AB"/>
    <w:rsid w:val="007D1CC0"/>
    <w:rsid w:val="007D1DF1"/>
    <w:rsid w:val="007D1E62"/>
    <w:rsid w:val="007D1EB8"/>
    <w:rsid w:val="007D1FF2"/>
    <w:rsid w:val="007D2054"/>
    <w:rsid w:val="007D209E"/>
    <w:rsid w:val="007D21CE"/>
    <w:rsid w:val="007D2230"/>
    <w:rsid w:val="007D227A"/>
    <w:rsid w:val="007D228E"/>
    <w:rsid w:val="007D22D1"/>
    <w:rsid w:val="007D234F"/>
    <w:rsid w:val="007D240F"/>
    <w:rsid w:val="007D2606"/>
    <w:rsid w:val="007D27AA"/>
    <w:rsid w:val="007D286F"/>
    <w:rsid w:val="007D2A97"/>
    <w:rsid w:val="007D2AE1"/>
    <w:rsid w:val="007D2F04"/>
    <w:rsid w:val="007D319E"/>
    <w:rsid w:val="007D323A"/>
    <w:rsid w:val="007D34FF"/>
    <w:rsid w:val="007D369D"/>
    <w:rsid w:val="007D36A7"/>
    <w:rsid w:val="007D394F"/>
    <w:rsid w:val="007D3B48"/>
    <w:rsid w:val="007D3CC7"/>
    <w:rsid w:val="007D3D24"/>
    <w:rsid w:val="007D3D7F"/>
    <w:rsid w:val="007D3FB5"/>
    <w:rsid w:val="007D4065"/>
    <w:rsid w:val="007D40A3"/>
    <w:rsid w:val="007D4116"/>
    <w:rsid w:val="007D4190"/>
    <w:rsid w:val="007D41C5"/>
    <w:rsid w:val="007D41CB"/>
    <w:rsid w:val="007D4392"/>
    <w:rsid w:val="007D4833"/>
    <w:rsid w:val="007D4A12"/>
    <w:rsid w:val="007D4BCE"/>
    <w:rsid w:val="007D4D42"/>
    <w:rsid w:val="007D4D7B"/>
    <w:rsid w:val="007D4E3F"/>
    <w:rsid w:val="007D4E56"/>
    <w:rsid w:val="007D53C8"/>
    <w:rsid w:val="007D5633"/>
    <w:rsid w:val="007D5707"/>
    <w:rsid w:val="007D5784"/>
    <w:rsid w:val="007D5AC1"/>
    <w:rsid w:val="007D5ADA"/>
    <w:rsid w:val="007D5B83"/>
    <w:rsid w:val="007D5CD8"/>
    <w:rsid w:val="007D5E88"/>
    <w:rsid w:val="007D616B"/>
    <w:rsid w:val="007D61A8"/>
    <w:rsid w:val="007D6240"/>
    <w:rsid w:val="007D659C"/>
    <w:rsid w:val="007D660A"/>
    <w:rsid w:val="007D67ED"/>
    <w:rsid w:val="007D68EF"/>
    <w:rsid w:val="007D692D"/>
    <w:rsid w:val="007D6FE3"/>
    <w:rsid w:val="007D7318"/>
    <w:rsid w:val="007D7324"/>
    <w:rsid w:val="007D74EC"/>
    <w:rsid w:val="007D75A9"/>
    <w:rsid w:val="007D768A"/>
    <w:rsid w:val="007D78E9"/>
    <w:rsid w:val="007D79FF"/>
    <w:rsid w:val="007D7B64"/>
    <w:rsid w:val="007D7F57"/>
    <w:rsid w:val="007E0204"/>
    <w:rsid w:val="007E02A7"/>
    <w:rsid w:val="007E02F7"/>
    <w:rsid w:val="007E054A"/>
    <w:rsid w:val="007E05D7"/>
    <w:rsid w:val="007E07A7"/>
    <w:rsid w:val="007E07BE"/>
    <w:rsid w:val="007E0801"/>
    <w:rsid w:val="007E0A5D"/>
    <w:rsid w:val="007E0B9E"/>
    <w:rsid w:val="007E0BA8"/>
    <w:rsid w:val="007E0DDB"/>
    <w:rsid w:val="007E0E57"/>
    <w:rsid w:val="007E0EF1"/>
    <w:rsid w:val="007E105E"/>
    <w:rsid w:val="007E139F"/>
    <w:rsid w:val="007E13D2"/>
    <w:rsid w:val="007E15FA"/>
    <w:rsid w:val="007E172E"/>
    <w:rsid w:val="007E18D5"/>
    <w:rsid w:val="007E18F5"/>
    <w:rsid w:val="007E1990"/>
    <w:rsid w:val="007E1C88"/>
    <w:rsid w:val="007E1DE5"/>
    <w:rsid w:val="007E1E0A"/>
    <w:rsid w:val="007E1F93"/>
    <w:rsid w:val="007E22D2"/>
    <w:rsid w:val="007E2520"/>
    <w:rsid w:val="007E25D1"/>
    <w:rsid w:val="007E2A30"/>
    <w:rsid w:val="007E2A62"/>
    <w:rsid w:val="007E2AF2"/>
    <w:rsid w:val="007E2BA0"/>
    <w:rsid w:val="007E2CFA"/>
    <w:rsid w:val="007E2E90"/>
    <w:rsid w:val="007E2F9E"/>
    <w:rsid w:val="007E303E"/>
    <w:rsid w:val="007E316B"/>
    <w:rsid w:val="007E31BD"/>
    <w:rsid w:val="007E334E"/>
    <w:rsid w:val="007E3456"/>
    <w:rsid w:val="007E3467"/>
    <w:rsid w:val="007E37DF"/>
    <w:rsid w:val="007E37EE"/>
    <w:rsid w:val="007E394F"/>
    <w:rsid w:val="007E397C"/>
    <w:rsid w:val="007E3A27"/>
    <w:rsid w:val="007E3B4C"/>
    <w:rsid w:val="007E3C5A"/>
    <w:rsid w:val="007E3E8F"/>
    <w:rsid w:val="007E4161"/>
    <w:rsid w:val="007E4171"/>
    <w:rsid w:val="007E4224"/>
    <w:rsid w:val="007E44E4"/>
    <w:rsid w:val="007E4519"/>
    <w:rsid w:val="007E4774"/>
    <w:rsid w:val="007E49CB"/>
    <w:rsid w:val="007E49D8"/>
    <w:rsid w:val="007E49EC"/>
    <w:rsid w:val="007E4A1B"/>
    <w:rsid w:val="007E4BF9"/>
    <w:rsid w:val="007E4CB3"/>
    <w:rsid w:val="007E4D71"/>
    <w:rsid w:val="007E4EA0"/>
    <w:rsid w:val="007E4F94"/>
    <w:rsid w:val="007E5032"/>
    <w:rsid w:val="007E5211"/>
    <w:rsid w:val="007E52B4"/>
    <w:rsid w:val="007E540D"/>
    <w:rsid w:val="007E555A"/>
    <w:rsid w:val="007E56BC"/>
    <w:rsid w:val="007E577C"/>
    <w:rsid w:val="007E57C4"/>
    <w:rsid w:val="007E59D7"/>
    <w:rsid w:val="007E5B71"/>
    <w:rsid w:val="007E5F15"/>
    <w:rsid w:val="007E5F77"/>
    <w:rsid w:val="007E6071"/>
    <w:rsid w:val="007E607E"/>
    <w:rsid w:val="007E61C8"/>
    <w:rsid w:val="007E66F8"/>
    <w:rsid w:val="007E67EC"/>
    <w:rsid w:val="007E6828"/>
    <w:rsid w:val="007E6C0B"/>
    <w:rsid w:val="007E6D90"/>
    <w:rsid w:val="007E6E73"/>
    <w:rsid w:val="007E6F3E"/>
    <w:rsid w:val="007E6FE0"/>
    <w:rsid w:val="007E7030"/>
    <w:rsid w:val="007E70AD"/>
    <w:rsid w:val="007E71EA"/>
    <w:rsid w:val="007E7571"/>
    <w:rsid w:val="007E77AC"/>
    <w:rsid w:val="007E77E1"/>
    <w:rsid w:val="007E786A"/>
    <w:rsid w:val="007E7B61"/>
    <w:rsid w:val="007E7C15"/>
    <w:rsid w:val="007E7C1C"/>
    <w:rsid w:val="007E7C4D"/>
    <w:rsid w:val="007E7CE2"/>
    <w:rsid w:val="007E7D4A"/>
    <w:rsid w:val="007E7E1C"/>
    <w:rsid w:val="007E7F0F"/>
    <w:rsid w:val="007F019D"/>
    <w:rsid w:val="007F034C"/>
    <w:rsid w:val="007F06FC"/>
    <w:rsid w:val="007F07E4"/>
    <w:rsid w:val="007F07FE"/>
    <w:rsid w:val="007F093A"/>
    <w:rsid w:val="007F0958"/>
    <w:rsid w:val="007F0ACF"/>
    <w:rsid w:val="007F0B2C"/>
    <w:rsid w:val="007F0BA0"/>
    <w:rsid w:val="007F0C40"/>
    <w:rsid w:val="007F0F37"/>
    <w:rsid w:val="007F10DF"/>
    <w:rsid w:val="007F1262"/>
    <w:rsid w:val="007F1300"/>
    <w:rsid w:val="007F16CD"/>
    <w:rsid w:val="007F17A2"/>
    <w:rsid w:val="007F191D"/>
    <w:rsid w:val="007F1940"/>
    <w:rsid w:val="007F1B92"/>
    <w:rsid w:val="007F1F26"/>
    <w:rsid w:val="007F201B"/>
    <w:rsid w:val="007F20D1"/>
    <w:rsid w:val="007F23B4"/>
    <w:rsid w:val="007F24C9"/>
    <w:rsid w:val="007F25DD"/>
    <w:rsid w:val="007F268D"/>
    <w:rsid w:val="007F27E8"/>
    <w:rsid w:val="007F27EE"/>
    <w:rsid w:val="007F283E"/>
    <w:rsid w:val="007F2966"/>
    <w:rsid w:val="007F2A85"/>
    <w:rsid w:val="007F2C6B"/>
    <w:rsid w:val="007F2D94"/>
    <w:rsid w:val="007F2E7E"/>
    <w:rsid w:val="007F30B7"/>
    <w:rsid w:val="007F3183"/>
    <w:rsid w:val="007F3220"/>
    <w:rsid w:val="007F3508"/>
    <w:rsid w:val="007F35B9"/>
    <w:rsid w:val="007F3786"/>
    <w:rsid w:val="007F37DC"/>
    <w:rsid w:val="007F3AE5"/>
    <w:rsid w:val="007F3CE2"/>
    <w:rsid w:val="007F3DCA"/>
    <w:rsid w:val="007F3E6C"/>
    <w:rsid w:val="007F4123"/>
    <w:rsid w:val="007F4527"/>
    <w:rsid w:val="007F4705"/>
    <w:rsid w:val="007F470C"/>
    <w:rsid w:val="007F48D5"/>
    <w:rsid w:val="007F4BEF"/>
    <w:rsid w:val="007F4C92"/>
    <w:rsid w:val="007F4CBD"/>
    <w:rsid w:val="007F4DB2"/>
    <w:rsid w:val="007F4DF4"/>
    <w:rsid w:val="007F4E1B"/>
    <w:rsid w:val="007F4F6E"/>
    <w:rsid w:val="007F5328"/>
    <w:rsid w:val="007F54E3"/>
    <w:rsid w:val="007F5549"/>
    <w:rsid w:val="007F57B2"/>
    <w:rsid w:val="007F58E9"/>
    <w:rsid w:val="007F5B23"/>
    <w:rsid w:val="007F5E98"/>
    <w:rsid w:val="007F5F07"/>
    <w:rsid w:val="007F5FD4"/>
    <w:rsid w:val="007F5FF6"/>
    <w:rsid w:val="007F62D7"/>
    <w:rsid w:val="007F639E"/>
    <w:rsid w:val="007F6453"/>
    <w:rsid w:val="007F6481"/>
    <w:rsid w:val="007F665E"/>
    <w:rsid w:val="007F66EF"/>
    <w:rsid w:val="007F674F"/>
    <w:rsid w:val="007F67D4"/>
    <w:rsid w:val="007F6871"/>
    <w:rsid w:val="007F68EC"/>
    <w:rsid w:val="007F6A71"/>
    <w:rsid w:val="007F6B18"/>
    <w:rsid w:val="007F6B99"/>
    <w:rsid w:val="007F6C90"/>
    <w:rsid w:val="007F7041"/>
    <w:rsid w:val="007F7077"/>
    <w:rsid w:val="007F70F9"/>
    <w:rsid w:val="007F7346"/>
    <w:rsid w:val="007F74AA"/>
    <w:rsid w:val="007F74B7"/>
    <w:rsid w:val="007F7604"/>
    <w:rsid w:val="007F76D0"/>
    <w:rsid w:val="007F77A9"/>
    <w:rsid w:val="007F78B9"/>
    <w:rsid w:val="007F78F9"/>
    <w:rsid w:val="007F7938"/>
    <w:rsid w:val="007F7990"/>
    <w:rsid w:val="007F7B38"/>
    <w:rsid w:val="007F7C1E"/>
    <w:rsid w:val="007F7D76"/>
    <w:rsid w:val="007F7ECC"/>
    <w:rsid w:val="0080002D"/>
    <w:rsid w:val="008001BF"/>
    <w:rsid w:val="0080021E"/>
    <w:rsid w:val="0080033B"/>
    <w:rsid w:val="0080045A"/>
    <w:rsid w:val="008004EE"/>
    <w:rsid w:val="008006AF"/>
    <w:rsid w:val="00800716"/>
    <w:rsid w:val="0080086B"/>
    <w:rsid w:val="00800AFA"/>
    <w:rsid w:val="00800BD7"/>
    <w:rsid w:val="00800FC4"/>
    <w:rsid w:val="00800FF8"/>
    <w:rsid w:val="008011B6"/>
    <w:rsid w:val="008012D7"/>
    <w:rsid w:val="008012ED"/>
    <w:rsid w:val="0080145A"/>
    <w:rsid w:val="008014DC"/>
    <w:rsid w:val="008019C6"/>
    <w:rsid w:val="00801A06"/>
    <w:rsid w:val="00801B5A"/>
    <w:rsid w:val="00801BFB"/>
    <w:rsid w:val="00801C9C"/>
    <w:rsid w:val="00801D50"/>
    <w:rsid w:val="00801D95"/>
    <w:rsid w:val="00801F66"/>
    <w:rsid w:val="008020DE"/>
    <w:rsid w:val="00802174"/>
    <w:rsid w:val="008022A0"/>
    <w:rsid w:val="00802405"/>
    <w:rsid w:val="0080247A"/>
    <w:rsid w:val="0080272D"/>
    <w:rsid w:val="008027C9"/>
    <w:rsid w:val="00802AD1"/>
    <w:rsid w:val="00802C46"/>
    <w:rsid w:val="00802DE7"/>
    <w:rsid w:val="00802FCD"/>
    <w:rsid w:val="008031D6"/>
    <w:rsid w:val="00803511"/>
    <w:rsid w:val="0080361E"/>
    <w:rsid w:val="008036B9"/>
    <w:rsid w:val="00803709"/>
    <w:rsid w:val="00803734"/>
    <w:rsid w:val="008039CF"/>
    <w:rsid w:val="00803AB1"/>
    <w:rsid w:val="00803CDD"/>
    <w:rsid w:val="00803D0C"/>
    <w:rsid w:val="00803D3F"/>
    <w:rsid w:val="00803F06"/>
    <w:rsid w:val="00804089"/>
    <w:rsid w:val="008041ED"/>
    <w:rsid w:val="00804241"/>
    <w:rsid w:val="008042A9"/>
    <w:rsid w:val="008042D9"/>
    <w:rsid w:val="00804356"/>
    <w:rsid w:val="0080437F"/>
    <w:rsid w:val="0080466A"/>
    <w:rsid w:val="008046E3"/>
    <w:rsid w:val="008048C7"/>
    <w:rsid w:val="00804A58"/>
    <w:rsid w:val="00804B2E"/>
    <w:rsid w:val="00804D15"/>
    <w:rsid w:val="00804D1B"/>
    <w:rsid w:val="00804DA2"/>
    <w:rsid w:val="00804FC5"/>
    <w:rsid w:val="008050F4"/>
    <w:rsid w:val="0080519A"/>
    <w:rsid w:val="00805269"/>
    <w:rsid w:val="008054FD"/>
    <w:rsid w:val="008055E3"/>
    <w:rsid w:val="00805674"/>
    <w:rsid w:val="00805AB9"/>
    <w:rsid w:val="00805C55"/>
    <w:rsid w:val="00805C89"/>
    <w:rsid w:val="00805CDC"/>
    <w:rsid w:val="00805EA1"/>
    <w:rsid w:val="00805EBB"/>
    <w:rsid w:val="00806328"/>
    <w:rsid w:val="00806408"/>
    <w:rsid w:val="008065F9"/>
    <w:rsid w:val="00806606"/>
    <w:rsid w:val="0080665A"/>
    <w:rsid w:val="00806782"/>
    <w:rsid w:val="0080686E"/>
    <w:rsid w:val="00806A0F"/>
    <w:rsid w:val="00806AF6"/>
    <w:rsid w:val="00806AFC"/>
    <w:rsid w:val="00806BA8"/>
    <w:rsid w:val="00806E2A"/>
    <w:rsid w:val="00806F2F"/>
    <w:rsid w:val="008070C1"/>
    <w:rsid w:val="00807494"/>
    <w:rsid w:val="0080755C"/>
    <w:rsid w:val="008076DA"/>
    <w:rsid w:val="00807720"/>
    <w:rsid w:val="0080785A"/>
    <w:rsid w:val="00807C48"/>
    <w:rsid w:val="00807CF5"/>
    <w:rsid w:val="00807FDA"/>
    <w:rsid w:val="00810554"/>
    <w:rsid w:val="00810852"/>
    <w:rsid w:val="008109B3"/>
    <w:rsid w:val="00810FB4"/>
    <w:rsid w:val="0081121B"/>
    <w:rsid w:val="00811566"/>
    <w:rsid w:val="008119AE"/>
    <w:rsid w:val="00811B15"/>
    <w:rsid w:val="00811D74"/>
    <w:rsid w:val="00811DB0"/>
    <w:rsid w:val="008120CF"/>
    <w:rsid w:val="00812146"/>
    <w:rsid w:val="0081223A"/>
    <w:rsid w:val="008123AF"/>
    <w:rsid w:val="008123DB"/>
    <w:rsid w:val="00812483"/>
    <w:rsid w:val="00812566"/>
    <w:rsid w:val="008126C0"/>
    <w:rsid w:val="00812786"/>
    <w:rsid w:val="008127DB"/>
    <w:rsid w:val="00812E2A"/>
    <w:rsid w:val="00812E43"/>
    <w:rsid w:val="00813006"/>
    <w:rsid w:val="0081301B"/>
    <w:rsid w:val="00813049"/>
    <w:rsid w:val="008130FA"/>
    <w:rsid w:val="008131E1"/>
    <w:rsid w:val="008132AD"/>
    <w:rsid w:val="008135B9"/>
    <w:rsid w:val="00813969"/>
    <w:rsid w:val="00813FCE"/>
    <w:rsid w:val="00814009"/>
    <w:rsid w:val="008142C3"/>
    <w:rsid w:val="008144AF"/>
    <w:rsid w:val="008145AA"/>
    <w:rsid w:val="0081461D"/>
    <w:rsid w:val="008147C1"/>
    <w:rsid w:val="00814824"/>
    <w:rsid w:val="0081493B"/>
    <w:rsid w:val="00814AE1"/>
    <w:rsid w:val="00814BE9"/>
    <w:rsid w:val="00814E4B"/>
    <w:rsid w:val="00814F39"/>
    <w:rsid w:val="008151A3"/>
    <w:rsid w:val="008151E4"/>
    <w:rsid w:val="008153D7"/>
    <w:rsid w:val="00815480"/>
    <w:rsid w:val="0081570F"/>
    <w:rsid w:val="008159B5"/>
    <w:rsid w:val="00815B4B"/>
    <w:rsid w:val="00815B81"/>
    <w:rsid w:val="00815CCE"/>
    <w:rsid w:val="00815DEC"/>
    <w:rsid w:val="00816162"/>
    <w:rsid w:val="00816508"/>
    <w:rsid w:val="008168CE"/>
    <w:rsid w:val="00816911"/>
    <w:rsid w:val="00816929"/>
    <w:rsid w:val="0081699E"/>
    <w:rsid w:val="00816BAA"/>
    <w:rsid w:val="00816E75"/>
    <w:rsid w:val="00816FF0"/>
    <w:rsid w:val="008172E0"/>
    <w:rsid w:val="008174AD"/>
    <w:rsid w:val="008174C4"/>
    <w:rsid w:val="00817649"/>
    <w:rsid w:val="008177CE"/>
    <w:rsid w:val="00817905"/>
    <w:rsid w:val="00817B27"/>
    <w:rsid w:val="00817BB5"/>
    <w:rsid w:val="00817C71"/>
    <w:rsid w:val="00817CAA"/>
    <w:rsid w:val="00817DB1"/>
    <w:rsid w:val="00817DBF"/>
    <w:rsid w:val="00817FF0"/>
    <w:rsid w:val="00820014"/>
    <w:rsid w:val="008203EB"/>
    <w:rsid w:val="008204A5"/>
    <w:rsid w:val="0082052D"/>
    <w:rsid w:val="00820699"/>
    <w:rsid w:val="008206B0"/>
    <w:rsid w:val="008207BA"/>
    <w:rsid w:val="00820881"/>
    <w:rsid w:val="008209E2"/>
    <w:rsid w:val="00820ADB"/>
    <w:rsid w:val="00820B2F"/>
    <w:rsid w:val="00820C54"/>
    <w:rsid w:val="00820CD9"/>
    <w:rsid w:val="00820E0D"/>
    <w:rsid w:val="00820E6F"/>
    <w:rsid w:val="00820F24"/>
    <w:rsid w:val="00820FD2"/>
    <w:rsid w:val="008211F2"/>
    <w:rsid w:val="0082122C"/>
    <w:rsid w:val="00821360"/>
    <w:rsid w:val="008213B8"/>
    <w:rsid w:val="008217A6"/>
    <w:rsid w:val="0082182A"/>
    <w:rsid w:val="00821A63"/>
    <w:rsid w:val="00821A71"/>
    <w:rsid w:val="00821B1E"/>
    <w:rsid w:val="00821D64"/>
    <w:rsid w:val="00821E16"/>
    <w:rsid w:val="00821E39"/>
    <w:rsid w:val="00821E6E"/>
    <w:rsid w:val="0082206B"/>
    <w:rsid w:val="00822150"/>
    <w:rsid w:val="008221BE"/>
    <w:rsid w:val="008222B4"/>
    <w:rsid w:val="008225B3"/>
    <w:rsid w:val="008225B7"/>
    <w:rsid w:val="008226C7"/>
    <w:rsid w:val="00822943"/>
    <w:rsid w:val="008229F7"/>
    <w:rsid w:val="00822A4B"/>
    <w:rsid w:val="00822C27"/>
    <w:rsid w:val="00822F12"/>
    <w:rsid w:val="0082316E"/>
    <w:rsid w:val="0082320C"/>
    <w:rsid w:val="0082326A"/>
    <w:rsid w:val="008238C9"/>
    <w:rsid w:val="00823960"/>
    <w:rsid w:val="00823B92"/>
    <w:rsid w:val="00823CAF"/>
    <w:rsid w:val="00823E16"/>
    <w:rsid w:val="00823E74"/>
    <w:rsid w:val="00823F39"/>
    <w:rsid w:val="00823F7A"/>
    <w:rsid w:val="00823FE6"/>
    <w:rsid w:val="008240BA"/>
    <w:rsid w:val="00824163"/>
    <w:rsid w:val="008241D1"/>
    <w:rsid w:val="008241DA"/>
    <w:rsid w:val="0082423A"/>
    <w:rsid w:val="008242E9"/>
    <w:rsid w:val="008244DE"/>
    <w:rsid w:val="008245C4"/>
    <w:rsid w:val="008247A7"/>
    <w:rsid w:val="008247CA"/>
    <w:rsid w:val="00824D05"/>
    <w:rsid w:val="00824D6A"/>
    <w:rsid w:val="00824EB7"/>
    <w:rsid w:val="008252A1"/>
    <w:rsid w:val="00825329"/>
    <w:rsid w:val="0082538A"/>
    <w:rsid w:val="008255A8"/>
    <w:rsid w:val="008255C5"/>
    <w:rsid w:val="00825612"/>
    <w:rsid w:val="008257AA"/>
    <w:rsid w:val="00825A57"/>
    <w:rsid w:val="00825D2E"/>
    <w:rsid w:val="00825E93"/>
    <w:rsid w:val="00825F2B"/>
    <w:rsid w:val="00826085"/>
    <w:rsid w:val="008262A3"/>
    <w:rsid w:val="00826316"/>
    <w:rsid w:val="00826367"/>
    <w:rsid w:val="00826577"/>
    <w:rsid w:val="008265ED"/>
    <w:rsid w:val="00826651"/>
    <w:rsid w:val="00826761"/>
    <w:rsid w:val="00826A4E"/>
    <w:rsid w:val="00826D78"/>
    <w:rsid w:val="00826DC2"/>
    <w:rsid w:val="00826EA0"/>
    <w:rsid w:val="008271F8"/>
    <w:rsid w:val="00827366"/>
    <w:rsid w:val="00827517"/>
    <w:rsid w:val="00827750"/>
    <w:rsid w:val="008277F8"/>
    <w:rsid w:val="00827994"/>
    <w:rsid w:val="008279FA"/>
    <w:rsid w:val="00827DE4"/>
    <w:rsid w:val="00827FB8"/>
    <w:rsid w:val="00830429"/>
    <w:rsid w:val="00830629"/>
    <w:rsid w:val="00830671"/>
    <w:rsid w:val="0083084D"/>
    <w:rsid w:val="0083086A"/>
    <w:rsid w:val="00830AC8"/>
    <w:rsid w:val="00830AE1"/>
    <w:rsid w:val="00830B98"/>
    <w:rsid w:val="00830C40"/>
    <w:rsid w:val="00830F19"/>
    <w:rsid w:val="00830F38"/>
    <w:rsid w:val="00830F68"/>
    <w:rsid w:val="00830FA2"/>
    <w:rsid w:val="0083107C"/>
    <w:rsid w:val="008311F2"/>
    <w:rsid w:val="008315FF"/>
    <w:rsid w:val="00831931"/>
    <w:rsid w:val="00831A3A"/>
    <w:rsid w:val="00831A91"/>
    <w:rsid w:val="00831B18"/>
    <w:rsid w:val="00831C08"/>
    <w:rsid w:val="00831C2B"/>
    <w:rsid w:val="00831D1D"/>
    <w:rsid w:val="00831D64"/>
    <w:rsid w:val="00831E0C"/>
    <w:rsid w:val="00831E51"/>
    <w:rsid w:val="00832093"/>
    <w:rsid w:val="00832256"/>
    <w:rsid w:val="00832460"/>
    <w:rsid w:val="00832560"/>
    <w:rsid w:val="00832750"/>
    <w:rsid w:val="00832953"/>
    <w:rsid w:val="00832B10"/>
    <w:rsid w:val="00832BC6"/>
    <w:rsid w:val="00832BFC"/>
    <w:rsid w:val="00832C58"/>
    <w:rsid w:val="00832D71"/>
    <w:rsid w:val="00832DB0"/>
    <w:rsid w:val="00832DDA"/>
    <w:rsid w:val="00832E66"/>
    <w:rsid w:val="00832E93"/>
    <w:rsid w:val="008330F9"/>
    <w:rsid w:val="008331EA"/>
    <w:rsid w:val="008332B9"/>
    <w:rsid w:val="008332DA"/>
    <w:rsid w:val="0083356A"/>
    <w:rsid w:val="0083362A"/>
    <w:rsid w:val="00833961"/>
    <w:rsid w:val="00833C1A"/>
    <w:rsid w:val="00833DBD"/>
    <w:rsid w:val="008342AD"/>
    <w:rsid w:val="00834396"/>
    <w:rsid w:val="008346AD"/>
    <w:rsid w:val="008348A1"/>
    <w:rsid w:val="00834BBC"/>
    <w:rsid w:val="00834C5A"/>
    <w:rsid w:val="00834C94"/>
    <w:rsid w:val="00834D3E"/>
    <w:rsid w:val="00834E02"/>
    <w:rsid w:val="00835069"/>
    <w:rsid w:val="0083523F"/>
    <w:rsid w:val="00835347"/>
    <w:rsid w:val="008353D5"/>
    <w:rsid w:val="00835451"/>
    <w:rsid w:val="008355F6"/>
    <w:rsid w:val="00835699"/>
    <w:rsid w:val="0083580D"/>
    <w:rsid w:val="00835829"/>
    <w:rsid w:val="0083586C"/>
    <w:rsid w:val="00835B6C"/>
    <w:rsid w:val="0083622C"/>
    <w:rsid w:val="008363FA"/>
    <w:rsid w:val="00836525"/>
    <w:rsid w:val="00836849"/>
    <w:rsid w:val="00836B71"/>
    <w:rsid w:val="00836DE1"/>
    <w:rsid w:val="00836F15"/>
    <w:rsid w:val="00837050"/>
    <w:rsid w:val="00837132"/>
    <w:rsid w:val="008372C9"/>
    <w:rsid w:val="00837303"/>
    <w:rsid w:val="00837363"/>
    <w:rsid w:val="00837535"/>
    <w:rsid w:val="008376B6"/>
    <w:rsid w:val="00837E1E"/>
    <w:rsid w:val="00837F53"/>
    <w:rsid w:val="00840001"/>
    <w:rsid w:val="0084006A"/>
    <w:rsid w:val="00840A1F"/>
    <w:rsid w:val="00840A42"/>
    <w:rsid w:val="00840A48"/>
    <w:rsid w:val="00840AB1"/>
    <w:rsid w:val="008410E9"/>
    <w:rsid w:val="008412D8"/>
    <w:rsid w:val="008414EC"/>
    <w:rsid w:val="0084155E"/>
    <w:rsid w:val="008415F1"/>
    <w:rsid w:val="008417D1"/>
    <w:rsid w:val="008419DD"/>
    <w:rsid w:val="00841BB8"/>
    <w:rsid w:val="00841BBC"/>
    <w:rsid w:val="00841DF0"/>
    <w:rsid w:val="00841F41"/>
    <w:rsid w:val="00842395"/>
    <w:rsid w:val="00842499"/>
    <w:rsid w:val="00842893"/>
    <w:rsid w:val="00842920"/>
    <w:rsid w:val="00842B85"/>
    <w:rsid w:val="00842C26"/>
    <w:rsid w:val="00842C5E"/>
    <w:rsid w:val="008430DE"/>
    <w:rsid w:val="00843389"/>
    <w:rsid w:val="008433B3"/>
    <w:rsid w:val="008433E0"/>
    <w:rsid w:val="0084367B"/>
    <w:rsid w:val="008436E1"/>
    <w:rsid w:val="00843767"/>
    <w:rsid w:val="00843787"/>
    <w:rsid w:val="0084379B"/>
    <w:rsid w:val="00843950"/>
    <w:rsid w:val="00843B29"/>
    <w:rsid w:val="00843CC0"/>
    <w:rsid w:val="00843FD2"/>
    <w:rsid w:val="0084400F"/>
    <w:rsid w:val="00844019"/>
    <w:rsid w:val="008440C3"/>
    <w:rsid w:val="008442C4"/>
    <w:rsid w:val="00844316"/>
    <w:rsid w:val="008444EC"/>
    <w:rsid w:val="0084451E"/>
    <w:rsid w:val="008446CA"/>
    <w:rsid w:val="00844B3A"/>
    <w:rsid w:val="00844B5B"/>
    <w:rsid w:val="00844CA8"/>
    <w:rsid w:val="00844E12"/>
    <w:rsid w:val="00844EA2"/>
    <w:rsid w:val="00844EC1"/>
    <w:rsid w:val="0084511A"/>
    <w:rsid w:val="00845211"/>
    <w:rsid w:val="008455F0"/>
    <w:rsid w:val="008456B3"/>
    <w:rsid w:val="00845B9D"/>
    <w:rsid w:val="00845C77"/>
    <w:rsid w:val="00845D4B"/>
    <w:rsid w:val="00846205"/>
    <w:rsid w:val="00846409"/>
    <w:rsid w:val="00846583"/>
    <w:rsid w:val="0084666A"/>
    <w:rsid w:val="008467C7"/>
    <w:rsid w:val="00846FAE"/>
    <w:rsid w:val="00847157"/>
    <w:rsid w:val="008471EE"/>
    <w:rsid w:val="008474B8"/>
    <w:rsid w:val="0084778E"/>
    <w:rsid w:val="008478DB"/>
    <w:rsid w:val="00847998"/>
    <w:rsid w:val="00847A11"/>
    <w:rsid w:val="00847DAA"/>
    <w:rsid w:val="00847DB5"/>
    <w:rsid w:val="00847E94"/>
    <w:rsid w:val="0085062A"/>
    <w:rsid w:val="0085071E"/>
    <w:rsid w:val="008508C5"/>
    <w:rsid w:val="0085098F"/>
    <w:rsid w:val="008509A8"/>
    <w:rsid w:val="00850E78"/>
    <w:rsid w:val="00850E79"/>
    <w:rsid w:val="00850EF2"/>
    <w:rsid w:val="00850F94"/>
    <w:rsid w:val="00851039"/>
    <w:rsid w:val="008511F7"/>
    <w:rsid w:val="0085133A"/>
    <w:rsid w:val="0085146A"/>
    <w:rsid w:val="008518A9"/>
    <w:rsid w:val="008518B0"/>
    <w:rsid w:val="00851BB8"/>
    <w:rsid w:val="00851C26"/>
    <w:rsid w:val="00851EDA"/>
    <w:rsid w:val="008522AE"/>
    <w:rsid w:val="00852330"/>
    <w:rsid w:val="0085251F"/>
    <w:rsid w:val="00852587"/>
    <w:rsid w:val="008525AD"/>
    <w:rsid w:val="008526C5"/>
    <w:rsid w:val="008528DE"/>
    <w:rsid w:val="0085291D"/>
    <w:rsid w:val="00852941"/>
    <w:rsid w:val="00852B38"/>
    <w:rsid w:val="0085308C"/>
    <w:rsid w:val="008530AE"/>
    <w:rsid w:val="008534AE"/>
    <w:rsid w:val="008535F7"/>
    <w:rsid w:val="008536A4"/>
    <w:rsid w:val="00853934"/>
    <w:rsid w:val="00853AB6"/>
    <w:rsid w:val="00853BD4"/>
    <w:rsid w:val="00853FCA"/>
    <w:rsid w:val="00854236"/>
    <w:rsid w:val="00854490"/>
    <w:rsid w:val="00854596"/>
    <w:rsid w:val="00854699"/>
    <w:rsid w:val="0085471E"/>
    <w:rsid w:val="008548A1"/>
    <w:rsid w:val="00854A22"/>
    <w:rsid w:val="00854B57"/>
    <w:rsid w:val="00854C65"/>
    <w:rsid w:val="00854D13"/>
    <w:rsid w:val="00854DD1"/>
    <w:rsid w:val="00854E5B"/>
    <w:rsid w:val="00854E61"/>
    <w:rsid w:val="00854E89"/>
    <w:rsid w:val="00854F9E"/>
    <w:rsid w:val="008550F2"/>
    <w:rsid w:val="0085522E"/>
    <w:rsid w:val="008554B8"/>
    <w:rsid w:val="008554F3"/>
    <w:rsid w:val="0085567E"/>
    <w:rsid w:val="0085576B"/>
    <w:rsid w:val="008558B8"/>
    <w:rsid w:val="00855AC1"/>
    <w:rsid w:val="00855F04"/>
    <w:rsid w:val="0085600E"/>
    <w:rsid w:val="008564E9"/>
    <w:rsid w:val="00856615"/>
    <w:rsid w:val="0085663F"/>
    <w:rsid w:val="00856772"/>
    <w:rsid w:val="00856A3B"/>
    <w:rsid w:val="00856C34"/>
    <w:rsid w:val="00856D3F"/>
    <w:rsid w:val="00856EE5"/>
    <w:rsid w:val="00857155"/>
    <w:rsid w:val="00857283"/>
    <w:rsid w:val="008576DB"/>
    <w:rsid w:val="0085779D"/>
    <w:rsid w:val="00857960"/>
    <w:rsid w:val="00857A88"/>
    <w:rsid w:val="00857D4B"/>
    <w:rsid w:val="00857E0B"/>
    <w:rsid w:val="00857EA0"/>
    <w:rsid w:val="0086007C"/>
    <w:rsid w:val="00860243"/>
    <w:rsid w:val="00860285"/>
    <w:rsid w:val="00860308"/>
    <w:rsid w:val="008603C5"/>
    <w:rsid w:val="00860452"/>
    <w:rsid w:val="0086059C"/>
    <w:rsid w:val="008605B1"/>
    <w:rsid w:val="008605EC"/>
    <w:rsid w:val="00860662"/>
    <w:rsid w:val="0086082A"/>
    <w:rsid w:val="00860AB6"/>
    <w:rsid w:val="00860B0A"/>
    <w:rsid w:val="00860BF5"/>
    <w:rsid w:val="00860F8A"/>
    <w:rsid w:val="00860FAD"/>
    <w:rsid w:val="00861357"/>
    <w:rsid w:val="00861665"/>
    <w:rsid w:val="00861BF7"/>
    <w:rsid w:val="00861BFC"/>
    <w:rsid w:val="00862302"/>
    <w:rsid w:val="00862321"/>
    <w:rsid w:val="008623C3"/>
    <w:rsid w:val="008623D6"/>
    <w:rsid w:val="008623DF"/>
    <w:rsid w:val="008623ED"/>
    <w:rsid w:val="00862426"/>
    <w:rsid w:val="008624AC"/>
    <w:rsid w:val="0086250E"/>
    <w:rsid w:val="008626D1"/>
    <w:rsid w:val="0086284B"/>
    <w:rsid w:val="008628AE"/>
    <w:rsid w:val="008629D0"/>
    <w:rsid w:val="00862A83"/>
    <w:rsid w:val="00862B21"/>
    <w:rsid w:val="00862B37"/>
    <w:rsid w:val="00862BB2"/>
    <w:rsid w:val="00862CCA"/>
    <w:rsid w:val="00862D76"/>
    <w:rsid w:val="00863507"/>
    <w:rsid w:val="00863668"/>
    <w:rsid w:val="008636DA"/>
    <w:rsid w:val="008636DC"/>
    <w:rsid w:val="00863786"/>
    <w:rsid w:val="00863956"/>
    <w:rsid w:val="008639F7"/>
    <w:rsid w:val="00863CEC"/>
    <w:rsid w:val="00863E82"/>
    <w:rsid w:val="00863EBD"/>
    <w:rsid w:val="00863FC3"/>
    <w:rsid w:val="008643C8"/>
    <w:rsid w:val="008644E6"/>
    <w:rsid w:val="00864509"/>
    <w:rsid w:val="0086453C"/>
    <w:rsid w:val="00864648"/>
    <w:rsid w:val="0086498B"/>
    <w:rsid w:val="00864A6D"/>
    <w:rsid w:val="00864B9C"/>
    <w:rsid w:val="00864C00"/>
    <w:rsid w:val="00864E0E"/>
    <w:rsid w:val="00864E1C"/>
    <w:rsid w:val="00864F19"/>
    <w:rsid w:val="00864F76"/>
    <w:rsid w:val="00864FDC"/>
    <w:rsid w:val="008653A9"/>
    <w:rsid w:val="008653C4"/>
    <w:rsid w:val="0086546F"/>
    <w:rsid w:val="0086547E"/>
    <w:rsid w:val="008654BA"/>
    <w:rsid w:val="008656A3"/>
    <w:rsid w:val="008658F7"/>
    <w:rsid w:val="00865C05"/>
    <w:rsid w:val="00865D24"/>
    <w:rsid w:val="00865DE2"/>
    <w:rsid w:val="008660CB"/>
    <w:rsid w:val="00866198"/>
    <w:rsid w:val="008661EB"/>
    <w:rsid w:val="0086620C"/>
    <w:rsid w:val="008662F4"/>
    <w:rsid w:val="0086654A"/>
    <w:rsid w:val="00866550"/>
    <w:rsid w:val="008666FE"/>
    <w:rsid w:val="00866725"/>
    <w:rsid w:val="0086672E"/>
    <w:rsid w:val="008667E9"/>
    <w:rsid w:val="008667ED"/>
    <w:rsid w:val="00866B69"/>
    <w:rsid w:val="00866DF5"/>
    <w:rsid w:val="00866F79"/>
    <w:rsid w:val="00867009"/>
    <w:rsid w:val="00867138"/>
    <w:rsid w:val="008671EF"/>
    <w:rsid w:val="00867397"/>
    <w:rsid w:val="00867573"/>
    <w:rsid w:val="008675AB"/>
    <w:rsid w:val="008675CD"/>
    <w:rsid w:val="0086762D"/>
    <w:rsid w:val="00867853"/>
    <w:rsid w:val="0086795F"/>
    <w:rsid w:val="00867B21"/>
    <w:rsid w:val="00867B51"/>
    <w:rsid w:val="00867BE7"/>
    <w:rsid w:val="00867BEC"/>
    <w:rsid w:val="00867C30"/>
    <w:rsid w:val="00867E9B"/>
    <w:rsid w:val="00867FFE"/>
    <w:rsid w:val="00870138"/>
    <w:rsid w:val="00870388"/>
    <w:rsid w:val="00870415"/>
    <w:rsid w:val="00870454"/>
    <w:rsid w:val="008705B0"/>
    <w:rsid w:val="00870639"/>
    <w:rsid w:val="00870A26"/>
    <w:rsid w:val="00870A93"/>
    <w:rsid w:val="00870C67"/>
    <w:rsid w:val="00871011"/>
    <w:rsid w:val="00871029"/>
    <w:rsid w:val="00871139"/>
    <w:rsid w:val="00871904"/>
    <w:rsid w:val="008719D1"/>
    <w:rsid w:val="00871BF0"/>
    <w:rsid w:val="0087201F"/>
    <w:rsid w:val="0087209E"/>
    <w:rsid w:val="008721B6"/>
    <w:rsid w:val="008722F0"/>
    <w:rsid w:val="008725BE"/>
    <w:rsid w:val="00872703"/>
    <w:rsid w:val="0087281C"/>
    <w:rsid w:val="00872D53"/>
    <w:rsid w:val="00872F4F"/>
    <w:rsid w:val="0087309A"/>
    <w:rsid w:val="00873192"/>
    <w:rsid w:val="008731CD"/>
    <w:rsid w:val="00873234"/>
    <w:rsid w:val="008732A8"/>
    <w:rsid w:val="008732E3"/>
    <w:rsid w:val="0087343C"/>
    <w:rsid w:val="00873452"/>
    <w:rsid w:val="00873A95"/>
    <w:rsid w:val="00873BB6"/>
    <w:rsid w:val="00873C62"/>
    <w:rsid w:val="00873CB9"/>
    <w:rsid w:val="00873E20"/>
    <w:rsid w:val="00874034"/>
    <w:rsid w:val="00874078"/>
    <w:rsid w:val="0087409C"/>
    <w:rsid w:val="00874122"/>
    <w:rsid w:val="008741FA"/>
    <w:rsid w:val="00874679"/>
    <w:rsid w:val="008747E6"/>
    <w:rsid w:val="00874828"/>
    <w:rsid w:val="00874974"/>
    <w:rsid w:val="00874978"/>
    <w:rsid w:val="00874B8C"/>
    <w:rsid w:val="00874E80"/>
    <w:rsid w:val="00874F3F"/>
    <w:rsid w:val="00874F4F"/>
    <w:rsid w:val="00874FBD"/>
    <w:rsid w:val="0087503A"/>
    <w:rsid w:val="00875526"/>
    <w:rsid w:val="008757D4"/>
    <w:rsid w:val="00875A12"/>
    <w:rsid w:val="00875AF5"/>
    <w:rsid w:val="00875B2D"/>
    <w:rsid w:val="00875C8E"/>
    <w:rsid w:val="00875CE4"/>
    <w:rsid w:val="00875D58"/>
    <w:rsid w:val="00875DA7"/>
    <w:rsid w:val="00875DD2"/>
    <w:rsid w:val="00875E3F"/>
    <w:rsid w:val="00876103"/>
    <w:rsid w:val="00876109"/>
    <w:rsid w:val="008761F5"/>
    <w:rsid w:val="008762EA"/>
    <w:rsid w:val="0087636E"/>
    <w:rsid w:val="008764BC"/>
    <w:rsid w:val="00876623"/>
    <w:rsid w:val="0087676B"/>
    <w:rsid w:val="00876835"/>
    <w:rsid w:val="0087689D"/>
    <w:rsid w:val="00876BFE"/>
    <w:rsid w:val="00876D3D"/>
    <w:rsid w:val="00876E9C"/>
    <w:rsid w:val="00876FF3"/>
    <w:rsid w:val="00877042"/>
    <w:rsid w:val="008771EF"/>
    <w:rsid w:val="0087729A"/>
    <w:rsid w:val="008775EB"/>
    <w:rsid w:val="00877634"/>
    <w:rsid w:val="00877643"/>
    <w:rsid w:val="008776F6"/>
    <w:rsid w:val="00877814"/>
    <w:rsid w:val="00877A7A"/>
    <w:rsid w:val="00877C88"/>
    <w:rsid w:val="00877E36"/>
    <w:rsid w:val="00877E8D"/>
    <w:rsid w:val="00877EFF"/>
    <w:rsid w:val="00877FC2"/>
    <w:rsid w:val="00880288"/>
    <w:rsid w:val="0088030B"/>
    <w:rsid w:val="00880435"/>
    <w:rsid w:val="00880563"/>
    <w:rsid w:val="0088068E"/>
    <w:rsid w:val="00880765"/>
    <w:rsid w:val="00880798"/>
    <w:rsid w:val="00880849"/>
    <w:rsid w:val="00880A73"/>
    <w:rsid w:val="00880B03"/>
    <w:rsid w:val="00880BA1"/>
    <w:rsid w:val="00880D13"/>
    <w:rsid w:val="00880D32"/>
    <w:rsid w:val="00880EF0"/>
    <w:rsid w:val="00880F99"/>
    <w:rsid w:val="00880FE7"/>
    <w:rsid w:val="0088129C"/>
    <w:rsid w:val="008812E7"/>
    <w:rsid w:val="0088139B"/>
    <w:rsid w:val="008815F3"/>
    <w:rsid w:val="00881821"/>
    <w:rsid w:val="008818F8"/>
    <w:rsid w:val="008819A6"/>
    <w:rsid w:val="00881C7A"/>
    <w:rsid w:val="00881C82"/>
    <w:rsid w:val="00881CFE"/>
    <w:rsid w:val="00881DB2"/>
    <w:rsid w:val="00881ED4"/>
    <w:rsid w:val="00881FCD"/>
    <w:rsid w:val="00881FE6"/>
    <w:rsid w:val="00882232"/>
    <w:rsid w:val="008823BE"/>
    <w:rsid w:val="00882492"/>
    <w:rsid w:val="008824AC"/>
    <w:rsid w:val="00882547"/>
    <w:rsid w:val="008826CD"/>
    <w:rsid w:val="008827B3"/>
    <w:rsid w:val="008829DE"/>
    <w:rsid w:val="00882ADE"/>
    <w:rsid w:val="00882C27"/>
    <w:rsid w:val="00882EEA"/>
    <w:rsid w:val="00883085"/>
    <w:rsid w:val="008830EC"/>
    <w:rsid w:val="0088359D"/>
    <w:rsid w:val="00883905"/>
    <w:rsid w:val="00883BB4"/>
    <w:rsid w:val="00883C1C"/>
    <w:rsid w:val="00883C7E"/>
    <w:rsid w:val="00883D09"/>
    <w:rsid w:val="00883D6B"/>
    <w:rsid w:val="00883D7D"/>
    <w:rsid w:val="00883DDB"/>
    <w:rsid w:val="00883EE5"/>
    <w:rsid w:val="008845DA"/>
    <w:rsid w:val="00884631"/>
    <w:rsid w:val="00884668"/>
    <w:rsid w:val="0088497D"/>
    <w:rsid w:val="0088498A"/>
    <w:rsid w:val="00884BD4"/>
    <w:rsid w:val="00884C1E"/>
    <w:rsid w:val="00884D04"/>
    <w:rsid w:val="00884D70"/>
    <w:rsid w:val="00884F74"/>
    <w:rsid w:val="00885055"/>
    <w:rsid w:val="00885118"/>
    <w:rsid w:val="008853D4"/>
    <w:rsid w:val="008855D5"/>
    <w:rsid w:val="0088560B"/>
    <w:rsid w:val="0088591D"/>
    <w:rsid w:val="00885922"/>
    <w:rsid w:val="00885A14"/>
    <w:rsid w:val="00885BA8"/>
    <w:rsid w:val="00885C22"/>
    <w:rsid w:val="00885CCD"/>
    <w:rsid w:val="00885E46"/>
    <w:rsid w:val="00885E6F"/>
    <w:rsid w:val="00885ECB"/>
    <w:rsid w:val="00885F62"/>
    <w:rsid w:val="00886023"/>
    <w:rsid w:val="0088609D"/>
    <w:rsid w:val="0088626B"/>
    <w:rsid w:val="008867C1"/>
    <w:rsid w:val="00886856"/>
    <w:rsid w:val="008868C4"/>
    <w:rsid w:val="00886ACD"/>
    <w:rsid w:val="00886AEB"/>
    <w:rsid w:val="00886BF8"/>
    <w:rsid w:val="00886D10"/>
    <w:rsid w:val="00886D1F"/>
    <w:rsid w:val="00886EAD"/>
    <w:rsid w:val="00886EDD"/>
    <w:rsid w:val="00886EEB"/>
    <w:rsid w:val="008871D0"/>
    <w:rsid w:val="00887207"/>
    <w:rsid w:val="0088726F"/>
    <w:rsid w:val="00887403"/>
    <w:rsid w:val="00887493"/>
    <w:rsid w:val="008874B4"/>
    <w:rsid w:val="008875B3"/>
    <w:rsid w:val="008878DA"/>
    <w:rsid w:val="00887915"/>
    <w:rsid w:val="008879DE"/>
    <w:rsid w:val="00887A3D"/>
    <w:rsid w:val="00887C66"/>
    <w:rsid w:val="00887D75"/>
    <w:rsid w:val="00887DD4"/>
    <w:rsid w:val="00887E5F"/>
    <w:rsid w:val="00887F11"/>
    <w:rsid w:val="00887F6A"/>
    <w:rsid w:val="00890220"/>
    <w:rsid w:val="008902D6"/>
    <w:rsid w:val="008904A2"/>
    <w:rsid w:val="008906E7"/>
    <w:rsid w:val="00890743"/>
    <w:rsid w:val="00890A09"/>
    <w:rsid w:val="00890BCB"/>
    <w:rsid w:val="00890CAC"/>
    <w:rsid w:val="00890D02"/>
    <w:rsid w:val="00890D69"/>
    <w:rsid w:val="00890E6F"/>
    <w:rsid w:val="00890EF0"/>
    <w:rsid w:val="00890F6D"/>
    <w:rsid w:val="00890F79"/>
    <w:rsid w:val="00891079"/>
    <w:rsid w:val="008910B6"/>
    <w:rsid w:val="008911C0"/>
    <w:rsid w:val="00891207"/>
    <w:rsid w:val="00891403"/>
    <w:rsid w:val="00891411"/>
    <w:rsid w:val="008916D4"/>
    <w:rsid w:val="0089172F"/>
    <w:rsid w:val="008918F5"/>
    <w:rsid w:val="00891A09"/>
    <w:rsid w:val="00891A5C"/>
    <w:rsid w:val="00891B73"/>
    <w:rsid w:val="00891BF2"/>
    <w:rsid w:val="00891D6E"/>
    <w:rsid w:val="00891DF7"/>
    <w:rsid w:val="00891EE4"/>
    <w:rsid w:val="00892118"/>
    <w:rsid w:val="008921E9"/>
    <w:rsid w:val="00892262"/>
    <w:rsid w:val="008925B7"/>
    <w:rsid w:val="0089272C"/>
    <w:rsid w:val="008928EE"/>
    <w:rsid w:val="00892963"/>
    <w:rsid w:val="00892A31"/>
    <w:rsid w:val="00892ACD"/>
    <w:rsid w:val="00892CC2"/>
    <w:rsid w:val="00892D72"/>
    <w:rsid w:val="008930DC"/>
    <w:rsid w:val="008930FA"/>
    <w:rsid w:val="008931C8"/>
    <w:rsid w:val="008931EB"/>
    <w:rsid w:val="008931F3"/>
    <w:rsid w:val="008933D2"/>
    <w:rsid w:val="008936AB"/>
    <w:rsid w:val="0089370B"/>
    <w:rsid w:val="008937E5"/>
    <w:rsid w:val="008937E6"/>
    <w:rsid w:val="0089382C"/>
    <w:rsid w:val="00893B9F"/>
    <w:rsid w:val="00893C76"/>
    <w:rsid w:val="00893D98"/>
    <w:rsid w:val="0089426D"/>
    <w:rsid w:val="0089430B"/>
    <w:rsid w:val="00894521"/>
    <w:rsid w:val="00894801"/>
    <w:rsid w:val="0089483E"/>
    <w:rsid w:val="00894900"/>
    <w:rsid w:val="00894A2B"/>
    <w:rsid w:val="00894AB7"/>
    <w:rsid w:val="00894B23"/>
    <w:rsid w:val="0089513E"/>
    <w:rsid w:val="0089547C"/>
    <w:rsid w:val="0089571D"/>
    <w:rsid w:val="00895A70"/>
    <w:rsid w:val="00895A74"/>
    <w:rsid w:val="00895A7B"/>
    <w:rsid w:val="00895D11"/>
    <w:rsid w:val="00895D13"/>
    <w:rsid w:val="00895DC8"/>
    <w:rsid w:val="00895F25"/>
    <w:rsid w:val="00896115"/>
    <w:rsid w:val="0089612F"/>
    <w:rsid w:val="00896571"/>
    <w:rsid w:val="00896607"/>
    <w:rsid w:val="008969A5"/>
    <w:rsid w:val="00896B65"/>
    <w:rsid w:val="00896E56"/>
    <w:rsid w:val="00896EE1"/>
    <w:rsid w:val="00896F7B"/>
    <w:rsid w:val="008970B6"/>
    <w:rsid w:val="00897161"/>
    <w:rsid w:val="008972E4"/>
    <w:rsid w:val="00897387"/>
    <w:rsid w:val="008973C7"/>
    <w:rsid w:val="008974FD"/>
    <w:rsid w:val="0089759E"/>
    <w:rsid w:val="008976FA"/>
    <w:rsid w:val="00897732"/>
    <w:rsid w:val="0089790A"/>
    <w:rsid w:val="00897A5D"/>
    <w:rsid w:val="00897AD4"/>
    <w:rsid w:val="00897C35"/>
    <w:rsid w:val="00897C6F"/>
    <w:rsid w:val="00897D01"/>
    <w:rsid w:val="00897EF0"/>
    <w:rsid w:val="00897F62"/>
    <w:rsid w:val="008A01F5"/>
    <w:rsid w:val="008A0272"/>
    <w:rsid w:val="008A0412"/>
    <w:rsid w:val="008A05A6"/>
    <w:rsid w:val="008A0645"/>
    <w:rsid w:val="008A0782"/>
    <w:rsid w:val="008A08E9"/>
    <w:rsid w:val="008A0C6D"/>
    <w:rsid w:val="008A0D5D"/>
    <w:rsid w:val="008A0DC9"/>
    <w:rsid w:val="008A0EC7"/>
    <w:rsid w:val="008A0F69"/>
    <w:rsid w:val="008A1154"/>
    <w:rsid w:val="008A14D5"/>
    <w:rsid w:val="008A1551"/>
    <w:rsid w:val="008A15CA"/>
    <w:rsid w:val="008A16F2"/>
    <w:rsid w:val="008A1956"/>
    <w:rsid w:val="008A1B9E"/>
    <w:rsid w:val="008A1CE0"/>
    <w:rsid w:val="008A1F32"/>
    <w:rsid w:val="008A210A"/>
    <w:rsid w:val="008A2134"/>
    <w:rsid w:val="008A2415"/>
    <w:rsid w:val="008A255D"/>
    <w:rsid w:val="008A25C2"/>
    <w:rsid w:val="008A25FD"/>
    <w:rsid w:val="008A26A5"/>
    <w:rsid w:val="008A27C5"/>
    <w:rsid w:val="008A2810"/>
    <w:rsid w:val="008A28E0"/>
    <w:rsid w:val="008A2AC0"/>
    <w:rsid w:val="008A2B8A"/>
    <w:rsid w:val="008A2E10"/>
    <w:rsid w:val="008A2E57"/>
    <w:rsid w:val="008A2F4B"/>
    <w:rsid w:val="008A3010"/>
    <w:rsid w:val="008A3091"/>
    <w:rsid w:val="008A3173"/>
    <w:rsid w:val="008A3349"/>
    <w:rsid w:val="008A35C6"/>
    <w:rsid w:val="008A3777"/>
    <w:rsid w:val="008A3B83"/>
    <w:rsid w:val="008A3DE3"/>
    <w:rsid w:val="008A3E01"/>
    <w:rsid w:val="008A3E2E"/>
    <w:rsid w:val="008A4031"/>
    <w:rsid w:val="008A408A"/>
    <w:rsid w:val="008A411C"/>
    <w:rsid w:val="008A41BB"/>
    <w:rsid w:val="008A4298"/>
    <w:rsid w:val="008A43F6"/>
    <w:rsid w:val="008A45A5"/>
    <w:rsid w:val="008A46AF"/>
    <w:rsid w:val="008A46DF"/>
    <w:rsid w:val="008A47F1"/>
    <w:rsid w:val="008A480F"/>
    <w:rsid w:val="008A4939"/>
    <w:rsid w:val="008A4973"/>
    <w:rsid w:val="008A4A0D"/>
    <w:rsid w:val="008A4B37"/>
    <w:rsid w:val="008A4C7B"/>
    <w:rsid w:val="008A4D16"/>
    <w:rsid w:val="008A4D69"/>
    <w:rsid w:val="008A5358"/>
    <w:rsid w:val="008A53B3"/>
    <w:rsid w:val="008A5B56"/>
    <w:rsid w:val="008A5DC5"/>
    <w:rsid w:val="008A5F4F"/>
    <w:rsid w:val="008A61E6"/>
    <w:rsid w:val="008A63E5"/>
    <w:rsid w:val="008A65E7"/>
    <w:rsid w:val="008A6624"/>
    <w:rsid w:val="008A6727"/>
    <w:rsid w:val="008A6757"/>
    <w:rsid w:val="008A697F"/>
    <w:rsid w:val="008A69DD"/>
    <w:rsid w:val="008A6B16"/>
    <w:rsid w:val="008A6D82"/>
    <w:rsid w:val="008A71AC"/>
    <w:rsid w:val="008A7741"/>
    <w:rsid w:val="008A7A5A"/>
    <w:rsid w:val="008A7A6F"/>
    <w:rsid w:val="008A7A8F"/>
    <w:rsid w:val="008A7BBF"/>
    <w:rsid w:val="008A7C3A"/>
    <w:rsid w:val="008A7E00"/>
    <w:rsid w:val="008B018A"/>
    <w:rsid w:val="008B031C"/>
    <w:rsid w:val="008B0528"/>
    <w:rsid w:val="008B05B9"/>
    <w:rsid w:val="008B0A22"/>
    <w:rsid w:val="008B0ADB"/>
    <w:rsid w:val="008B0C51"/>
    <w:rsid w:val="008B0CD4"/>
    <w:rsid w:val="008B0EB3"/>
    <w:rsid w:val="008B0F9A"/>
    <w:rsid w:val="008B1050"/>
    <w:rsid w:val="008B1664"/>
    <w:rsid w:val="008B18BB"/>
    <w:rsid w:val="008B19BA"/>
    <w:rsid w:val="008B1A28"/>
    <w:rsid w:val="008B1B09"/>
    <w:rsid w:val="008B1D1A"/>
    <w:rsid w:val="008B1DB7"/>
    <w:rsid w:val="008B1E95"/>
    <w:rsid w:val="008B2098"/>
    <w:rsid w:val="008B238A"/>
    <w:rsid w:val="008B23C4"/>
    <w:rsid w:val="008B2460"/>
    <w:rsid w:val="008B2479"/>
    <w:rsid w:val="008B2823"/>
    <w:rsid w:val="008B28B2"/>
    <w:rsid w:val="008B28BB"/>
    <w:rsid w:val="008B2A37"/>
    <w:rsid w:val="008B2AC3"/>
    <w:rsid w:val="008B2ADF"/>
    <w:rsid w:val="008B2D3C"/>
    <w:rsid w:val="008B2D67"/>
    <w:rsid w:val="008B3022"/>
    <w:rsid w:val="008B3468"/>
    <w:rsid w:val="008B3629"/>
    <w:rsid w:val="008B3637"/>
    <w:rsid w:val="008B376C"/>
    <w:rsid w:val="008B39C0"/>
    <w:rsid w:val="008B39D7"/>
    <w:rsid w:val="008B39F7"/>
    <w:rsid w:val="008B3A58"/>
    <w:rsid w:val="008B3C88"/>
    <w:rsid w:val="008B3E58"/>
    <w:rsid w:val="008B3E97"/>
    <w:rsid w:val="008B3EE6"/>
    <w:rsid w:val="008B3FB6"/>
    <w:rsid w:val="008B3FBF"/>
    <w:rsid w:val="008B4022"/>
    <w:rsid w:val="008B41B3"/>
    <w:rsid w:val="008B42B8"/>
    <w:rsid w:val="008B42DC"/>
    <w:rsid w:val="008B4540"/>
    <w:rsid w:val="008B45B3"/>
    <w:rsid w:val="008B4637"/>
    <w:rsid w:val="008B4721"/>
    <w:rsid w:val="008B4790"/>
    <w:rsid w:val="008B4B85"/>
    <w:rsid w:val="008B4BC1"/>
    <w:rsid w:val="008B4C8A"/>
    <w:rsid w:val="008B4C8C"/>
    <w:rsid w:val="008B4F03"/>
    <w:rsid w:val="008B5040"/>
    <w:rsid w:val="008B50BA"/>
    <w:rsid w:val="008B5230"/>
    <w:rsid w:val="008B52CB"/>
    <w:rsid w:val="008B5611"/>
    <w:rsid w:val="008B569C"/>
    <w:rsid w:val="008B5903"/>
    <w:rsid w:val="008B5DA9"/>
    <w:rsid w:val="008B5ED6"/>
    <w:rsid w:val="008B60A7"/>
    <w:rsid w:val="008B629A"/>
    <w:rsid w:val="008B62B2"/>
    <w:rsid w:val="008B6355"/>
    <w:rsid w:val="008B63C1"/>
    <w:rsid w:val="008B65F6"/>
    <w:rsid w:val="008B6747"/>
    <w:rsid w:val="008B67D2"/>
    <w:rsid w:val="008B6901"/>
    <w:rsid w:val="008B6B96"/>
    <w:rsid w:val="008B6E76"/>
    <w:rsid w:val="008B6ED2"/>
    <w:rsid w:val="008B7103"/>
    <w:rsid w:val="008B7167"/>
    <w:rsid w:val="008B719C"/>
    <w:rsid w:val="008B7266"/>
    <w:rsid w:val="008B7334"/>
    <w:rsid w:val="008B775A"/>
    <w:rsid w:val="008B77D1"/>
    <w:rsid w:val="008B7903"/>
    <w:rsid w:val="008B7BD2"/>
    <w:rsid w:val="008B7ED3"/>
    <w:rsid w:val="008C05C2"/>
    <w:rsid w:val="008C06C3"/>
    <w:rsid w:val="008C0717"/>
    <w:rsid w:val="008C0827"/>
    <w:rsid w:val="008C0937"/>
    <w:rsid w:val="008C09BB"/>
    <w:rsid w:val="008C0BD2"/>
    <w:rsid w:val="008C0C65"/>
    <w:rsid w:val="008C0C68"/>
    <w:rsid w:val="008C0E65"/>
    <w:rsid w:val="008C108B"/>
    <w:rsid w:val="008C14A2"/>
    <w:rsid w:val="008C14D9"/>
    <w:rsid w:val="008C1586"/>
    <w:rsid w:val="008C196F"/>
    <w:rsid w:val="008C1E50"/>
    <w:rsid w:val="008C1EB9"/>
    <w:rsid w:val="008C1F4C"/>
    <w:rsid w:val="008C210B"/>
    <w:rsid w:val="008C2111"/>
    <w:rsid w:val="008C220D"/>
    <w:rsid w:val="008C27CE"/>
    <w:rsid w:val="008C2821"/>
    <w:rsid w:val="008C2A53"/>
    <w:rsid w:val="008C2C3C"/>
    <w:rsid w:val="008C2DC3"/>
    <w:rsid w:val="008C2FBC"/>
    <w:rsid w:val="008C33B7"/>
    <w:rsid w:val="008C34FE"/>
    <w:rsid w:val="008C357E"/>
    <w:rsid w:val="008C3769"/>
    <w:rsid w:val="008C399F"/>
    <w:rsid w:val="008C39A2"/>
    <w:rsid w:val="008C3A1A"/>
    <w:rsid w:val="008C3ACC"/>
    <w:rsid w:val="008C3AE2"/>
    <w:rsid w:val="008C3B73"/>
    <w:rsid w:val="008C3DBD"/>
    <w:rsid w:val="008C3E13"/>
    <w:rsid w:val="008C3F14"/>
    <w:rsid w:val="008C3F86"/>
    <w:rsid w:val="008C3FE0"/>
    <w:rsid w:val="008C40FB"/>
    <w:rsid w:val="008C4394"/>
    <w:rsid w:val="008C4985"/>
    <w:rsid w:val="008C4C33"/>
    <w:rsid w:val="008C4C81"/>
    <w:rsid w:val="008C4CA9"/>
    <w:rsid w:val="008C4E44"/>
    <w:rsid w:val="008C4FE0"/>
    <w:rsid w:val="008C5059"/>
    <w:rsid w:val="008C52B7"/>
    <w:rsid w:val="008C53D0"/>
    <w:rsid w:val="008C54BB"/>
    <w:rsid w:val="008C5670"/>
    <w:rsid w:val="008C5B5D"/>
    <w:rsid w:val="008C5D49"/>
    <w:rsid w:val="008C5E66"/>
    <w:rsid w:val="008C5F7E"/>
    <w:rsid w:val="008C5FB2"/>
    <w:rsid w:val="008C621D"/>
    <w:rsid w:val="008C6236"/>
    <w:rsid w:val="008C6326"/>
    <w:rsid w:val="008C6363"/>
    <w:rsid w:val="008C655F"/>
    <w:rsid w:val="008C67D5"/>
    <w:rsid w:val="008C6817"/>
    <w:rsid w:val="008C68FF"/>
    <w:rsid w:val="008C6960"/>
    <w:rsid w:val="008C696E"/>
    <w:rsid w:val="008C6EB6"/>
    <w:rsid w:val="008C709A"/>
    <w:rsid w:val="008C73F8"/>
    <w:rsid w:val="008C741F"/>
    <w:rsid w:val="008C76D4"/>
    <w:rsid w:val="008C76EC"/>
    <w:rsid w:val="008C77E9"/>
    <w:rsid w:val="008C7BC3"/>
    <w:rsid w:val="008C7BF1"/>
    <w:rsid w:val="008C7BF5"/>
    <w:rsid w:val="008C7D33"/>
    <w:rsid w:val="008C7F57"/>
    <w:rsid w:val="008C7F7E"/>
    <w:rsid w:val="008D0022"/>
    <w:rsid w:val="008D029E"/>
    <w:rsid w:val="008D0457"/>
    <w:rsid w:val="008D0484"/>
    <w:rsid w:val="008D0576"/>
    <w:rsid w:val="008D0608"/>
    <w:rsid w:val="008D0643"/>
    <w:rsid w:val="008D067C"/>
    <w:rsid w:val="008D086B"/>
    <w:rsid w:val="008D08B1"/>
    <w:rsid w:val="008D0979"/>
    <w:rsid w:val="008D0B66"/>
    <w:rsid w:val="008D0E72"/>
    <w:rsid w:val="008D1076"/>
    <w:rsid w:val="008D1216"/>
    <w:rsid w:val="008D1263"/>
    <w:rsid w:val="008D1264"/>
    <w:rsid w:val="008D1398"/>
    <w:rsid w:val="008D1532"/>
    <w:rsid w:val="008D1614"/>
    <w:rsid w:val="008D16CA"/>
    <w:rsid w:val="008D186A"/>
    <w:rsid w:val="008D1898"/>
    <w:rsid w:val="008D1BC5"/>
    <w:rsid w:val="008D1C15"/>
    <w:rsid w:val="008D1E26"/>
    <w:rsid w:val="008D1EA4"/>
    <w:rsid w:val="008D1F19"/>
    <w:rsid w:val="008D218B"/>
    <w:rsid w:val="008D2204"/>
    <w:rsid w:val="008D274F"/>
    <w:rsid w:val="008D275A"/>
    <w:rsid w:val="008D27BC"/>
    <w:rsid w:val="008D2892"/>
    <w:rsid w:val="008D28DB"/>
    <w:rsid w:val="008D2B8B"/>
    <w:rsid w:val="008D2BAF"/>
    <w:rsid w:val="008D2C23"/>
    <w:rsid w:val="008D2CC2"/>
    <w:rsid w:val="008D2D0E"/>
    <w:rsid w:val="008D32D6"/>
    <w:rsid w:val="008D32E0"/>
    <w:rsid w:val="008D32F8"/>
    <w:rsid w:val="008D3323"/>
    <w:rsid w:val="008D352D"/>
    <w:rsid w:val="008D353B"/>
    <w:rsid w:val="008D3B76"/>
    <w:rsid w:val="008D3BBD"/>
    <w:rsid w:val="008D3E97"/>
    <w:rsid w:val="008D3F4A"/>
    <w:rsid w:val="008D3FFC"/>
    <w:rsid w:val="008D4272"/>
    <w:rsid w:val="008D4305"/>
    <w:rsid w:val="008D4690"/>
    <w:rsid w:val="008D471D"/>
    <w:rsid w:val="008D4B4C"/>
    <w:rsid w:val="008D4C4D"/>
    <w:rsid w:val="008D4C78"/>
    <w:rsid w:val="008D4CBD"/>
    <w:rsid w:val="008D4F20"/>
    <w:rsid w:val="008D51F0"/>
    <w:rsid w:val="008D5261"/>
    <w:rsid w:val="008D53CC"/>
    <w:rsid w:val="008D5545"/>
    <w:rsid w:val="008D5B64"/>
    <w:rsid w:val="008D5BC3"/>
    <w:rsid w:val="008D5CCE"/>
    <w:rsid w:val="008D5E76"/>
    <w:rsid w:val="008D5F14"/>
    <w:rsid w:val="008D64BC"/>
    <w:rsid w:val="008D66EA"/>
    <w:rsid w:val="008D6B30"/>
    <w:rsid w:val="008D6E02"/>
    <w:rsid w:val="008D6FE7"/>
    <w:rsid w:val="008D716E"/>
    <w:rsid w:val="008D724E"/>
    <w:rsid w:val="008D74FF"/>
    <w:rsid w:val="008D7562"/>
    <w:rsid w:val="008D75D5"/>
    <w:rsid w:val="008D769B"/>
    <w:rsid w:val="008D7742"/>
    <w:rsid w:val="008D77FD"/>
    <w:rsid w:val="008D7A39"/>
    <w:rsid w:val="008D7AF5"/>
    <w:rsid w:val="008E010F"/>
    <w:rsid w:val="008E0C14"/>
    <w:rsid w:val="008E0CCB"/>
    <w:rsid w:val="008E0CFD"/>
    <w:rsid w:val="008E0F2C"/>
    <w:rsid w:val="008E1180"/>
    <w:rsid w:val="008E125A"/>
    <w:rsid w:val="008E12AA"/>
    <w:rsid w:val="008E1354"/>
    <w:rsid w:val="008E14F7"/>
    <w:rsid w:val="008E1ADA"/>
    <w:rsid w:val="008E1B21"/>
    <w:rsid w:val="008E1CC2"/>
    <w:rsid w:val="008E1E6A"/>
    <w:rsid w:val="008E1F8C"/>
    <w:rsid w:val="008E2075"/>
    <w:rsid w:val="008E240F"/>
    <w:rsid w:val="008E2418"/>
    <w:rsid w:val="008E2433"/>
    <w:rsid w:val="008E2737"/>
    <w:rsid w:val="008E278A"/>
    <w:rsid w:val="008E2960"/>
    <w:rsid w:val="008E2A3A"/>
    <w:rsid w:val="008E2A88"/>
    <w:rsid w:val="008E2A9B"/>
    <w:rsid w:val="008E2C04"/>
    <w:rsid w:val="008E2EA8"/>
    <w:rsid w:val="008E2F9E"/>
    <w:rsid w:val="008E30EE"/>
    <w:rsid w:val="008E3132"/>
    <w:rsid w:val="008E3170"/>
    <w:rsid w:val="008E31CB"/>
    <w:rsid w:val="008E32B6"/>
    <w:rsid w:val="008E32C8"/>
    <w:rsid w:val="008E32E6"/>
    <w:rsid w:val="008E3620"/>
    <w:rsid w:val="008E39E2"/>
    <w:rsid w:val="008E3E0E"/>
    <w:rsid w:val="008E3E11"/>
    <w:rsid w:val="008E441D"/>
    <w:rsid w:val="008E4469"/>
    <w:rsid w:val="008E45A5"/>
    <w:rsid w:val="008E4655"/>
    <w:rsid w:val="008E4820"/>
    <w:rsid w:val="008E4A1B"/>
    <w:rsid w:val="008E4C9A"/>
    <w:rsid w:val="008E4F3B"/>
    <w:rsid w:val="008E50C1"/>
    <w:rsid w:val="008E523E"/>
    <w:rsid w:val="008E524A"/>
    <w:rsid w:val="008E53B3"/>
    <w:rsid w:val="008E55CA"/>
    <w:rsid w:val="008E561C"/>
    <w:rsid w:val="008E5636"/>
    <w:rsid w:val="008E5A94"/>
    <w:rsid w:val="008E5E44"/>
    <w:rsid w:val="008E5ECE"/>
    <w:rsid w:val="008E5F0A"/>
    <w:rsid w:val="008E6211"/>
    <w:rsid w:val="008E6395"/>
    <w:rsid w:val="008E64B1"/>
    <w:rsid w:val="008E66D5"/>
    <w:rsid w:val="008E6964"/>
    <w:rsid w:val="008E6C45"/>
    <w:rsid w:val="008E6DD0"/>
    <w:rsid w:val="008E6E4F"/>
    <w:rsid w:val="008E71C0"/>
    <w:rsid w:val="008E7303"/>
    <w:rsid w:val="008E745C"/>
    <w:rsid w:val="008E74E8"/>
    <w:rsid w:val="008E76D6"/>
    <w:rsid w:val="008E7922"/>
    <w:rsid w:val="008E795A"/>
    <w:rsid w:val="008E79D6"/>
    <w:rsid w:val="008E7A2C"/>
    <w:rsid w:val="008E7D16"/>
    <w:rsid w:val="008E7D85"/>
    <w:rsid w:val="008E7E21"/>
    <w:rsid w:val="008E7EBE"/>
    <w:rsid w:val="008F013A"/>
    <w:rsid w:val="008F02C2"/>
    <w:rsid w:val="008F033B"/>
    <w:rsid w:val="008F0659"/>
    <w:rsid w:val="008F06A5"/>
    <w:rsid w:val="008F071B"/>
    <w:rsid w:val="008F07BC"/>
    <w:rsid w:val="008F098D"/>
    <w:rsid w:val="008F09FA"/>
    <w:rsid w:val="008F0B54"/>
    <w:rsid w:val="008F0BD6"/>
    <w:rsid w:val="008F0E2E"/>
    <w:rsid w:val="008F0E6E"/>
    <w:rsid w:val="008F0F07"/>
    <w:rsid w:val="008F0F27"/>
    <w:rsid w:val="008F1029"/>
    <w:rsid w:val="008F10A5"/>
    <w:rsid w:val="008F1204"/>
    <w:rsid w:val="008F1422"/>
    <w:rsid w:val="008F1565"/>
    <w:rsid w:val="008F17CA"/>
    <w:rsid w:val="008F1817"/>
    <w:rsid w:val="008F183B"/>
    <w:rsid w:val="008F1B19"/>
    <w:rsid w:val="008F1F1A"/>
    <w:rsid w:val="008F20D5"/>
    <w:rsid w:val="008F2132"/>
    <w:rsid w:val="008F2262"/>
    <w:rsid w:val="008F2354"/>
    <w:rsid w:val="008F23DE"/>
    <w:rsid w:val="008F257F"/>
    <w:rsid w:val="008F2800"/>
    <w:rsid w:val="008F2887"/>
    <w:rsid w:val="008F28AC"/>
    <w:rsid w:val="008F2C13"/>
    <w:rsid w:val="008F2C2A"/>
    <w:rsid w:val="008F2D93"/>
    <w:rsid w:val="008F2FE8"/>
    <w:rsid w:val="008F32AD"/>
    <w:rsid w:val="008F3536"/>
    <w:rsid w:val="008F3753"/>
    <w:rsid w:val="008F3882"/>
    <w:rsid w:val="008F3976"/>
    <w:rsid w:val="008F3AA6"/>
    <w:rsid w:val="008F3BCD"/>
    <w:rsid w:val="008F3BE3"/>
    <w:rsid w:val="008F3C48"/>
    <w:rsid w:val="008F3E45"/>
    <w:rsid w:val="008F406B"/>
    <w:rsid w:val="008F42F3"/>
    <w:rsid w:val="008F4429"/>
    <w:rsid w:val="008F4721"/>
    <w:rsid w:val="008F4837"/>
    <w:rsid w:val="008F49A2"/>
    <w:rsid w:val="008F4C3F"/>
    <w:rsid w:val="008F4DAF"/>
    <w:rsid w:val="008F530F"/>
    <w:rsid w:val="008F5382"/>
    <w:rsid w:val="008F5595"/>
    <w:rsid w:val="008F5652"/>
    <w:rsid w:val="008F58B0"/>
    <w:rsid w:val="008F596E"/>
    <w:rsid w:val="008F5B24"/>
    <w:rsid w:val="008F5BF8"/>
    <w:rsid w:val="008F5C92"/>
    <w:rsid w:val="008F5C93"/>
    <w:rsid w:val="008F5C94"/>
    <w:rsid w:val="008F5DF4"/>
    <w:rsid w:val="008F5E7A"/>
    <w:rsid w:val="008F5F07"/>
    <w:rsid w:val="008F5F86"/>
    <w:rsid w:val="008F60ED"/>
    <w:rsid w:val="008F60FA"/>
    <w:rsid w:val="008F618E"/>
    <w:rsid w:val="008F631A"/>
    <w:rsid w:val="008F66AE"/>
    <w:rsid w:val="008F6796"/>
    <w:rsid w:val="008F6A59"/>
    <w:rsid w:val="008F6BCB"/>
    <w:rsid w:val="008F6C20"/>
    <w:rsid w:val="008F6E7F"/>
    <w:rsid w:val="008F6EAA"/>
    <w:rsid w:val="008F6F39"/>
    <w:rsid w:val="008F6F75"/>
    <w:rsid w:val="008F7126"/>
    <w:rsid w:val="008F7224"/>
    <w:rsid w:val="008F7324"/>
    <w:rsid w:val="008F7507"/>
    <w:rsid w:val="008F7508"/>
    <w:rsid w:val="008F7525"/>
    <w:rsid w:val="008F75E7"/>
    <w:rsid w:val="008F76EA"/>
    <w:rsid w:val="008F7795"/>
    <w:rsid w:val="008F7890"/>
    <w:rsid w:val="008F78D8"/>
    <w:rsid w:val="008F798B"/>
    <w:rsid w:val="008F79E5"/>
    <w:rsid w:val="008F7C7F"/>
    <w:rsid w:val="008F7D0B"/>
    <w:rsid w:val="008F7E09"/>
    <w:rsid w:val="008F7E93"/>
    <w:rsid w:val="008F7EC5"/>
    <w:rsid w:val="008F7EF3"/>
    <w:rsid w:val="008F7EF4"/>
    <w:rsid w:val="008F7F7B"/>
    <w:rsid w:val="008F7FAE"/>
    <w:rsid w:val="009000C4"/>
    <w:rsid w:val="00900239"/>
    <w:rsid w:val="0090029B"/>
    <w:rsid w:val="0090070D"/>
    <w:rsid w:val="0090070F"/>
    <w:rsid w:val="0090071F"/>
    <w:rsid w:val="00900778"/>
    <w:rsid w:val="009007E7"/>
    <w:rsid w:val="00900B64"/>
    <w:rsid w:val="00900C27"/>
    <w:rsid w:val="00900C28"/>
    <w:rsid w:val="00900C3C"/>
    <w:rsid w:val="00900C72"/>
    <w:rsid w:val="00900D4C"/>
    <w:rsid w:val="00900DCC"/>
    <w:rsid w:val="00900DFC"/>
    <w:rsid w:val="00900ECB"/>
    <w:rsid w:val="00900F3B"/>
    <w:rsid w:val="00901222"/>
    <w:rsid w:val="009012F7"/>
    <w:rsid w:val="009013AD"/>
    <w:rsid w:val="009015BD"/>
    <w:rsid w:val="009015D0"/>
    <w:rsid w:val="0090163A"/>
    <w:rsid w:val="009017E6"/>
    <w:rsid w:val="00901935"/>
    <w:rsid w:val="00901A6A"/>
    <w:rsid w:val="00901C99"/>
    <w:rsid w:val="00901CF9"/>
    <w:rsid w:val="00901E35"/>
    <w:rsid w:val="00901F70"/>
    <w:rsid w:val="0090214D"/>
    <w:rsid w:val="0090275B"/>
    <w:rsid w:val="00902815"/>
    <w:rsid w:val="00902820"/>
    <w:rsid w:val="009028FD"/>
    <w:rsid w:val="00902B16"/>
    <w:rsid w:val="00902C26"/>
    <w:rsid w:val="00902C52"/>
    <w:rsid w:val="00902C5B"/>
    <w:rsid w:val="00902CA2"/>
    <w:rsid w:val="00902D95"/>
    <w:rsid w:val="00902E14"/>
    <w:rsid w:val="00902E43"/>
    <w:rsid w:val="00902F15"/>
    <w:rsid w:val="009030B8"/>
    <w:rsid w:val="00903505"/>
    <w:rsid w:val="0090362F"/>
    <w:rsid w:val="009036BB"/>
    <w:rsid w:val="00903948"/>
    <w:rsid w:val="00903BB5"/>
    <w:rsid w:val="00903BF9"/>
    <w:rsid w:val="00903EAF"/>
    <w:rsid w:val="009040D0"/>
    <w:rsid w:val="00904178"/>
    <w:rsid w:val="009041D1"/>
    <w:rsid w:val="0090421A"/>
    <w:rsid w:val="009044AB"/>
    <w:rsid w:val="00904685"/>
    <w:rsid w:val="009046CF"/>
    <w:rsid w:val="009047F5"/>
    <w:rsid w:val="00904E33"/>
    <w:rsid w:val="00904EC6"/>
    <w:rsid w:val="00904F28"/>
    <w:rsid w:val="00905123"/>
    <w:rsid w:val="00905159"/>
    <w:rsid w:val="009051EE"/>
    <w:rsid w:val="0090526F"/>
    <w:rsid w:val="00905330"/>
    <w:rsid w:val="00905336"/>
    <w:rsid w:val="00905585"/>
    <w:rsid w:val="00905616"/>
    <w:rsid w:val="00905669"/>
    <w:rsid w:val="00905689"/>
    <w:rsid w:val="00905824"/>
    <w:rsid w:val="0090589F"/>
    <w:rsid w:val="009059A3"/>
    <w:rsid w:val="00905ABC"/>
    <w:rsid w:val="00905B1A"/>
    <w:rsid w:val="00905C33"/>
    <w:rsid w:val="009062D4"/>
    <w:rsid w:val="009062F2"/>
    <w:rsid w:val="009062F4"/>
    <w:rsid w:val="00906363"/>
    <w:rsid w:val="00906491"/>
    <w:rsid w:val="009065E2"/>
    <w:rsid w:val="00906933"/>
    <w:rsid w:val="009069CA"/>
    <w:rsid w:val="009069F9"/>
    <w:rsid w:val="00906A7C"/>
    <w:rsid w:val="00906AEC"/>
    <w:rsid w:val="00906C18"/>
    <w:rsid w:val="00906C47"/>
    <w:rsid w:val="00906DAF"/>
    <w:rsid w:val="00906DE7"/>
    <w:rsid w:val="00906EF4"/>
    <w:rsid w:val="0090747C"/>
    <w:rsid w:val="0090770E"/>
    <w:rsid w:val="00907748"/>
    <w:rsid w:val="0090774F"/>
    <w:rsid w:val="00907A61"/>
    <w:rsid w:val="00907A82"/>
    <w:rsid w:val="00907E3F"/>
    <w:rsid w:val="00910067"/>
    <w:rsid w:val="009100F5"/>
    <w:rsid w:val="00910593"/>
    <w:rsid w:val="009105BC"/>
    <w:rsid w:val="009106FD"/>
    <w:rsid w:val="009109AC"/>
    <w:rsid w:val="00910CCB"/>
    <w:rsid w:val="00910ECE"/>
    <w:rsid w:val="00910F78"/>
    <w:rsid w:val="009110F2"/>
    <w:rsid w:val="00911395"/>
    <w:rsid w:val="009113C7"/>
    <w:rsid w:val="00911473"/>
    <w:rsid w:val="009116EC"/>
    <w:rsid w:val="00911854"/>
    <w:rsid w:val="00911998"/>
    <w:rsid w:val="009119A2"/>
    <w:rsid w:val="009119B8"/>
    <w:rsid w:val="009119D6"/>
    <w:rsid w:val="00911BBD"/>
    <w:rsid w:val="00911FF2"/>
    <w:rsid w:val="00911FFC"/>
    <w:rsid w:val="0091227F"/>
    <w:rsid w:val="00912552"/>
    <w:rsid w:val="009126EC"/>
    <w:rsid w:val="0091277B"/>
    <w:rsid w:val="009127CD"/>
    <w:rsid w:val="009129FF"/>
    <w:rsid w:val="00912A93"/>
    <w:rsid w:val="00912B14"/>
    <w:rsid w:val="00912B85"/>
    <w:rsid w:val="00912E39"/>
    <w:rsid w:val="00912E6E"/>
    <w:rsid w:val="00912EE8"/>
    <w:rsid w:val="009132B8"/>
    <w:rsid w:val="009132E4"/>
    <w:rsid w:val="009133DA"/>
    <w:rsid w:val="009134BB"/>
    <w:rsid w:val="0091365B"/>
    <w:rsid w:val="0091381E"/>
    <w:rsid w:val="00913A75"/>
    <w:rsid w:val="00913C68"/>
    <w:rsid w:val="00913E61"/>
    <w:rsid w:val="00913F3A"/>
    <w:rsid w:val="00914061"/>
    <w:rsid w:val="009143E3"/>
    <w:rsid w:val="009145FA"/>
    <w:rsid w:val="009146EE"/>
    <w:rsid w:val="00914A44"/>
    <w:rsid w:val="00914A49"/>
    <w:rsid w:val="00914A7B"/>
    <w:rsid w:val="00915068"/>
    <w:rsid w:val="0091537B"/>
    <w:rsid w:val="00915410"/>
    <w:rsid w:val="0091545D"/>
    <w:rsid w:val="00915461"/>
    <w:rsid w:val="0091551E"/>
    <w:rsid w:val="009159AD"/>
    <w:rsid w:val="00915AE8"/>
    <w:rsid w:val="00915EC0"/>
    <w:rsid w:val="00915F54"/>
    <w:rsid w:val="0091608C"/>
    <w:rsid w:val="0091619B"/>
    <w:rsid w:val="009163DE"/>
    <w:rsid w:val="00916456"/>
    <w:rsid w:val="009164E2"/>
    <w:rsid w:val="00916575"/>
    <w:rsid w:val="009169FF"/>
    <w:rsid w:val="00916CD0"/>
    <w:rsid w:val="00916D01"/>
    <w:rsid w:val="00916D3E"/>
    <w:rsid w:val="00916DC0"/>
    <w:rsid w:val="00916FA3"/>
    <w:rsid w:val="00916FE2"/>
    <w:rsid w:val="00917178"/>
    <w:rsid w:val="0091750F"/>
    <w:rsid w:val="00917544"/>
    <w:rsid w:val="00917656"/>
    <w:rsid w:val="009177A1"/>
    <w:rsid w:val="00917896"/>
    <w:rsid w:val="009178D5"/>
    <w:rsid w:val="00917918"/>
    <w:rsid w:val="0091793E"/>
    <w:rsid w:val="00917B33"/>
    <w:rsid w:val="00917B6E"/>
    <w:rsid w:val="00917D70"/>
    <w:rsid w:val="00917EE0"/>
    <w:rsid w:val="009200E5"/>
    <w:rsid w:val="009201C1"/>
    <w:rsid w:val="009201F5"/>
    <w:rsid w:val="0092028C"/>
    <w:rsid w:val="00920360"/>
    <w:rsid w:val="0092066A"/>
    <w:rsid w:val="009206CB"/>
    <w:rsid w:val="00920749"/>
    <w:rsid w:val="00920860"/>
    <w:rsid w:val="00920A2A"/>
    <w:rsid w:val="00920A6A"/>
    <w:rsid w:val="00920B0E"/>
    <w:rsid w:val="00920B76"/>
    <w:rsid w:val="00920DD3"/>
    <w:rsid w:val="00920DF3"/>
    <w:rsid w:val="00920E5E"/>
    <w:rsid w:val="009212C2"/>
    <w:rsid w:val="009213BF"/>
    <w:rsid w:val="0092150E"/>
    <w:rsid w:val="00921791"/>
    <w:rsid w:val="009217EF"/>
    <w:rsid w:val="00921A3B"/>
    <w:rsid w:val="00921B53"/>
    <w:rsid w:val="00921C41"/>
    <w:rsid w:val="00921D2E"/>
    <w:rsid w:val="00921DA9"/>
    <w:rsid w:val="00921E2D"/>
    <w:rsid w:val="00921FAC"/>
    <w:rsid w:val="00922080"/>
    <w:rsid w:val="009222E1"/>
    <w:rsid w:val="00922425"/>
    <w:rsid w:val="00922607"/>
    <w:rsid w:val="00922654"/>
    <w:rsid w:val="0092287A"/>
    <w:rsid w:val="0092295D"/>
    <w:rsid w:val="009229FC"/>
    <w:rsid w:val="00922AB2"/>
    <w:rsid w:val="00922D25"/>
    <w:rsid w:val="00922E72"/>
    <w:rsid w:val="00922F8C"/>
    <w:rsid w:val="00923212"/>
    <w:rsid w:val="0092322F"/>
    <w:rsid w:val="009233AB"/>
    <w:rsid w:val="009238F6"/>
    <w:rsid w:val="00923ABE"/>
    <w:rsid w:val="00923B4F"/>
    <w:rsid w:val="00923D29"/>
    <w:rsid w:val="00923D2C"/>
    <w:rsid w:val="00923F81"/>
    <w:rsid w:val="00924132"/>
    <w:rsid w:val="0092433C"/>
    <w:rsid w:val="0092442C"/>
    <w:rsid w:val="00924702"/>
    <w:rsid w:val="0092471C"/>
    <w:rsid w:val="00924C8D"/>
    <w:rsid w:val="00924E63"/>
    <w:rsid w:val="00924E78"/>
    <w:rsid w:val="00925176"/>
    <w:rsid w:val="00925309"/>
    <w:rsid w:val="009253BE"/>
    <w:rsid w:val="0092546D"/>
    <w:rsid w:val="00925776"/>
    <w:rsid w:val="00925ED6"/>
    <w:rsid w:val="00926270"/>
    <w:rsid w:val="009267AA"/>
    <w:rsid w:val="009269C2"/>
    <w:rsid w:val="00926A9A"/>
    <w:rsid w:val="00926D5F"/>
    <w:rsid w:val="00926E0A"/>
    <w:rsid w:val="00926FE9"/>
    <w:rsid w:val="0092712C"/>
    <w:rsid w:val="009271B2"/>
    <w:rsid w:val="009272CB"/>
    <w:rsid w:val="0092734A"/>
    <w:rsid w:val="00927364"/>
    <w:rsid w:val="00927477"/>
    <w:rsid w:val="009274CE"/>
    <w:rsid w:val="0092764D"/>
    <w:rsid w:val="009277B3"/>
    <w:rsid w:val="00927B58"/>
    <w:rsid w:val="0093019D"/>
    <w:rsid w:val="00930281"/>
    <w:rsid w:val="00930531"/>
    <w:rsid w:val="009306A8"/>
    <w:rsid w:val="00930954"/>
    <w:rsid w:val="00930A59"/>
    <w:rsid w:val="00930AFB"/>
    <w:rsid w:val="00930BB8"/>
    <w:rsid w:val="00930D74"/>
    <w:rsid w:val="00930DD5"/>
    <w:rsid w:val="00930EC2"/>
    <w:rsid w:val="00930EF6"/>
    <w:rsid w:val="00930FB3"/>
    <w:rsid w:val="00930FC3"/>
    <w:rsid w:val="00931340"/>
    <w:rsid w:val="009313FC"/>
    <w:rsid w:val="0093152E"/>
    <w:rsid w:val="00931553"/>
    <w:rsid w:val="00931565"/>
    <w:rsid w:val="009315DB"/>
    <w:rsid w:val="00931696"/>
    <w:rsid w:val="00931703"/>
    <w:rsid w:val="009317D2"/>
    <w:rsid w:val="00931A09"/>
    <w:rsid w:val="00931AA0"/>
    <w:rsid w:val="00931CAD"/>
    <w:rsid w:val="00931E2C"/>
    <w:rsid w:val="009320DF"/>
    <w:rsid w:val="009323CF"/>
    <w:rsid w:val="00932429"/>
    <w:rsid w:val="009324FF"/>
    <w:rsid w:val="00932582"/>
    <w:rsid w:val="00932636"/>
    <w:rsid w:val="0093264E"/>
    <w:rsid w:val="009326CE"/>
    <w:rsid w:val="009326F2"/>
    <w:rsid w:val="00932865"/>
    <w:rsid w:val="009328F0"/>
    <w:rsid w:val="009329BC"/>
    <w:rsid w:val="009329C6"/>
    <w:rsid w:val="00932C15"/>
    <w:rsid w:val="00933282"/>
    <w:rsid w:val="009332FC"/>
    <w:rsid w:val="009333AF"/>
    <w:rsid w:val="00933670"/>
    <w:rsid w:val="009338E1"/>
    <w:rsid w:val="00933F16"/>
    <w:rsid w:val="00933FD1"/>
    <w:rsid w:val="009341DB"/>
    <w:rsid w:val="0093439F"/>
    <w:rsid w:val="0093449D"/>
    <w:rsid w:val="009346C7"/>
    <w:rsid w:val="009349FE"/>
    <w:rsid w:val="00934C84"/>
    <w:rsid w:val="00934E02"/>
    <w:rsid w:val="00935040"/>
    <w:rsid w:val="0093512B"/>
    <w:rsid w:val="009351DA"/>
    <w:rsid w:val="009353F9"/>
    <w:rsid w:val="00935426"/>
    <w:rsid w:val="009354E3"/>
    <w:rsid w:val="00935616"/>
    <w:rsid w:val="0093561E"/>
    <w:rsid w:val="00935729"/>
    <w:rsid w:val="0093581A"/>
    <w:rsid w:val="00935A24"/>
    <w:rsid w:val="00935A76"/>
    <w:rsid w:val="00935EB2"/>
    <w:rsid w:val="00935ECE"/>
    <w:rsid w:val="00935F7A"/>
    <w:rsid w:val="00935F7D"/>
    <w:rsid w:val="009364E5"/>
    <w:rsid w:val="009364E7"/>
    <w:rsid w:val="00936570"/>
    <w:rsid w:val="009365FE"/>
    <w:rsid w:val="0093664A"/>
    <w:rsid w:val="009368B6"/>
    <w:rsid w:val="009368F7"/>
    <w:rsid w:val="009369AC"/>
    <w:rsid w:val="009369E1"/>
    <w:rsid w:val="009369E7"/>
    <w:rsid w:val="009369F3"/>
    <w:rsid w:val="00936A0B"/>
    <w:rsid w:val="00936AC5"/>
    <w:rsid w:val="00936D15"/>
    <w:rsid w:val="00936F3B"/>
    <w:rsid w:val="00936F9E"/>
    <w:rsid w:val="00936FD3"/>
    <w:rsid w:val="0093717B"/>
    <w:rsid w:val="009373CC"/>
    <w:rsid w:val="0093744B"/>
    <w:rsid w:val="0093757D"/>
    <w:rsid w:val="009376D7"/>
    <w:rsid w:val="00937729"/>
    <w:rsid w:val="009377C3"/>
    <w:rsid w:val="009377D0"/>
    <w:rsid w:val="009378E8"/>
    <w:rsid w:val="009379CC"/>
    <w:rsid w:val="00937E34"/>
    <w:rsid w:val="00940155"/>
    <w:rsid w:val="009401D6"/>
    <w:rsid w:val="0094037D"/>
    <w:rsid w:val="00940620"/>
    <w:rsid w:val="00940759"/>
    <w:rsid w:val="00940779"/>
    <w:rsid w:val="0094088B"/>
    <w:rsid w:val="0094095C"/>
    <w:rsid w:val="009409CD"/>
    <w:rsid w:val="00940B41"/>
    <w:rsid w:val="00940F2C"/>
    <w:rsid w:val="00940F78"/>
    <w:rsid w:val="009410FA"/>
    <w:rsid w:val="00941129"/>
    <w:rsid w:val="009412E9"/>
    <w:rsid w:val="00941387"/>
    <w:rsid w:val="0094138D"/>
    <w:rsid w:val="009413BB"/>
    <w:rsid w:val="0094147D"/>
    <w:rsid w:val="009418B4"/>
    <w:rsid w:val="009418EF"/>
    <w:rsid w:val="00941906"/>
    <w:rsid w:val="00941C98"/>
    <w:rsid w:val="00942236"/>
    <w:rsid w:val="00942374"/>
    <w:rsid w:val="00942815"/>
    <w:rsid w:val="0094283B"/>
    <w:rsid w:val="009428BA"/>
    <w:rsid w:val="0094293F"/>
    <w:rsid w:val="009429E4"/>
    <w:rsid w:val="00942CD5"/>
    <w:rsid w:val="00942EF6"/>
    <w:rsid w:val="0094315C"/>
    <w:rsid w:val="0094320C"/>
    <w:rsid w:val="00943273"/>
    <w:rsid w:val="009432D1"/>
    <w:rsid w:val="009434E8"/>
    <w:rsid w:val="0094369D"/>
    <w:rsid w:val="00943734"/>
    <w:rsid w:val="00943811"/>
    <w:rsid w:val="00943993"/>
    <w:rsid w:val="00943BD2"/>
    <w:rsid w:val="00944003"/>
    <w:rsid w:val="0094417E"/>
    <w:rsid w:val="009441BF"/>
    <w:rsid w:val="00944397"/>
    <w:rsid w:val="009443DB"/>
    <w:rsid w:val="0094453A"/>
    <w:rsid w:val="00944744"/>
    <w:rsid w:val="00944769"/>
    <w:rsid w:val="00944795"/>
    <w:rsid w:val="00944A1F"/>
    <w:rsid w:val="00944ACA"/>
    <w:rsid w:val="00944BEA"/>
    <w:rsid w:val="00944C48"/>
    <w:rsid w:val="00944E62"/>
    <w:rsid w:val="00944E93"/>
    <w:rsid w:val="00944F3E"/>
    <w:rsid w:val="009451B8"/>
    <w:rsid w:val="0094532D"/>
    <w:rsid w:val="00945333"/>
    <w:rsid w:val="00945380"/>
    <w:rsid w:val="009453DF"/>
    <w:rsid w:val="00945467"/>
    <w:rsid w:val="0094552F"/>
    <w:rsid w:val="00945908"/>
    <w:rsid w:val="0094591E"/>
    <w:rsid w:val="00945A11"/>
    <w:rsid w:val="00945A79"/>
    <w:rsid w:val="00945A8B"/>
    <w:rsid w:val="00945BA0"/>
    <w:rsid w:val="00946061"/>
    <w:rsid w:val="009460C1"/>
    <w:rsid w:val="009461FA"/>
    <w:rsid w:val="009463F1"/>
    <w:rsid w:val="00946514"/>
    <w:rsid w:val="009465D6"/>
    <w:rsid w:val="0094670D"/>
    <w:rsid w:val="009467A5"/>
    <w:rsid w:val="009467B3"/>
    <w:rsid w:val="0094680E"/>
    <w:rsid w:val="00946945"/>
    <w:rsid w:val="00946996"/>
    <w:rsid w:val="00946B1F"/>
    <w:rsid w:val="00946C17"/>
    <w:rsid w:val="00946E7B"/>
    <w:rsid w:val="009470D8"/>
    <w:rsid w:val="009472BE"/>
    <w:rsid w:val="009473BF"/>
    <w:rsid w:val="0094755C"/>
    <w:rsid w:val="00947864"/>
    <w:rsid w:val="0094789C"/>
    <w:rsid w:val="009478A3"/>
    <w:rsid w:val="009478F1"/>
    <w:rsid w:val="00947962"/>
    <w:rsid w:val="00947A22"/>
    <w:rsid w:val="00947B1D"/>
    <w:rsid w:val="00947C25"/>
    <w:rsid w:val="00947DC4"/>
    <w:rsid w:val="00947F8E"/>
    <w:rsid w:val="0095013B"/>
    <w:rsid w:val="00950678"/>
    <w:rsid w:val="00950895"/>
    <w:rsid w:val="00950AF8"/>
    <w:rsid w:val="00950E3C"/>
    <w:rsid w:val="00950E5E"/>
    <w:rsid w:val="00950E67"/>
    <w:rsid w:val="00951221"/>
    <w:rsid w:val="0095130B"/>
    <w:rsid w:val="009513A3"/>
    <w:rsid w:val="009513C9"/>
    <w:rsid w:val="0095145C"/>
    <w:rsid w:val="0095148A"/>
    <w:rsid w:val="009519AE"/>
    <w:rsid w:val="00951BC5"/>
    <w:rsid w:val="00951CE3"/>
    <w:rsid w:val="00951FF1"/>
    <w:rsid w:val="0095233C"/>
    <w:rsid w:val="009523C3"/>
    <w:rsid w:val="00952416"/>
    <w:rsid w:val="00952427"/>
    <w:rsid w:val="00952828"/>
    <w:rsid w:val="00952AFF"/>
    <w:rsid w:val="00952BC4"/>
    <w:rsid w:val="00952BDC"/>
    <w:rsid w:val="00952BDD"/>
    <w:rsid w:val="00952EA1"/>
    <w:rsid w:val="00953202"/>
    <w:rsid w:val="00953228"/>
    <w:rsid w:val="00953240"/>
    <w:rsid w:val="00953411"/>
    <w:rsid w:val="00953507"/>
    <w:rsid w:val="00953622"/>
    <w:rsid w:val="00953628"/>
    <w:rsid w:val="00953771"/>
    <w:rsid w:val="00953C5A"/>
    <w:rsid w:val="00953E02"/>
    <w:rsid w:val="00953FC7"/>
    <w:rsid w:val="0095443B"/>
    <w:rsid w:val="0095462E"/>
    <w:rsid w:val="0095478E"/>
    <w:rsid w:val="0095479F"/>
    <w:rsid w:val="00954AC1"/>
    <w:rsid w:val="00954E76"/>
    <w:rsid w:val="00954EC4"/>
    <w:rsid w:val="00954F85"/>
    <w:rsid w:val="00955164"/>
    <w:rsid w:val="00955314"/>
    <w:rsid w:val="0095534E"/>
    <w:rsid w:val="009553D5"/>
    <w:rsid w:val="009554A3"/>
    <w:rsid w:val="009555B8"/>
    <w:rsid w:val="00955652"/>
    <w:rsid w:val="00955BAD"/>
    <w:rsid w:val="00955C96"/>
    <w:rsid w:val="00955CE4"/>
    <w:rsid w:val="00955DDB"/>
    <w:rsid w:val="00955EB8"/>
    <w:rsid w:val="00955FDE"/>
    <w:rsid w:val="0095603A"/>
    <w:rsid w:val="0095605C"/>
    <w:rsid w:val="0095649E"/>
    <w:rsid w:val="009566F8"/>
    <w:rsid w:val="0095671E"/>
    <w:rsid w:val="00956785"/>
    <w:rsid w:val="009567D8"/>
    <w:rsid w:val="009568E6"/>
    <w:rsid w:val="009568FC"/>
    <w:rsid w:val="00956AAE"/>
    <w:rsid w:val="00956C07"/>
    <w:rsid w:val="00956C24"/>
    <w:rsid w:val="00956E50"/>
    <w:rsid w:val="00956E6C"/>
    <w:rsid w:val="00956E73"/>
    <w:rsid w:val="00957414"/>
    <w:rsid w:val="009575E5"/>
    <w:rsid w:val="0095765C"/>
    <w:rsid w:val="00957773"/>
    <w:rsid w:val="00957A3E"/>
    <w:rsid w:val="00957B87"/>
    <w:rsid w:val="00957C37"/>
    <w:rsid w:val="009600BF"/>
    <w:rsid w:val="00960121"/>
    <w:rsid w:val="009601BE"/>
    <w:rsid w:val="009602C8"/>
    <w:rsid w:val="009603A2"/>
    <w:rsid w:val="009605FA"/>
    <w:rsid w:val="009606A0"/>
    <w:rsid w:val="009606B9"/>
    <w:rsid w:val="009606DE"/>
    <w:rsid w:val="0096092B"/>
    <w:rsid w:val="00960988"/>
    <w:rsid w:val="00960A01"/>
    <w:rsid w:val="00960A7D"/>
    <w:rsid w:val="00960B77"/>
    <w:rsid w:val="00960CB1"/>
    <w:rsid w:val="00960CB7"/>
    <w:rsid w:val="00960CF6"/>
    <w:rsid w:val="00960EF4"/>
    <w:rsid w:val="00960F14"/>
    <w:rsid w:val="009612C5"/>
    <w:rsid w:val="0096133C"/>
    <w:rsid w:val="00961355"/>
    <w:rsid w:val="0096148C"/>
    <w:rsid w:val="009616D4"/>
    <w:rsid w:val="009617A8"/>
    <w:rsid w:val="009617B0"/>
    <w:rsid w:val="0096194D"/>
    <w:rsid w:val="0096195F"/>
    <w:rsid w:val="0096199D"/>
    <w:rsid w:val="00961A26"/>
    <w:rsid w:val="00961AF4"/>
    <w:rsid w:val="00961B27"/>
    <w:rsid w:val="00961C9F"/>
    <w:rsid w:val="00961DD5"/>
    <w:rsid w:val="00961F1C"/>
    <w:rsid w:val="0096208F"/>
    <w:rsid w:val="0096210D"/>
    <w:rsid w:val="009623BA"/>
    <w:rsid w:val="009624AE"/>
    <w:rsid w:val="00962715"/>
    <w:rsid w:val="00962811"/>
    <w:rsid w:val="00962850"/>
    <w:rsid w:val="00962898"/>
    <w:rsid w:val="009629F7"/>
    <w:rsid w:val="00962AD1"/>
    <w:rsid w:val="00962C67"/>
    <w:rsid w:val="00962D7D"/>
    <w:rsid w:val="00962EEE"/>
    <w:rsid w:val="00962F0A"/>
    <w:rsid w:val="0096301B"/>
    <w:rsid w:val="0096361E"/>
    <w:rsid w:val="0096380A"/>
    <w:rsid w:val="00963CA7"/>
    <w:rsid w:val="00963D00"/>
    <w:rsid w:val="00963E7D"/>
    <w:rsid w:val="00963F43"/>
    <w:rsid w:val="00963F50"/>
    <w:rsid w:val="00963F5C"/>
    <w:rsid w:val="00964433"/>
    <w:rsid w:val="0096448F"/>
    <w:rsid w:val="0096449C"/>
    <w:rsid w:val="00964518"/>
    <w:rsid w:val="0096469E"/>
    <w:rsid w:val="009646BA"/>
    <w:rsid w:val="0096477F"/>
    <w:rsid w:val="0096495B"/>
    <w:rsid w:val="00964A30"/>
    <w:rsid w:val="00964B70"/>
    <w:rsid w:val="00964D03"/>
    <w:rsid w:val="00964F1F"/>
    <w:rsid w:val="00964F9F"/>
    <w:rsid w:val="0096508F"/>
    <w:rsid w:val="009654D3"/>
    <w:rsid w:val="009659AD"/>
    <w:rsid w:val="00965D20"/>
    <w:rsid w:val="00965D83"/>
    <w:rsid w:val="00965DD9"/>
    <w:rsid w:val="00965E6B"/>
    <w:rsid w:val="00965F39"/>
    <w:rsid w:val="0096622F"/>
    <w:rsid w:val="00966257"/>
    <w:rsid w:val="00966265"/>
    <w:rsid w:val="0096630C"/>
    <w:rsid w:val="00966486"/>
    <w:rsid w:val="0096682A"/>
    <w:rsid w:val="0096689F"/>
    <w:rsid w:val="00966941"/>
    <w:rsid w:val="00966B2B"/>
    <w:rsid w:val="00966BAF"/>
    <w:rsid w:val="00966D14"/>
    <w:rsid w:val="00966D23"/>
    <w:rsid w:val="00966D94"/>
    <w:rsid w:val="0096703E"/>
    <w:rsid w:val="009671A4"/>
    <w:rsid w:val="009673AA"/>
    <w:rsid w:val="00967433"/>
    <w:rsid w:val="00967587"/>
    <w:rsid w:val="009675B5"/>
    <w:rsid w:val="00967A56"/>
    <w:rsid w:val="00967ACA"/>
    <w:rsid w:val="00967B1D"/>
    <w:rsid w:val="00967B9A"/>
    <w:rsid w:val="00967E70"/>
    <w:rsid w:val="00970158"/>
    <w:rsid w:val="009701EF"/>
    <w:rsid w:val="0097022B"/>
    <w:rsid w:val="00970356"/>
    <w:rsid w:val="00970382"/>
    <w:rsid w:val="009706DE"/>
    <w:rsid w:val="0097073E"/>
    <w:rsid w:val="00970C36"/>
    <w:rsid w:val="00970C7E"/>
    <w:rsid w:val="00970EC7"/>
    <w:rsid w:val="00970EFD"/>
    <w:rsid w:val="00971022"/>
    <w:rsid w:val="0097106D"/>
    <w:rsid w:val="0097107D"/>
    <w:rsid w:val="00971399"/>
    <w:rsid w:val="009713D2"/>
    <w:rsid w:val="00971541"/>
    <w:rsid w:val="00971E00"/>
    <w:rsid w:val="00971E55"/>
    <w:rsid w:val="00971ECA"/>
    <w:rsid w:val="00971EFF"/>
    <w:rsid w:val="00971F27"/>
    <w:rsid w:val="009720A4"/>
    <w:rsid w:val="00972193"/>
    <w:rsid w:val="009726F9"/>
    <w:rsid w:val="00972720"/>
    <w:rsid w:val="009727C3"/>
    <w:rsid w:val="00972B9F"/>
    <w:rsid w:val="00972EA1"/>
    <w:rsid w:val="00972F9A"/>
    <w:rsid w:val="00972FA7"/>
    <w:rsid w:val="00972FDA"/>
    <w:rsid w:val="00973084"/>
    <w:rsid w:val="009732C7"/>
    <w:rsid w:val="00973725"/>
    <w:rsid w:val="009737EA"/>
    <w:rsid w:val="00973911"/>
    <w:rsid w:val="00973D8C"/>
    <w:rsid w:val="00973EBC"/>
    <w:rsid w:val="00973F03"/>
    <w:rsid w:val="009740B7"/>
    <w:rsid w:val="009740BC"/>
    <w:rsid w:val="00974326"/>
    <w:rsid w:val="009743F7"/>
    <w:rsid w:val="0097447D"/>
    <w:rsid w:val="009745D9"/>
    <w:rsid w:val="009745DC"/>
    <w:rsid w:val="00974803"/>
    <w:rsid w:val="00974957"/>
    <w:rsid w:val="009749C7"/>
    <w:rsid w:val="00974A34"/>
    <w:rsid w:val="00974A36"/>
    <w:rsid w:val="00974AD6"/>
    <w:rsid w:val="00975042"/>
    <w:rsid w:val="0097507C"/>
    <w:rsid w:val="009750A0"/>
    <w:rsid w:val="0097530B"/>
    <w:rsid w:val="00975703"/>
    <w:rsid w:val="0097570C"/>
    <w:rsid w:val="00975723"/>
    <w:rsid w:val="0097580F"/>
    <w:rsid w:val="009759CA"/>
    <w:rsid w:val="00975A6D"/>
    <w:rsid w:val="00975F52"/>
    <w:rsid w:val="0097626A"/>
    <w:rsid w:val="00976287"/>
    <w:rsid w:val="009762B7"/>
    <w:rsid w:val="009762DE"/>
    <w:rsid w:val="0097630E"/>
    <w:rsid w:val="00976374"/>
    <w:rsid w:val="00976677"/>
    <w:rsid w:val="00976804"/>
    <w:rsid w:val="00976A3A"/>
    <w:rsid w:val="00976A87"/>
    <w:rsid w:val="00976EEC"/>
    <w:rsid w:val="00976FB7"/>
    <w:rsid w:val="0097723F"/>
    <w:rsid w:val="00977445"/>
    <w:rsid w:val="0097749C"/>
    <w:rsid w:val="0097755E"/>
    <w:rsid w:val="00977598"/>
    <w:rsid w:val="009775EB"/>
    <w:rsid w:val="00977708"/>
    <w:rsid w:val="0097781E"/>
    <w:rsid w:val="00977865"/>
    <w:rsid w:val="00977981"/>
    <w:rsid w:val="00977A3D"/>
    <w:rsid w:val="00977B0C"/>
    <w:rsid w:val="00977C52"/>
    <w:rsid w:val="00977CC0"/>
    <w:rsid w:val="00977F8D"/>
    <w:rsid w:val="00980083"/>
    <w:rsid w:val="0098035B"/>
    <w:rsid w:val="009806D6"/>
    <w:rsid w:val="009807F7"/>
    <w:rsid w:val="009807F8"/>
    <w:rsid w:val="00980830"/>
    <w:rsid w:val="009809FE"/>
    <w:rsid w:val="00980B3C"/>
    <w:rsid w:val="00980D31"/>
    <w:rsid w:val="00981060"/>
    <w:rsid w:val="00981144"/>
    <w:rsid w:val="0098122C"/>
    <w:rsid w:val="009813F0"/>
    <w:rsid w:val="009815AB"/>
    <w:rsid w:val="009815EA"/>
    <w:rsid w:val="009816E5"/>
    <w:rsid w:val="00981817"/>
    <w:rsid w:val="0098185A"/>
    <w:rsid w:val="00981916"/>
    <w:rsid w:val="00981AB2"/>
    <w:rsid w:val="00981AC0"/>
    <w:rsid w:val="00981C9B"/>
    <w:rsid w:val="00981EDF"/>
    <w:rsid w:val="00981FAE"/>
    <w:rsid w:val="00982199"/>
    <w:rsid w:val="009824B1"/>
    <w:rsid w:val="009826AC"/>
    <w:rsid w:val="00982B13"/>
    <w:rsid w:val="00982BD8"/>
    <w:rsid w:val="00982D1C"/>
    <w:rsid w:val="00982EBF"/>
    <w:rsid w:val="00982F0E"/>
    <w:rsid w:val="0098332E"/>
    <w:rsid w:val="00983335"/>
    <w:rsid w:val="009835A7"/>
    <w:rsid w:val="009835B9"/>
    <w:rsid w:val="009837F1"/>
    <w:rsid w:val="0098392F"/>
    <w:rsid w:val="009839E1"/>
    <w:rsid w:val="00983A97"/>
    <w:rsid w:val="00983AA2"/>
    <w:rsid w:val="00983DD0"/>
    <w:rsid w:val="00983DDB"/>
    <w:rsid w:val="00983DE7"/>
    <w:rsid w:val="00983F0C"/>
    <w:rsid w:val="00983FA6"/>
    <w:rsid w:val="009842E0"/>
    <w:rsid w:val="00984374"/>
    <w:rsid w:val="009843C6"/>
    <w:rsid w:val="00984467"/>
    <w:rsid w:val="00984566"/>
    <w:rsid w:val="00984656"/>
    <w:rsid w:val="009848CA"/>
    <w:rsid w:val="00984CCC"/>
    <w:rsid w:val="00984F03"/>
    <w:rsid w:val="009850CE"/>
    <w:rsid w:val="009852FE"/>
    <w:rsid w:val="009853C4"/>
    <w:rsid w:val="00985412"/>
    <w:rsid w:val="00985535"/>
    <w:rsid w:val="00985657"/>
    <w:rsid w:val="00985723"/>
    <w:rsid w:val="00985726"/>
    <w:rsid w:val="00985AA5"/>
    <w:rsid w:val="00985C08"/>
    <w:rsid w:val="00985C4E"/>
    <w:rsid w:val="00985DE2"/>
    <w:rsid w:val="00986190"/>
    <w:rsid w:val="0098630F"/>
    <w:rsid w:val="00986395"/>
    <w:rsid w:val="0098644A"/>
    <w:rsid w:val="009864ED"/>
    <w:rsid w:val="009864F8"/>
    <w:rsid w:val="009866EA"/>
    <w:rsid w:val="00986987"/>
    <w:rsid w:val="00986B2B"/>
    <w:rsid w:val="00986B58"/>
    <w:rsid w:val="00986BE4"/>
    <w:rsid w:val="00986E95"/>
    <w:rsid w:val="00987068"/>
    <w:rsid w:val="009870D7"/>
    <w:rsid w:val="00987130"/>
    <w:rsid w:val="00987184"/>
    <w:rsid w:val="009871EF"/>
    <w:rsid w:val="009873FF"/>
    <w:rsid w:val="00987653"/>
    <w:rsid w:val="00987744"/>
    <w:rsid w:val="00987981"/>
    <w:rsid w:val="00987CA7"/>
    <w:rsid w:val="00987D0F"/>
    <w:rsid w:val="00987DFF"/>
    <w:rsid w:val="00987E0E"/>
    <w:rsid w:val="00987E9F"/>
    <w:rsid w:val="00987FA9"/>
    <w:rsid w:val="0099017B"/>
    <w:rsid w:val="00990378"/>
    <w:rsid w:val="00990746"/>
    <w:rsid w:val="00990758"/>
    <w:rsid w:val="0099075D"/>
    <w:rsid w:val="00990766"/>
    <w:rsid w:val="00990961"/>
    <w:rsid w:val="00990B4F"/>
    <w:rsid w:val="00990BD5"/>
    <w:rsid w:val="00990C51"/>
    <w:rsid w:val="00990D53"/>
    <w:rsid w:val="00991008"/>
    <w:rsid w:val="0099110C"/>
    <w:rsid w:val="00991454"/>
    <w:rsid w:val="00991459"/>
    <w:rsid w:val="0099185E"/>
    <w:rsid w:val="00991930"/>
    <w:rsid w:val="00991BB6"/>
    <w:rsid w:val="00991F68"/>
    <w:rsid w:val="00992061"/>
    <w:rsid w:val="00992303"/>
    <w:rsid w:val="00992376"/>
    <w:rsid w:val="009923B9"/>
    <w:rsid w:val="00992470"/>
    <w:rsid w:val="009924E4"/>
    <w:rsid w:val="00992515"/>
    <w:rsid w:val="00992728"/>
    <w:rsid w:val="00992A3D"/>
    <w:rsid w:val="00992A82"/>
    <w:rsid w:val="00992B93"/>
    <w:rsid w:val="00992C94"/>
    <w:rsid w:val="00992D4A"/>
    <w:rsid w:val="00992E1C"/>
    <w:rsid w:val="00992EEF"/>
    <w:rsid w:val="009936C6"/>
    <w:rsid w:val="009937C2"/>
    <w:rsid w:val="009938BF"/>
    <w:rsid w:val="00993B64"/>
    <w:rsid w:val="00993D6F"/>
    <w:rsid w:val="00993F2A"/>
    <w:rsid w:val="00994165"/>
    <w:rsid w:val="00994375"/>
    <w:rsid w:val="0099457E"/>
    <w:rsid w:val="009945DF"/>
    <w:rsid w:val="00994619"/>
    <w:rsid w:val="0099474B"/>
    <w:rsid w:val="00994996"/>
    <w:rsid w:val="00994A59"/>
    <w:rsid w:val="00995134"/>
    <w:rsid w:val="009951EE"/>
    <w:rsid w:val="00995293"/>
    <w:rsid w:val="009952E7"/>
    <w:rsid w:val="0099574F"/>
    <w:rsid w:val="00995766"/>
    <w:rsid w:val="009958FF"/>
    <w:rsid w:val="0099598D"/>
    <w:rsid w:val="00995BBB"/>
    <w:rsid w:val="00995C39"/>
    <w:rsid w:val="00995E23"/>
    <w:rsid w:val="00995E26"/>
    <w:rsid w:val="00996202"/>
    <w:rsid w:val="00996301"/>
    <w:rsid w:val="0099639E"/>
    <w:rsid w:val="009963BE"/>
    <w:rsid w:val="009963E4"/>
    <w:rsid w:val="00996448"/>
    <w:rsid w:val="00996597"/>
    <w:rsid w:val="0099661A"/>
    <w:rsid w:val="00996659"/>
    <w:rsid w:val="00996805"/>
    <w:rsid w:val="0099684A"/>
    <w:rsid w:val="00996A2D"/>
    <w:rsid w:val="00996A55"/>
    <w:rsid w:val="00996A60"/>
    <w:rsid w:val="00996B77"/>
    <w:rsid w:val="00996C19"/>
    <w:rsid w:val="00996D2B"/>
    <w:rsid w:val="00997113"/>
    <w:rsid w:val="009973FC"/>
    <w:rsid w:val="00997663"/>
    <w:rsid w:val="009977B9"/>
    <w:rsid w:val="00997A78"/>
    <w:rsid w:val="00997B27"/>
    <w:rsid w:val="00997BE7"/>
    <w:rsid w:val="00997C28"/>
    <w:rsid w:val="00997D43"/>
    <w:rsid w:val="00997F15"/>
    <w:rsid w:val="009A017E"/>
    <w:rsid w:val="009A027B"/>
    <w:rsid w:val="009A036F"/>
    <w:rsid w:val="009A052B"/>
    <w:rsid w:val="009A0751"/>
    <w:rsid w:val="009A0802"/>
    <w:rsid w:val="009A083C"/>
    <w:rsid w:val="009A08B0"/>
    <w:rsid w:val="009A08D5"/>
    <w:rsid w:val="009A0A2B"/>
    <w:rsid w:val="009A0A39"/>
    <w:rsid w:val="009A0A84"/>
    <w:rsid w:val="009A0AF6"/>
    <w:rsid w:val="009A0C3D"/>
    <w:rsid w:val="009A0DAF"/>
    <w:rsid w:val="009A0DB3"/>
    <w:rsid w:val="009A0F6B"/>
    <w:rsid w:val="009A11C6"/>
    <w:rsid w:val="009A11F6"/>
    <w:rsid w:val="009A1264"/>
    <w:rsid w:val="009A12A9"/>
    <w:rsid w:val="009A12F7"/>
    <w:rsid w:val="009A15E0"/>
    <w:rsid w:val="009A15E6"/>
    <w:rsid w:val="009A18F1"/>
    <w:rsid w:val="009A1AF8"/>
    <w:rsid w:val="009A1CEE"/>
    <w:rsid w:val="009A1FA8"/>
    <w:rsid w:val="009A226C"/>
    <w:rsid w:val="009A23C0"/>
    <w:rsid w:val="009A25E1"/>
    <w:rsid w:val="009A28D1"/>
    <w:rsid w:val="009A2906"/>
    <w:rsid w:val="009A2A21"/>
    <w:rsid w:val="009A2B3C"/>
    <w:rsid w:val="009A2DEF"/>
    <w:rsid w:val="009A2F15"/>
    <w:rsid w:val="009A3288"/>
    <w:rsid w:val="009A3444"/>
    <w:rsid w:val="009A36C9"/>
    <w:rsid w:val="009A3814"/>
    <w:rsid w:val="009A3961"/>
    <w:rsid w:val="009A3A73"/>
    <w:rsid w:val="009A3ADE"/>
    <w:rsid w:val="009A3E54"/>
    <w:rsid w:val="009A3F4C"/>
    <w:rsid w:val="009A4063"/>
    <w:rsid w:val="009A414A"/>
    <w:rsid w:val="009A414D"/>
    <w:rsid w:val="009A4180"/>
    <w:rsid w:val="009A4216"/>
    <w:rsid w:val="009A42A7"/>
    <w:rsid w:val="009A4333"/>
    <w:rsid w:val="009A462A"/>
    <w:rsid w:val="009A46EA"/>
    <w:rsid w:val="009A490C"/>
    <w:rsid w:val="009A4A31"/>
    <w:rsid w:val="009A4A83"/>
    <w:rsid w:val="009A4BC6"/>
    <w:rsid w:val="009A4C23"/>
    <w:rsid w:val="009A4C8E"/>
    <w:rsid w:val="009A4CBB"/>
    <w:rsid w:val="009A4E67"/>
    <w:rsid w:val="009A547B"/>
    <w:rsid w:val="009A54C4"/>
    <w:rsid w:val="009A55CB"/>
    <w:rsid w:val="009A56E0"/>
    <w:rsid w:val="009A5C2C"/>
    <w:rsid w:val="009A5D5C"/>
    <w:rsid w:val="009A5FFF"/>
    <w:rsid w:val="009A62C6"/>
    <w:rsid w:val="009A632D"/>
    <w:rsid w:val="009A6394"/>
    <w:rsid w:val="009A6592"/>
    <w:rsid w:val="009A6662"/>
    <w:rsid w:val="009A67EB"/>
    <w:rsid w:val="009A6802"/>
    <w:rsid w:val="009A683B"/>
    <w:rsid w:val="009A6866"/>
    <w:rsid w:val="009A6999"/>
    <w:rsid w:val="009A6AA7"/>
    <w:rsid w:val="009A6B08"/>
    <w:rsid w:val="009A6BA2"/>
    <w:rsid w:val="009A6C1E"/>
    <w:rsid w:val="009A6D40"/>
    <w:rsid w:val="009A6ECE"/>
    <w:rsid w:val="009A7105"/>
    <w:rsid w:val="009A713D"/>
    <w:rsid w:val="009A71BC"/>
    <w:rsid w:val="009A71D9"/>
    <w:rsid w:val="009A7371"/>
    <w:rsid w:val="009A790C"/>
    <w:rsid w:val="009A7AF5"/>
    <w:rsid w:val="009A7B12"/>
    <w:rsid w:val="009A7B7F"/>
    <w:rsid w:val="009A7FAD"/>
    <w:rsid w:val="009B01E4"/>
    <w:rsid w:val="009B025E"/>
    <w:rsid w:val="009B02AF"/>
    <w:rsid w:val="009B060F"/>
    <w:rsid w:val="009B0673"/>
    <w:rsid w:val="009B0928"/>
    <w:rsid w:val="009B0960"/>
    <w:rsid w:val="009B0AA7"/>
    <w:rsid w:val="009B0F86"/>
    <w:rsid w:val="009B1175"/>
    <w:rsid w:val="009B13FF"/>
    <w:rsid w:val="009B14E2"/>
    <w:rsid w:val="009B1660"/>
    <w:rsid w:val="009B16EB"/>
    <w:rsid w:val="009B1769"/>
    <w:rsid w:val="009B1B5A"/>
    <w:rsid w:val="009B1CDF"/>
    <w:rsid w:val="009B1D7B"/>
    <w:rsid w:val="009B1D95"/>
    <w:rsid w:val="009B1ECF"/>
    <w:rsid w:val="009B219F"/>
    <w:rsid w:val="009B22BB"/>
    <w:rsid w:val="009B23F2"/>
    <w:rsid w:val="009B2611"/>
    <w:rsid w:val="009B2627"/>
    <w:rsid w:val="009B2732"/>
    <w:rsid w:val="009B2870"/>
    <w:rsid w:val="009B298D"/>
    <w:rsid w:val="009B2A9D"/>
    <w:rsid w:val="009B2D01"/>
    <w:rsid w:val="009B2F3C"/>
    <w:rsid w:val="009B3100"/>
    <w:rsid w:val="009B3245"/>
    <w:rsid w:val="009B3256"/>
    <w:rsid w:val="009B352B"/>
    <w:rsid w:val="009B3806"/>
    <w:rsid w:val="009B3916"/>
    <w:rsid w:val="009B3A19"/>
    <w:rsid w:val="009B3A41"/>
    <w:rsid w:val="009B3ACC"/>
    <w:rsid w:val="009B3BB8"/>
    <w:rsid w:val="009B3C2E"/>
    <w:rsid w:val="009B3CE3"/>
    <w:rsid w:val="009B401D"/>
    <w:rsid w:val="009B40C0"/>
    <w:rsid w:val="009B40EE"/>
    <w:rsid w:val="009B42D0"/>
    <w:rsid w:val="009B44B7"/>
    <w:rsid w:val="009B459E"/>
    <w:rsid w:val="009B4682"/>
    <w:rsid w:val="009B47E4"/>
    <w:rsid w:val="009B4ED7"/>
    <w:rsid w:val="009B4F35"/>
    <w:rsid w:val="009B4FE0"/>
    <w:rsid w:val="009B50FD"/>
    <w:rsid w:val="009B5115"/>
    <w:rsid w:val="009B5135"/>
    <w:rsid w:val="009B5303"/>
    <w:rsid w:val="009B5335"/>
    <w:rsid w:val="009B5423"/>
    <w:rsid w:val="009B55E9"/>
    <w:rsid w:val="009B5704"/>
    <w:rsid w:val="009B5755"/>
    <w:rsid w:val="009B59D8"/>
    <w:rsid w:val="009B5B63"/>
    <w:rsid w:val="009B616E"/>
    <w:rsid w:val="009B62B4"/>
    <w:rsid w:val="009B64C7"/>
    <w:rsid w:val="009B67C4"/>
    <w:rsid w:val="009B687D"/>
    <w:rsid w:val="009B69F7"/>
    <w:rsid w:val="009B6A74"/>
    <w:rsid w:val="009B6ADE"/>
    <w:rsid w:val="009B6C34"/>
    <w:rsid w:val="009B718B"/>
    <w:rsid w:val="009B72FB"/>
    <w:rsid w:val="009B7517"/>
    <w:rsid w:val="009B7740"/>
    <w:rsid w:val="009B777C"/>
    <w:rsid w:val="009B783C"/>
    <w:rsid w:val="009B7B1D"/>
    <w:rsid w:val="009B7E96"/>
    <w:rsid w:val="009B7FC0"/>
    <w:rsid w:val="009C01FE"/>
    <w:rsid w:val="009C0402"/>
    <w:rsid w:val="009C048F"/>
    <w:rsid w:val="009C0721"/>
    <w:rsid w:val="009C077D"/>
    <w:rsid w:val="009C0B14"/>
    <w:rsid w:val="009C0CB7"/>
    <w:rsid w:val="009C0DB4"/>
    <w:rsid w:val="009C0FA4"/>
    <w:rsid w:val="009C1074"/>
    <w:rsid w:val="009C1387"/>
    <w:rsid w:val="009C1402"/>
    <w:rsid w:val="009C1512"/>
    <w:rsid w:val="009C15C0"/>
    <w:rsid w:val="009C1ABF"/>
    <w:rsid w:val="009C1B49"/>
    <w:rsid w:val="009C206A"/>
    <w:rsid w:val="009C23E4"/>
    <w:rsid w:val="009C2877"/>
    <w:rsid w:val="009C294F"/>
    <w:rsid w:val="009C2A2F"/>
    <w:rsid w:val="009C2D19"/>
    <w:rsid w:val="009C2D50"/>
    <w:rsid w:val="009C2E14"/>
    <w:rsid w:val="009C2EC2"/>
    <w:rsid w:val="009C3061"/>
    <w:rsid w:val="009C306B"/>
    <w:rsid w:val="009C3354"/>
    <w:rsid w:val="009C33BD"/>
    <w:rsid w:val="009C3475"/>
    <w:rsid w:val="009C34E1"/>
    <w:rsid w:val="009C3515"/>
    <w:rsid w:val="009C3601"/>
    <w:rsid w:val="009C3706"/>
    <w:rsid w:val="009C3888"/>
    <w:rsid w:val="009C389C"/>
    <w:rsid w:val="009C38FB"/>
    <w:rsid w:val="009C3A8E"/>
    <w:rsid w:val="009C3E67"/>
    <w:rsid w:val="009C411A"/>
    <w:rsid w:val="009C421C"/>
    <w:rsid w:val="009C431D"/>
    <w:rsid w:val="009C448D"/>
    <w:rsid w:val="009C45D9"/>
    <w:rsid w:val="009C45FE"/>
    <w:rsid w:val="009C480B"/>
    <w:rsid w:val="009C49BC"/>
    <w:rsid w:val="009C4A21"/>
    <w:rsid w:val="009C4BA0"/>
    <w:rsid w:val="009C4C09"/>
    <w:rsid w:val="009C4CDE"/>
    <w:rsid w:val="009C4DCA"/>
    <w:rsid w:val="009C4E78"/>
    <w:rsid w:val="009C506A"/>
    <w:rsid w:val="009C5079"/>
    <w:rsid w:val="009C5269"/>
    <w:rsid w:val="009C52C6"/>
    <w:rsid w:val="009C5ADE"/>
    <w:rsid w:val="009C5B25"/>
    <w:rsid w:val="009C5B3E"/>
    <w:rsid w:val="009C5BBE"/>
    <w:rsid w:val="009C5BF3"/>
    <w:rsid w:val="009C5C4B"/>
    <w:rsid w:val="009C5C86"/>
    <w:rsid w:val="009C5ED3"/>
    <w:rsid w:val="009C627D"/>
    <w:rsid w:val="009C6623"/>
    <w:rsid w:val="009C6754"/>
    <w:rsid w:val="009C691F"/>
    <w:rsid w:val="009C695B"/>
    <w:rsid w:val="009C69BA"/>
    <w:rsid w:val="009C6BCF"/>
    <w:rsid w:val="009C6CBD"/>
    <w:rsid w:val="009C6CE0"/>
    <w:rsid w:val="009C6D51"/>
    <w:rsid w:val="009C6DB9"/>
    <w:rsid w:val="009C6E95"/>
    <w:rsid w:val="009C7152"/>
    <w:rsid w:val="009C7264"/>
    <w:rsid w:val="009C72E3"/>
    <w:rsid w:val="009C72FD"/>
    <w:rsid w:val="009C7575"/>
    <w:rsid w:val="009C75F6"/>
    <w:rsid w:val="009C766F"/>
    <w:rsid w:val="009C768F"/>
    <w:rsid w:val="009C76D0"/>
    <w:rsid w:val="009C7893"/>
    <w:rsid w:val="009C7955"/>
    <w:rsid w:val="009C7B96"/>
    <w:rsid w:val="009C7BEE"/>
    <w:rsid w:val="009D00F0"/>
    <w:rsid w:val="009D028E"/>
    <w:rsid w:val="009D0414"/>
    <w:rsid w:val="009D04BE"/>
    <w:rsid w:val="009D07D9"/>
    <w:rsid w:val="009D07DD"/>
    <w:rsid w:val="009D07F3"/>
    <w:rsid w:val="009D08B6"/>
    <w:rsid w:val="009D0AA6"/>
    <w:rsid w:val="009D0ABC"/>
    <w:rsid w:val="009D0B83"/>
    <w:rsid w:val="009D0C7F"/>
    <w:rsid w:val="009D12DB"/>
    <w:rsid w:val="009D1412"/>
    <w:rsid w:val="009D1540"/>
    <w:rsid w:val="009D1570"/>
    <w:rsid w:val="009D157F"/>
    <w:rsid w:val="009D1992"/>
    <w:rsid w:val="009D1996"/>
    <w:rsid w:val="009D19CD"/>
    <w:rsid w:val="009D1B6F"/>
    <w:rsid w:val="009D1D57"/>
    <w:rsid w:val="009D1FAD"/>
    <w:rsid w:val="009D22FF"/>
    <w:rsid w:val="009D2305"/>
    <w:rsid w:val="009D2345"/>
    <w:rsid w:val="009D278A"/>
    <w:rsid w:val="009D2B0D"/>
    <w:rsid w:val="009D2B39"/>
    <w:rsid w:val="009D2BA3"/>
    <w:rsid w:val="009D3094"/>
    <w:rsid w:val="009D330D"/>
    <w:rsid w:val="009D3442"/>
    <w:rsid w:val="009D36F7"/>
    <w:rsid w:val="009D3828"/>
    <w:rsid w:val="009D39F2"/>
    <w:rsid w:val="009D3C4C"/>
    <w:rsid w:val="009D3C77"/>
    <w:rsid w:val="009D3DD7"/>
    <w:rsid w:val="009D3F93"/>
    <w:rsid w:val="009D40F1"/>
    <w:rsid w:val="009D414F"/>
    <w:rsid w:val="009D4304"/>
    <w:rsid w:val="009D430A"/>
    <w:rsid w:val="009D4429"/>
    <w:rsid w:val="009D486E"/>
    <w:rsid w:val="009D49F3"/>
    <w:rsid w:val="009D4A96"/>
    <w:rsid w:val="009D4C4A"/>
    <w:rsid w:val="009D4FAA"/>
    <w:rsid w:val="009D5106"/>
    <w:rsid w:val="009D53C1"/>
    <w:rsid w:val="009D5532"/>
    <w:rsid w:val="009D56D1"/>
    <w:rsid w:val="009D5A23"/>
    <w:rsid w:val="009D5A75"/>
    <w:rsid w:val="009D5AA0"/>
    <w:rsid w:val="009D5D14"/>
    <w:rsid w:val="009D5E3D"/>
    <w:rsid w:val="009D5F0C"/>
    <w:rsid w:val="009D6151"/>
    <w:rsid w:val="009D618A"/>
    <w:rsid w:val="009D61A4"/>
    <w:rsid w:val="009D652D"/>
    <w:rsid w:val="009D659F"/>
    <w:rsid w:val="009D65D4"/>
    <w:rsid w:val="009D69D7"/>
    <w:rsid w:val="009D6CFC"/>
    <w:rsid w:val="009D6D0D"/>
    <w:rsid w:val="009D6D96"/>
    <w:rsid w:val="009D6EDE"/>
    <w:rsid w:val="009D7114"/>
    <w:rsid w:val="009D71E1"/>
    <w:rsid w:val="009D74E9"/>
    <w:rsid w:val="009D7995"/>
    <w:rsid w:val="009D79C8"/>
    <w:rsid w:val="009D7B5B"/>
    <w:rsid w:val="009D7D30"/>
    <w:rsid w:val="009E05B7"/>
    <w:rsid w:val="009E0A87"/>
    <w:rsid w:val="009E0B10"/>
    <w:rsid w:val="009E0C48"/>
    <w:rsid w:val="009E0EE4"/>
    <w:rsid w:val="009E1036"/>
    <w:rsid w:val="009E10E8"/>
    <w:rsid w:val="009E10F4"/>
    <w:rsid w:val="009E1162"/>
    <w:rsid w:val="009E142C"/>
    <w:rsid w:val="009E14F8"/>
    <w:rsid w:val="009E1553"/>
    <w:rsid w:val="009E16A2"/>
    <w:rsid w:val="009E1700"/>
    <w:rsid w:val="009E17F7"/>
    <w:rsid w:val="009E1A2F"/>
    <w:rsid w:val="009E1CBF"/>
    <w:rsid w:val="009E1F1A"/>
    <w:rsid w:val="009E1F8D"/>
    <w:rsid w:val="009E2179"/>
    <w:rsid w:val="009E2384"/>
    <w:rsid w:val="009E2395"/>
    <w:rsid w:val="009E25E7"/>
    <w:rsid w:val="009E273F"/>
    <w:rsid w:val="009E27CD"/>
    <w:rsid w:val="009E2867"/>
    <w:rsid w:val="009E28C7"/>
    <w:rsid w:val="009E2A33"/>
    <w:rsid w:val="009E2AEE"/>
    <w:rsid w:val="009E2BAE"/>
    <w:rsid w:val="009E2F53"/>
    <w:rsid w:val="009E305F"/>
    <w:rsid w:val="009E3123"/>
    <w:rsid w:val="009E339E"/>
    <w:rsid w:val="009E344C"/>
    <w:rsid w:val="009E3550"/>
    <w:rsid w:val="009E35EF"/>
    <w:rsid w:val="009E3665"/>
    <w:rsid w:val="009E391B"/>
    <w:rsid w:val="009E396A"/>
    <w:rsid w:val="009E3BE1"/>
    <w:rsid w:val="009E3CE3"/>
    <w:rsid w:val="009E402E"/>
    <w:rsid w:val="009E40C9"/>
    <w:rsid w:val="009E44C8"/>
    <w:rsid w:val="009E452C"/>
    <w:rsid w:val="009E4721"/>
    <w:rsid w:val="009E4AA8"/>
    <w:rsid w:val="009E4AB0"/>
    <w:rsid w:val="009E4B49"/>
    <w:rsid w:val="009E4C3E"/>
    <w:rsid w:val="009E4C54"/>
    <w:rsid w:val="009E4C9D"/>
    <w:rsid w:val="009E4E93"/>
    <w:rsid w:val="009E4EA1"/>
    <w:rsid w:val="009E4FEB"/>
    <w:rsid w:val="009E50AA"/>
    <w:rsid w:val="009E52BE"/>
    <w:rsid w:val="009E535B"/>
    <w:rsid w:val="009E546B"/>
    <w:rsid w:val="009E54CA"/>
    <w:rsid w:val="009E569D"/>
    <w:rsid w:val="009E5706"/>
    <w:rsid w:val="009E5750"/>
    <w:rsid w:val="009E57BA"/>
    <w:rsid w:val="009E59B4"/>
    <w:rsid w:val="009E59E8"/>
    <w:rsid w:val="009E5A8E"/>
    <w:rsid w:val="009E5B16"/>
    <w:rsid w:val="009E5C4C"/>
    <w:rsid w:val="009E5F21"/>
    <w:rsid w:val="009E5F7F"/>
    <w:rsid w:val="009E6072"/>
    <w:rsid w:val="009E620D"/>
    <w:rsid w:val="009E6338"/>
    <w:rsid w:val="009E6342"/>
    <w:rsid w:val="009E64E8"/>
    <w:rsid w:val="009E6583"/>
    <w:rsid w:val="009E65E8"/>
    <w:rsid w:val="009E6A02"/>
    <w:rsid w:val="009E6AD5"/>
    <w:rsid w:val="009E6B85"/>
    <w:rsid w:val="009E6B9C"/>
    <w:rsid w:val="009E6C7F"/>
    <w:rsid w:val="009E6F34"/>
    <w:rsid w:val="009E70B6"/>
    <w:rsid w:val="009E7766"/>
    <w:rsid w:val="009E7889"/>
    <w:rsid w:val="009E7A19"/>
    <w:rsid w:val="009E7A27"/>
    <w:rsid w:val="009E7BA0"/>
    <w:rsid w:val="009E7C5B"/>
    <w:rsid w:val="009E7CED"/>
    <w:rsid w:val="009E7D9C"/>
    <w:rsid w:val="009F0027"/>
    <w:rsid w:val="009F00E4"/>
    <w:rsid w:val="009F0327"/>
    <w:rsid w:val="009F0463"/>
    <w:rsid w:val="009F061C"/>
    <w:rsid w:val="009F06EB"/>
    <w:rsid w:val="009F072B"/>
    <w:rsid w:val="009F0773"/>
    <w:rsid w:val="009F07CD"/>
    <w:rsid w:val="009F07F7"/>
    <w:rsid w:val="009F0A09"/>
    <w:rsid w:val="009F0A8B"/>
    <w:rsid w:val="009F0DA8"/>
    <w:rsid w:val="009F0EE3"/>
    <w:rsid w:val="009F0F61"/>
    <w:rsid w:val="009F1019"/>
    <w:rsid w:val="009F10E4"/>
    <w:rsid w:val="009F1166"/>
    <w:rsid w:val="009F149D"/>
    <w:rsid w:val="009F1623"/>
    <w:rsid w:val="009F16C6"/>
    <w:rsid w:val="009F1AD6"/>
    <w:rsid w:val="009F1B83"/>
    <w:rsid w:val="009F1BFD"/>
    <w:rsid w:val="009F1D3B"/>
    <w:rsid w:val="009F1D50"/>
    <w:rsid w:val="009F2032"/>
    <w:rsid w:val="009F20CD"/>
    <w:rsid w:val="009F22A9"/>
    <w:rsid w:val="009F235B"/>
    <w:rsid w:val="009F2482"/>
    <w:rsid w:val="009F2539"/>
    <w:rsid w:val="009F25EC"/>
    <w:rsid w:val="009F25FB"/>
    <w:rsid w:val="009F2665"/>
    <w:rsid w:val="009F26DB"/>
    <w:rsid w:val="009F2703"/>
    <w:rsid w:val="009F2861"/>
    <w:rsid w:val="009F28A0"/>
    <w:rsid w:val="009F2AF6"/>
    <w:rsid w:val="009F2D1E"/>
    <w:rsid w:val="009F31C7"/>
    <w:rsid w:val="009F32EE"/>
    <w:rsid w:val="009F332B"/>
    <w:rsid w:val="009F3682"/>
    <w:rsid w:val="009F3734"/>
    <w:rsid w:val="009F38E4"/>
    <w:rsid w:val="009F399E"/>
    <w:rsid w:val="009F3AD5"/>
    <w:rsid w:val="009F3D20"/>
    <w:rsid w:val="009F3D31"/>
    <w:rsid w:val="009F3EC9"/>
    <w:rsid w:val="009F4119"/>
    <w:rsid w:val="009F4214"/>
    <w:rsid w:val="009F425F"/>
    <w:rsid w:val="009F4398"/>
    <w:rsid w:val="009F447A"/>
    <w:rsid w:val="009F4519"/>
    <w:rsid w:val="009F4706"/>
    <w:rsid w:val="009F47FE"/>
    <w:rsid w:val="009F48C5"/>
    <w:rsid w:val="009F4AA2"/>
    <w:rsid w:val="009F4D90"/>
    <w:rsid w:val="009F4E3A"/>
    <w:rsid w:val="009F4F98"/>
    <w:rsid w:val="009F5005"/>
    <w:rsid w:val="009F5195"/>
    <w:rsid w:val="009F51A2"/>
    <w:rsid w:val="009F5445"/>
    <w:rsid w:val="009F54BE"/>
    <w:rsid w:val="009F5501"/>
    <w:rsid w:val="009F564F"/>
    <w:rsid w:val="009F56C6"/>
    <w:rsid w:val="009F56EF"/>
    <w:rsid w:val="009F5779"/>
    <w:rsid w:val="009F5AB5"/>
    <w:rsid w:val="009F5C8A"/>
    <w:rsid w:val="009F5D13"/>
    <w:rsid w:val="009F5F79"/>
    <w:rsid w:val="009F6209"/>
    <w:rsid w:val="009F63AD"/>
    <w:rsid w:val="009F65D7"/>
    <w:rsid w:val="009F6734"/>
    <w:rsid w:val="009F6747"/>
    <w:rsid w:val="009F68B9"/>
    <w:rsid w:val="009F6A00"/>
    <w:rsid w:val="009F6AC9"/>
    <w:rsid w:val="009F6CB2"/>
    <w:rsid w:val="009F6CB5"/>
    <w:rsid w:val="009F6F40"/>
    <w:rsid w:val="009F6F99"/>
    <w:rsid w:val="009F7002"/>
    <w:rsid w:val="009F73FA"/>
    <w:rsid w:val="009F7497"/>
    <w:rsid w:val="009F770B"/>
    <w:rsid w:val="009F796C"/>
    <w:rsid w:val="009F7A9E"/>
    <w:rsid w:val="009F7CCF"/>
    <w:rsid w:val="009F7D26"/>
    <w:rsid w:val="009F7DA2"/>
    <w:rsid w:val="009F7F77"/>
    <w:rsid w:val="00A00034"/>
    <w:rsid w:val="00A000FA"/>
    <w:rsid w:val="00A00402"/>
    <w:rsid w:val="00A0054C"/>
    <w:rsid w:val="00A005A8"/>
    <w:rsid w:val="00A00646"/>
    <w:rsid w:val="00A00737"/>
    <w:rsid w:val="00A00785"/>
    <w:rsid w:val="00A00C0F"/>
    <w:rsid w:val="00A00DCF"/>
    <w:rsid w:val="00A00E17"/>
    <w:rsid w:val="00A00E6E"/>
    <w:rsid w:val="00A01137"/>
    <w:rsid w:val="00A01176"/>
    <w:rsid w:val="00A01348"/>
    <w:rsid w:val="00A013FE"/>
    <w:rsid w:val="00A0143E"/>
    <w:rsid w:val="00A0147A"/>
    <w:rsid w:val="00A01567"/>
    <w:rsid w:val="00A016B4"/>
    <w:rsid w:val="00A016F7"/>
    <w:rsid w:val="00A018ED"/>
    <w:rsid w:val="00A01B3E"/>
    <w:rsid w:val="00A01CED"/>
    <w:rsid w:val="00A01CF6"/>
    <w:rsid w:val="00A01CFB"/>
    <w:rsid w:val="00A01DA5"/>
    <w:rsid w:val="00A01EEC"/>
    <w:rsid w:val="00A02096"/>
    <w:rsid w:val="00A02109"/>
    <w:rsid w:val="00A02256"/>
    <w:rsid w:val="00A022B2"/>
    <w:rsid w:val="00A02311"/>
    <w:rsid w:val="00A02517"/>
    <w:rsid w:val="00A0264F"/>
    <w:rsid w:val="00A027E6"/>
    <w:rsid w:val="00A0288D"/>
    <w:rsid w:val="00A02897"/>
    <w:rsid w:val="00A02941"/>
    <w:rsid w:val="00A029AE"/>
    <w:rsid w:val="00A029EC"/>
    <w:rsid w:val="00A02DC7"/>
    <w:rsid w:val="00A02E32"/>
    <w:rsid w:val="00A02F67"/>
    <w:rsid w:val="00A02FB3"/>
    <w:rsid w:val="00A03032"/>
    <w:rsid w:val="00A03245"/>
    <w:rsid w:val="00A032EF"/>
    <w:rsid w:val="00A0351E"/>
    <w:rsid w:val="00A035C0"/>
    <w:rsid w:val="00A03983"/>
    <w:rsid w:val="00A03AE7"/>
    <w:rsid w:val="00A03BF4"/>
    <w:rsid w:val="00A03C75"/>
    <w:rsid w:val="00A03F20"/>
    <w:rsid w:val="00A041AB"/>
    <w:rsid w:val="00A04593"/>
    <w:rsid w:val="00A0483A"/>
    <w:rsid w:val="00A04A2B"/>
    <w:rsid w:val="00A04A5B"/>
    <w:rsid w:val="00A04B16"/>
    <w:rsid w:val="00A04DA2"/>
    <w:rsid w:val="00A04F92"/>
    <w:rsid w:val="00A0502D"/>
    <w:rsid w:val="00A05162"/>
    <w:rsid w:val="00A05170"/>
    <w:rsid w:val="00A05283"/>
    <w:rsid w:val="00A053B5"/>
    <w:rsid w:val="00A053C7"/>
    <w:rsid w:val="00A05556"/>
    <w:rsid w:val="00A05582"/>
    <w:rsid w:val="00A055C6"/>
    <w:rsid w:val="00A05691"/>
    <w:rsid w:val="00A05920"/>
    <w:rsid w:val="00A05A03"/>
    <w:rsid w:val="00A05F02"/>
    <w:rsid w:val="00A05FE7"/>
    <w:rsid w:val="00A06007"/>
    <w:rsid w:val="00A06076"/>
    <w:rsid w:val="00A060FE"/>
    <w:rsid w:val="00A06429"/>
    <w:rsid w:val="00A065BC"/>
    <w:rsid w:val="00A0662C"/>
    <w:rsid w:val="00A068C0"/>
    <w:rsid w:val="00A068F0"/>
    <w:rsid w:val="00A06935"/>
    <w:rsid w:val="00A06A11"/>
    <w:rsid w:val="00A06CBB"/>
    <w:rsid w:val="00A06D9A"/>
    <w:rsid w:val="00A06E20"/>
    <w:rsid w:val="00A06E37"/>
    <w:rsid w:val="00A06FFF"/>
    <w:rsid w:val="00A07097"/>
    <w:rsid w:val="00A071F5"/>
    <w:rsid w:val="00A0720C"/>
    <w:rsid w:val="00A07229"/>
    <w:rsid w:val="00A072F6"/>
    <w:rsid w:val="00A07325"/>
    <w:rsid w:val="00A07378"/>
    <w:rsid w:val="00A073FC"/>
    <w:rsid w:val="00A074CF"/>
    <w:rsid w:val="00A0752C"/>
    <w:rsid w:val="00A07821"/>
    <w:rsid w:val="00A07863"/>
    <w:rsid w:val="00A07C58"/>
    <w:rsid w:val="00A07C98"/>
    <w:rsid w:val="00A07F89"/>
    <w:rsid w:val="00A07FC7"/>
    <w:rsid w:val="00A1013C"/>
    <w:rsid w:val="00A10181"/>
    <w:rsid w:val="00A106A3"/>
    <w:rsid w:val="00A10712"/>
    <w:rsid w:val="00A10738"/>
    <w:rsid w:val="00A108CA"/>
    <w:rsid w:val="00A10AB6"/>
    <w:rsid w:val="00A10B0B"/>
    <w:rsid w:val="00A10C51"/>
    <w:rsid w:val="00A10CB4"/>
    <w:rsid w:val="00A10F11"/>
    <w:rsid w:val="00A10F53"/>
    <w:rsid w:val="00A11008"/>
    <w:rsid w:val="00A114DF"/>
    <w:rsid w:val="00A1166A"/>
    <w:rsid w:val="00A116AE"/>
    <w:rsid w:val="00A11729"/>
    <w:rsid w:val="00A11793"/>
    <w:rsid w:val="00A11815"/>
    <w:rsid w:val="00A11850"/>
    <w:rsid w:val="00A1189F"/>
    <w:rsid w:val="00A119D2"/>
    <w:rsid w:val="00A119EF"/>
    <w:rsid w:val="00A11AB5"/>
    <w:rsid w:val="00A11C08"/>
    <w:rsid w:val="00A1200A"/>
    <w:rsid w:val="00A12173"/>
    <w:rsid w:val="00A121AD"/>
    <w:rsid w:val="00A1242F"/>
    <w:rsid w:val="00A1257D"/>
    <w:rsid w:val="00A12714"/>
    <w:rsid w:val="00A127A4"/>
    <w:rsid w:val="00A127B3"/>
    <w:rsid w:val="00A12E71"/>
    <w:rsid w:val="00A13176"/>
    <w:rsid w:val="00A13251"/>
    <w:rsid w:val="00A132F1"/>
    <w:rsid w:val="00A133A7"/>
    <w:rsid w:val="00A134E5"/>
    <w:rsid w:val="00A134ED"/>
    <w:rsid w:val="00A1377C"/>
    <w:rsid w:val="00A13932"/>
    <w:rsid w:val="00A13BFD"/>
    <w:rsid w:val="00A13C60"/>
    <w:rsid w:val="00A13CBC"/>
    <w:rsid w:val="00A13EB0"/>
    <w:rsid w:val="00A13FB7"/>
    <w:rsid w:val="00A14268"/>
    <w:rsid w:val="00A144C8"/>
    <w:rsid w:val="00A14578"/>
    <w:rsid w:val="00A1465F"/>
    <w:rsid w:val="00A146C3"/>
    <w:rsid w:val="00A14751"/>
    <w:rsid w:val="00A147CA"/>
    <w:rsid w:val="00A147ED"/>
    <w:rsid w:val="00A1489C"/>
    <w:rsid w:val="00A148BF"/>
    <w:rsid w:val="00A14A6A"/>
    <w:rsid w:val="00A14ACA"/>
    <w:rsid w:val="00A14DF3"/>
    <w:rsid w:val="00A14F1D"/>
    <w:rsid w:val="00A14F47"/>
    <w:rsid w:val="00A150DB"/>
    <w:rsid w:val="00A15180"/>
    <w:rsid w:val="00A15693"/>
    <w:rsid w:val="00A1569C"/>
    <w:rsid w:val="00A156B9"/>
    <w:rsid w:val="00A158FF"/>
    <w:rsid w:val="00A15915"/>
    <w:rsid w:val="00A159F1"/>
    <w:rsid w:val="00A15A47"/>
    <w:rsid w:val="00A15C50"/>
    <w:rsid w:val="00A15F3A"/>
    <w:rsid w:val="00A1618B"/>
    <w:rsid w:val="00A16192"/>
    <w:rsid w:val="00A16204"/>
    <w:rsid w:val="00A16325"/>
    <w:rsid w:val="00A1654E"/>
    <w:rsid w:val="00A1666C"/>
    <w:rsid w:val="00A166F9"/>
    <w:rsid w:val="00A16822"/>
    <w:rsid w:val="00A16869"/>
    <w:rsid w:val="00A16A36"/>
    <w:rsid w:val="00A16ADA"/>
    <w:rsid w:val="00A16B08"/>
    <w:rsid w:val="00A16B2B"/>
    <w:rsid w:val="00A16CE8"/>
    <w:rsid w:val="00A16D4D"/>
    <w:rsid w:val="00A16D50"/>
    <w:rsid w:val="00A16F1D"/>
    <w:rsid w:val="00A16F35"/>
    <w:rsid w:val="00A17004"/>
    <w:rsid w:val="00A170D1"/>
    <w:rsid w:val="00A172B1"/>
    <w:rsid w:val="00A1735C"/>
    <w:rsid w:val="00A1737D"/>
    <w:rsid w:val="00A174EA"/>
    <w:rsid w:val="00A174F7"/>
    <w:rsid w:val="00A175DB"/>
    <w:rsid w:val="00A17618"/>
    <w:rsid w:val="00A1776F"/>
    <w:rsid w:val="00A17A59"/>
    <w:rsid w:val="00A17ABA"/>
    <w:rsid w:val="00A17ADF"/>
    <w:rsid w:val="00A17AFF"/>
    <w:rsid w:val="00A17BB2"/>
    <w:rsid w:val="00A17C3D"/>
    <w:rsid w:val="00A17E36"/>
    <w:rsid w:val="00A17ED3"/>
    <w:rsid w:val="00A20170"/>
    <w:rsid w:val="00A20313"/>
    <w:rsid w:val="00A20565"/>
    <w:rsid w:val="00A20638"/>
    <w:rsid w:val="00A20653"/>
    <w:rsid w:val="00A208EC"/>
    <w:rsid w:val="00A20999"/>
    <w:rsid w:val="00A20C29"/>
    <w:rsid w:val="00A20CDD"/>
    <w:rsid w:val="00A20D8A"/>
    <w:rsid w:val="00A20E51"/>
    <w:rsid w:val="00A20E63"/>
    <w:rsid w:val="00A21013"/>
    <w:rsid w:val="00A21124"/>
    <w:rsid w:val="00A21430"/>
    <w:rsid w:val="00A215E0"/>
    <w:rsid w:val="00A21716"/>
    <w:rsid w:val="00A21763"/>
    <w:rsid w:val="00A21909"/>
    <w:rsid w:val="00A2195C"/>
    <w:rsid w:val="00A21AFC"/>
    <w:rsid w:val="00A21C24"/>
    <w:rsid w:val="00A21C59"/>
    <w:rsid w:val="00A21CA1"/>
    <w:rsid w:val="00A21D18"/>
    <w:rsid w:val="00A21D63"/>
    <w:rsid w:val="00A21DD3"/>
    <w:rsid w:val="00A21DD5"/>
    <w:rsid w:val="00A21DF2"/>
    <w:rsid w:val="00A21E02"/>
    <w:rsid w:val="00A21E35"/>
    <w:rsid w:val="00A21E61"/>
    <w:rsid w:val="00A21EBF"/>
    <w:rsid w:val="00A220B4"/>
    <w:rsid w:val="00A2227C"/>
    <w:rsid w:val="00A22305"/>
    <w:rsid w:val="00A22412"/>
    <w:rsid w:val="00A22602"/>
    <w:rsid w:val="00A2279C"/>
    <w:rsid w:val="00A2298E"/>
    <w:rsid w:val="00A22A07"/>
    <w:rsid w:val="00A22B6A"/>
    <w:rsid w:val="00A22B80"/>
    <w:rsid w:val="00A22D5D"/>
    <w:rsid w:val="00A22ECC"/>
    <w:rsid w:val="00A2312A"/>
    <w:rsid w:val="00A232DC"/>
    <w:rsid w:val="00A2337C"/>
    <w:rsid w:val="00A234D2"/>
    <w:rsid w:val="00A2365D"/>
    <w:rsid w:val="00A236FB"/>
    <w:rsid w:val="00A237BE"/>
    <w:rsid w:val="00A23945"/>
    <w:rsid w:val="00A23B52"/>
    <w:rsid w:val="00A23BD9"/>
    <w:rsid w:val="00A23EF5"/>
    <w:rsid w:val="00A24119"/>
    <w:rsid w:val="00A2418C"/>
    <w:rsid w:val="00A2439F"/>
    <w:rsid w:val="00A24422"/>
    <w:rsid w:val="00A244A0"/>
    <w:rsid w:val="00A2462E"/>
    <w:rsid w:val="00A247B7"/>
    <w:rsid w:val="00A247D0"/>
    <w:rsid w:val="00A24903"/>
    <w:rsid w:val="00A2496E"/>
    <w:rsid w:val="00A24B93"/>
    <w:rsid w:val="00A24C2C"/>
    <w:rsid w:val="00A24DAA"/>
    <w:rsid w:val="00A24DEB"/>
    <w:rsid w:val="00A255BB"/>
    <w:rsid w:val="00A256B7"/>
    <w:rsid w:val="00A257D6"/>
    <w:rsid w:val="00A25884"/>
    <w:rsid w:val="00A25949"/>
    <w:rsid w:val="00A259C5"/>
    <w:rsid w:val="00A25E94"/>
    <w:rsid w:val="00A25EB8"/>
    <w:rsid w:val="00A260C3"/>
    <w:rsid w:val="00A2613D"/>
    <w:rsid w:val="00A2618B"/>
    <w:rsid w:val="00A2662A"/>
    <w:rsid w:val="00A2675E"/>
    <w:rsid w:val="00A26820"/>
    <w:rsid w:val="00A26C95"/>
    <w:rsid w:val="00A26CA4"/>
    <w:rsid w:val="00A26E82"/>
    <w:rsid w:val="00A2737B"/>
    <w:rsid w:val="00A2748B"/>
    <w:rsid w:val="00A27545"/>
    <w:rsid w:val="00A27649"/>
    <w:rsid w:val="00A27713"/>
    <w:rsid w:val="00A277DD"/>
    <w:rsid w:val="00A279C8"/>
    <w:rsid w:val="00A27A10"/>
    <w:rsid w:val="00A27C5C"/>
    <w:rsid w:val="00A27E4E"/>
    <w:rsid w:val="00A300DF"/>
    <w:rsid w:val="00A30119"/>
    <w:rsid w:val="00A30145"/>
    <w:rsid w:val="00A3028F"/>
    <w:rsid w:val="00A302B6"/>
    <w:rsid w:val="00A30433"/>
    <w:rsid w:val="00A30505"/>
    <w:rsid w:val="00A305C6"/>
    <w:rsid w:val="00A308D9"/>
    <w:rsid w:val="00A30C07"/>
    <w:rsid w:val="00A30C43"/>
    <w:rsid w:val="00A310B6"/>
    <w:rsid w:val="00A31241"/>
    <w:rsid w:val="00A31427"/>
    <w:rsid w:val="00A315B3"/>
    <w:rsid w:val="00A3168E"/>
    <w:rsid w:val="00A316D4"/>
    <w:rsid w:val="00A31890"/>
    <w:rsid w:val="00A319C1"/>
    <w:rsid w:val="00A31F10"/>
    <w:rsid w:val="00A3210C"/>
    <w:rsid w:val="00A3213B"/>
    <w:rsid w:val="00A321D6"/>
    <w:rsid w:val="00A321DA"/>
    <w:rsid w:val="00A32446"/>
    <w:rsid w:val="00A3244F"/>
    <w:rsid w:val="00A3263B"/>
    <w:rsid w:val="00A327ED"/>
    <w:rsid w:val="00A32863"/>
    <w:rsid w:val="00A329E0"/>
    <w:rsid w:val="00A32A4F"/>
    <w:rsid w:val="00A32CD3"/>
    <w:rsid w:val="00A32D11"/>
    <w:rsid w:val="00A32D2A"/>
    <w:rsid w:val="00A32DC1"/>
    <w:rsid w:val="00A32FD9"/>
    <w:rsid w:val="00A33025"/>
    <w:rsid w:val="00A3309B"/>
    <w:rsid w:val="00A33170"/>
    <w:rsid w:val="00A3320F"/>
    <w:rsid w:val="00A33236"/>
    <w:rsid w:val="00A33359"/>
    <w:rsid w:val="00A334CB"/>
    <w:rsid w:val="00A3359A"/>
    <w:rsid w:val="00A33690"/>
    <w:rsid w:val="00A336A2"/>
    <w:rsid w:val="00A3370A"/>
    <w:rsid w:val="00A33967"/>
    <w:rsid w:val="00A33A9D"/>
    <w:rsid w:val="00A33AB0"/>
    <w:rsid w:val="00A33D27"/>
    <w:rsid w:val="00A33F41"/>
    <w:rsid w:val="00A33F66"/>
    <w:rsid w:val="00A33F73"/>
    <w:rsid w:val="00A33FC8"/>
    <w:rsid w:val="00A34347"/>
    <w:rsid w:val="00A3443E"/>
    <w:rsid w:val="00A34460"/>
    <w:rsid w:val="00A347A0"/>
    <w:rsid w:val="00A348B5"/>
    <w:rsid w:val="00A34B2D"/>
    <w:rsid w:val="00A34D7F"/>
    <w:rsid w:val="00A34EF9"/>
    <w:rsid w:val="00A34F00"/>
    <w:rsid w:val="00A35101"/>
    <w:rsid w:val="00A351A1"/>
    <w:rsid w:val="00A353A4"/>
    <w:rsid w:val="00A35524"/>
    <w:rsid w:val="00A35553"/>
    <w:rsid w:val="00A355BF"/>
    <w:rsid w:val="00A357D2"/>
    <w:rsid w:val="00A35818"/>
    <w:rsid w:val="00A358E7"/>
    <w:rsid w:val="00A35912"/>
    <w:rsid w:val="00A35BE4"/>
    <w:rsid w:val="00A35E32"/>
    <w:rsid w:val="00A35F5A"/>
    <w:rsid w:val="00A3604D"/>
    <w:rsid w:val="00A36083"/>
    <w:rsid w:val="00A362C9"/>
    <w:rsid w:val="00A362E7"/>
    <w:rsid w:val="00A365AE"/>
    <w:rsid w:val="00A3661A"/>
    <w:rsid w:val="00A366C6"/>
    <w:rsid w:val="00A3679B"/>
    <w:rsid w:val="00A369DF"/>
    <w:rsid w:val="00A36AC4"/>
    <w:rsid w:val="00A36AEE"/>
    <w:rsid w:val="00A36BE8"/>
    <w:rsid w:val="00A36D55"/>
    <w:rsid w:val="00A36E99"/>
    <w:rsid w:val="00A36F50"/>
    <w:rsid w:val="00A3706F"/>
    <w:rsid w:val="00A370FC"/>
    <w:rsid w:val="00A37124"/>
    <w:rsid w:val="00A37295"/>
    <w:rsid w:val="00A37349"/>
    <w:rsid w:val="00A373FB"/>
    <w:rsid w:val="00A374A3"/>
    <w:rsid w:val="00A375FC"/>
    <w:rsid w:val="00A37704"/>
    <w:rsid w:val="00A379C8"/>
    <w:rsid w:val="00A37BF3"/>
    <w:rsid w:val="00A37FCD"/>
    <w:rsid w:val="00A40164"/>
    <w:rsid w:val="00A401BE"/>
    <w:rsid w:val="00A4038F"/>
    <w:rsid w:val="00A403F6"/>
    <w:rsid w:val="00A404C4"/>
    <w:rsid w:val="00A40550"/>
    <w:rsid w:val="00A407E2"/>
    <w:rsid w:val="00A40845"/>
    <w:rsid w:val="00A40A80"/>
    <w:rsid w:val="00A40D6B"/>
    <w:rsid w:val="00A411E1"/>
    <w:rsid w:val="00A41330"/>
    <w:rsid w:val="00A41367"/>
    <w:rsid w:val="00A413A2"/>
    <w:rsid w:val="00A41541"/>
    <w:rsid w:val="00A4187A"/>
    <w:rsid w:val="00A41A7A"/>
    <w:rsid w:val="00A41B2C"/>
    <w:rsid w:val="00A41EE4"/>
    <w:rsid w:val="00A41F0D"/>
    <w:rsid w:val="00A421EE"/>
    <w:rsid w:val="00A42209"/>
    <w:rsid w:val="00A42421"/>
    <w:rsid w:val="00A4257C"/>
    <w:rsid w:val="00A426A0"/>
    <w:rsid w:val="00A42ADE"/>
    <w:rsid w:val="00A42B44"/>
    <w:rsid w:val="00A42D80"/>
    <w:rsid w:val="00A42D8D"/>
    <w:rsid w:val="00A42DDC"/>
    <w:rsid w:val="00A42E43"/>
    <w:rsid w:val="00A42F16"/>
    <w:rsid w:val="00A42FF7"/>
    <w:rsid w:val="00A430C2"/>
    <w:rsid w:val="00A4315B"/>
    <w:rsid w:val="00A4331A"/>
    <w:rsid w:val="00A43594"/>
    <w:rsid w:val="00A4368C"/>
    <w:rsid w:val="00A436FE"/>
    <w:rsid w:val="00A43942"/>
    <w:rsid w:val="00A43FBE"/>
    <w:rsid w:val="00A43FF9"/>
    <w:rsid w:val="00A442CA"/>
    <w:rsid w:val="00A4452D"/>
    <w:rsid w:val="00A44570"/>
    <w:rsid w:val="00A44611"/>
    <w:rsid w:val="00A44623"/>
    <w:rsid w:val="00A44757"/>
    <w:rsid w:val="00A447EF"/>
    <w:rsid w:val="00A448E7"/>
    <w:rsid w:val="00A4497F"/>
    <w:rsid w:val="00A44AE2"/>
    <w:rsid w:val="00A44B1C"/>
    <w:rsid w:val="00A44CD0"/>
    <w:rsid w:val="00A44CDD"/>
    <w:rsid w:val="00A44D1D"/>
    <w:rsid w:val="00A44E8E"/>
    <w:rsid w:val="00A44F80"/>
    <w:rsid w:val="00A44FAB"/>
    <w:rsid w:val="00A45209"/>
    <w:rsid w:val="00A45210"/>
    <w:rsid w:val="00A45344"/>
    <w:rsid w:val="00A4548A"/>
    <w:rsid w:val="00A45769"/>
    <w:rsid w:val="00A457AF"/>
    <w:rsid w:val="00A458D3"/>
    <w:rsid w:val="00A459ED"/>
    <w:rsid w:val="00A45A67"/>
    <w:rsid w:val="00A45B78"/>
    <w:rsid w:val="00A45C2F"/>
    <w:rsid w:val="00A45C44"/>
    <w:rsid w:val="00A45E72"/>
    <w:rsid w:val="00A45EB1"/>
    <w:rsid w:val="00A4612C"/>
    <w:rsid w:val="00A466A6"/>
    <w:rsid w:val="00A467CA"/>
    <w:rsid w:val="00A467E0"/>
    <w:rsid w:val="00A46800"/>
    <w:rsid w:val="00A4688F"/>
    <w:rsid w:val="00A4690F"/>
    <w:rsid w:val="00A46A70"/>
    <w:rsid w:val="00A46A87"/>
    <w:rsid w:val="00A46B26"/>
    <w:rsid w:val="00A46C05"/>
    <w:rsid w:val="00A46C83"/>
    <w:rsid w:val="00A46F69"/>
    <w:rsid w:val="00A4711F"/>
    <w:rsid w:val="00A4738C"/>
    <w:rsid w:val="00A4739A"/>
    <w:rsid w:val="00A4743F"/>
    <w:rsid w:val="00A475C1"/>
    <w:rsid w:val="00A4775E"/>
    <w:rsid w:val="00A47807"/>
    <w:rsid w:val="00A47AF4"/>
    <w:rsid w:val="00A47B64"/>
    <w:rsid w:val="00A47CC4"/>
    <w:rsid w:val="00A47D0F"/>
    <w:rsid w:val="00A50002"/>
    <w:rsid w:val="00A5008E"/>
    <w:rsid w:val="00A5010D"/>
    <w:rsid w:val="00A50216"/>
    <w:rsid w:val="00A5029A"/>
    <w:rsid w:val="00A502CB"/>
    <w:rsid w:val="00A502EE"/>
    <w:rsid w:val="00A50396"/>
    <w:rsid w:val="00A504D9"/>
    <w:rsid w:val="00A506AF"/>
    <w:rsid w:val="00A508AA"/>
    <w:rsid w:val="00A509EF"/>
    <w:rsid w:val="00A50A35"/>
    <w:rsid w:val="00A50D34"/>
    <w:rsid w:val="00A51100"/>
    <w:rsid w:val="00A51280"/>
    <w:rsid w:val="00A51317"/>
    <w:rsid w:val="00A513EE"/>
    <w:rsid w:val="00A51492"/>
    <w:rsid w:val="00A514BA"/>
    <w:rsid w:val="00A51AF8"/>
    <w:rsid w:val="00A51BBC"/>
    <w:rsid w:val="00A51BE9"/>
    <w:rsid w:val="00A51EAF"/>
    <w:rsid w:val="00A51ED5"/>
    <w:rsid w:val="00A51F05"/>
    <w:rsid w:val="00A52403"/>
    <w:rsid w:val="00A52499"/>
    <w:rsid w:val="00A5277B"/>
    <w:rsid w:val="00A52A8A"/>
    <w:rsid w:val="00A52B13"/>
    <w:rsid w:val="00A52C94"/>
    <w:rsid w:val="00A531F9"/>
    <w:rsid w:val="00A532F6"/>
    <w:rsid w:val="00A533B0"/>
    <w:rsid w:val="00A53A4F"/>
    <w:rsid w:val="00A53A68"/>
    <w:rsid w:val="00A53AA1"/>
    <w:rsid w:val="00A53AB7"/>
    <w:rsid w:val="00A53C15"/>
    <w:rsid w:val="00A53D9A"/>
    <w:rsid w:val="00A53F43"/>
    <w:rsid w:val="00A541CA"/>
    <w:rsid w:val="00A542C0"/>
    <w:rsid w:val="00A5433F"/>
    <w:rsid w:val="00A543F1"/>
    <w:rsid w:val="00A543F9"/>
    <w:rsid w:val="00A546A2"/>
    <w:rsid w:val="00A54775"/>
    <w:rsid w:val="00A547E0"/>
    <w:rsid w:val="00A54838"/>
    <w:rsid w:val="00A54919"/>
    <w:rsid w:val="00A54B12"/>
    <w:rsid w:val="00A54B5D"/>
    <w:rsid w:val="00A54BF5"/>
    <w:rsid w:val="00A54CDB"/>
    <w:rsid w:val="00A54E83"/>
    <w:rsid w:val="00A55078"/>
    <w:rsid w:val="00A5532E"/>
    <w:rsid w:val="00A5535E"/>
    <w:rsid w:val="00A553BB"/>
    <w:rsid w:val="00A5548A"/>
    <w:rsid w:val="00A5550F"/>
    <w:rsid w:val="00A556A3"/>
    <w:rsid w:val="00A55754"/>
    <w:rsid w:val="00A55A7B"/>
    <w:rsid w:val="00A55ADC"/>
    <w:rsid w:val="00A55D11"/>
    <w:rsid w:val="00A56053"/>
    <w:rsid w:val="00A5611C"/>
    <w:rsid w:val="00A561FA"/>
    <w:rsid w:val="00A563F1"/>
    <w:rsid w:val="00A56476"/>
    <w:rsid w:val="00A5665B"/>
    <w:rsid w:val="00A56721"/>
    <w:rsid w:val="00A5680D"/>
    <w:rsid w:val="00A56A58"/>
    <w:rsid w:val="00A56BF6"/>
    <w:rsid w:val="00A56C8B"/>
    <w:rsid w:val="00A56CDF"/>
    <w:rsid w:val="00A56D76"/>
    <w:rsid w:val="00A56E30"/>
    <w:rsid w:val="00A56FD7"/>
    <w:rsid w:val="00A5708A"/>
    <w:rsid w:val="00A57271"/>
    <w:rsid w:val="00A57481"/>
    <w:rsid w:val="00A574D3"/>
    <w:rsid w:val="00A57649"/>
    <w:rsid w:val="00A5783B"/>
    <w:rsid w:val="00A579D0"/>
    <w:rsid w:val="00A57AC3"/>
    <w:rsid w:val="00A57B87"/>
    <w:rsid w:val="00A57C13"/>
    <w:rsid w:val="00A57D6F"/>
    <w:rsid w:val="00A57DA7"/>
    <w:rsid w:val="00A57E99"/>
    <w:rsid w:val="00A57EA3"/>
    <w:rsid w:val="00A6017D"/>
    <w:rsid w:val="00A60369"/>
    <w:rsid w:val="00A603E5"/>
    <w:rsid w:val="00A6048C"/>
    <w:rsid w:val="00A60534"/>
    <w:rsid w:val="00A60720"/>
    <w:rsid w:val="00A60AC8"/>
    <w:rsid w:val="00A60AE7"/>
    <w:rsid w:val="00A60C67"/>
    <w:rsid w:val="00A60E5E"/>
    <w:rsid w:val="00A60FF5"/>
    <w:rsid w:val="00A61062"/>
    <w:rsid w:val="00A612E2"/>
    <w:rsid w:val="00A61318"/>
    <w:rsid w:val="00A61701"/>
    <w:rsid w:val="00A618F1"/>
    <w:rsid w:val="00A6194B"/>
    <w:rsid w:val="00A61AB9"/>
    <w:rsid w:val="00A61CAD"/>
    <w:rsid w:val="00A61CD1"/>
    <w:rsid w:val="00A61CE3"/>
    <w:rsid w:val="00A61D50"/>
    <w:rsid w:val="00A61D8C"/>
    <w:rsid w:val="00A61E97"/>
    <w:rsid w:val="00A61F13"/>
    <w:rsid w:val="00A620E5"/>
    <w:rsid w:val="00A62136"/>
    <w:rsid w:val="00A623F0"/>
    <w:rsid w:val="00A62558"/>
    <w:rsid w:val="00A625D0"/>
    <w:rsid w:val="00A625EA"/>
    <w:rsid w:val="00A6263E"/>
    <w:rsid w:val="00A6284A"/>
    <w:rsid w:val="00A62890"/>
    <w:rsid w:val="00A62A03"/>
    <w:rsid w:val="00A62D49"/>
    <w:rsid w:val="00A62F7A"/>
    <w:rsid w:val="00A6301C"/>
    <w:rsid w:val="00A6302B"/>
    <w:rsid w:val="00A6311B"/>
    <w:rsid w:val="00A63221"/>
    <w:rsid w:val="00A63394"/>
    <w:rsid w:val="00A634CF"/>
    <w:rsid w:val="00A63623"/>
    <w:rsid w:val="00A637D3"/>
    <w:rsid w:val="00A63878"/>
    <w:rsid w:val="00A63BB4"/>
    <w:rsid w:val="00A63D9B"/>
    <w:rsid w:val="00A63F3B"/>
    <w:rsid w:val="00A63FBA"/>
    <w:rsid w:val="00A64010"/>
    <w:rsid w:val="00A6415E"/>
    <w:rsid w:val="00A642A8"/>
    <w:rsid w:val="00A642B6"/>
    <w:rsid w:val="00A644DC"/>
    <w:rsid w:val="00A64595"/>
    <w:rsid w:val="00A645B9"/>
    <w:rsid w:val="00A6491D"/>
    <w:rsid w:val="00A64A71"/>
    <w:rsid w:val="00A64AF7"/>
    <w:rsid w:val="00A64C28"/>
    <w:rsid w:val="00A64F9C"/>
    <w:rsid w:val="00A652D3"/>
    <w:rsid w:val="00A6536D"/>
    <w:rsid w:val="00A6540C"/>
    <w:rsid w:val="00A6547B"/>
    <w:rsid w:val="00A6553B"/>
    <w:rsid w:val="00A65C31"/>
    <w:rsid w:val="00A65D14"/>
    <w:rsid w:val="00A65D54"/>
    <w:rsid w:val="00A65DCE"/>
    <w:rsid w:val="00A65E0B"/>
    <w:rsid w:val="00A65EBA"/>
    <w:rsid w:val="00A6607C"/>
    <w:rsid w:val="00A66181"/>
    <w:rsid w:val="00A66253"/>
    <w:rsid w:val="00A66477"/>
    <w:rsid w:val="00A6664C"/>
    <w:rsid w:val="00A668D6"/>
    <w:rsid w:val="00A6692B"/>
    <w:rsid w:val="00A66BBF"/>
    <w:rsid w:val="00A66E16"/>
    <w:rsid w:val="00A66EBB"/>
    <w:rsid w:val="00A670EB"/>
    <w:rsid w:val="00A671DD"/>
    <w:rsid w:val="00A67254"/>
    <w:rsid w:val="00A67291"/>
    <w:rsid w:val="00A67373"/>
    <w:rsid w:val="00A674A1"/>
    <w:rsid w:val="00A67656"/>
    <w:rsid w:val="00A679CE"/>
    <w:rsid w:val="00A67A55"/>
    <w:rsid w:val="00A67B3F"/>
    <w:rsid w:val="00A67C28"/>
    <w:rsid w:val="00A67E44"/>
    <w:rsid w:val="00A67E55"/>
    <w:rsid w:val="00A7001B"/>
    <w:rsid w:val="00A705EF"/>
    <w:rsid w:val="00A706FF"/>
    <w:rsid w:val="00A7084C"/>
    <w:rsid w:val="00A7085D"/>
    <w:rsid w:val="00A70B7D"/>
    <w:rsid w:val="00A70D6C"/>
    <w:rsid w:val="00A70EDA"/>
    <w:rsid w:val="00A70EFF"/>
    <w:rsid w:val="00A710B5"/>
    <w:rsid w:val="00A71137"/>
    <w:rsid w:val="00A712EF"/>
    <w:rsid w:val="00A718E4"/>
    <w:rsid w:val="00A71ABA"/>
    <w:rsid w:val="00A71B89"/>
    <w:rsid w:val="00A71B93"/>
    <w:rsid w:val="00A71E39"/>
    <w:rsid w:val="00A71E52"/>
    <w:rsid w:val="00A7230F"/>
    <w:rsid w:val="00A723EC"/>
    <w:rsid w:val="00A726D3"/>
    <w:rsid w:val="00A727D7"/>
    <w:rsid w:val="00A72804"/>
    <w:rsid w:val="00A72942"/>
    <w:rsid w:val="00A7294C"/>
    <w:rsid w:val="00A72A4F"/>
    <w:rsid w:val="00A72A8A"/>
    <w:rsid w:val="00A72A8E"/>
    <w:rsid w:val="00A72B6C"/>
    <w:rsid w:val="00A72C3B"/>
    <w:rsid w:val="00A72DAF"/>
    <w:rsid w:val="00A73279"/>
    <w:rsid w:val="00A733A8"/>
    <w:rsid w:val="00A733DE"/>
    <w:rsid w:val="00A734BA"/>
    <w:rsid w:val="00A73576"/>
    <w:rsid w:val="00A736FF"/>
    <w:rsid w:val="00A7372D"/>
    <w:rsid w:val="00A7376D"/>
    <w:rsid w:val="00A737A9"/>
    <w:rsid w:val="00A737AB"/>
    <w:rsid w:val="00A738CF"/>
    <w:rsid w:val="00A73AC6"/>
    <w:rsid w:val="00A73BA4"/>
    <w:rsid w:val="00A73C84"/>
    <w:rsid w:val="00A73F07"/>
    <w:rsid w:val="00A73FDF"/>
    <w:rsid w:val="00A73FF3"/>
    <w:rsid w:val="00A740E9"/>
    <w:rsid w:val="00A743F9"/>
    <w:rsid w:val="00A74541"/>
    <w:rsid w:val="00A745A4"/>
    <w:rsid w:val="00A7461A"/>
    <w:rsid w:val="00A7479E"/>
    <w:rsid w:val="00A747AF"/>
    <w:rsid w:val="00A756AC"/>
    <w:rsid w:val="00A75816"/>
    <w:rsid w:val="00A758E9"/>
    <w:rsid w:val="00A75927"/>
    <w:rsid w:val="00A7596C"/>
    <w:rsid w:val="00A75A99"/>
    <w:rsid w:val="00A75B7E"/>
    <w:rsid w:val="00A75BF2"/>
    <w:rsid w:val="00A75BF7"/>
    <w:rsid w:val="00A75C8A"/>
    <w:rsid w:val="00A75CB2"/>
    <w:rsid w:val="00A75E03"/>
    <w:rsid w:val="00A75E19"/>
    <w:rsid w:val="00A75E23"/>
    <w:rsid w:val="00A75E66"/>
    <w:rsid w:val="00A75E69"/>
    <w:rsid w:val="00A760AD"/>
    <w:rsid w:val="00A760B3"/>
    <w:rsid w:val="00A76101"/>
    <w:rsid w:val="00A76361"/>
    <w:rsid w:val="00A76587"/>
    <w:rsid w:val="00A76852"/>
    <w:rsid w:val="00A76915"/>
    <w:rsid w:val="00A76A2A"/>
    <w:rsid w:val="00A76A38"/>
    <w:rsid w:val="00A76A85"/>
    <w:rsid w:val="00A76AE7"/>
    <w:rsid w:val="00A76B4E"/>
    <w:rsid w:val="00A76CD1"/>
    <w:rsid w:val="00A76D30"/>
    <w:rsid w:val="00A76F22"/>
    <w:rsid w:val="00A77017"/>
    <w:rsid w:val="00A77112"/>
    <w:rsid w:val="00A77211"/>
    <w:rsid w:val="00A77679"/>
    <w:rsid w:val="00A777CB"/>
    <w:rsid w:val="00A77999"/>
    <w:rsid w:val="00A77AA8"/>
    <w:rsid w:val="00A77D7D"/>
    <w:rsid w:val="00A77E39"/>
    <w:rsid w:val="00A8035B"/>
    <w:rsid w:val="00A8057A"/>
    <w:rsid w:val="00A8063B"/>
    <w:rsid w:val="00A8063C"/>
    <w:rsid w:val="00A806D9"/>
    <w:rsid w:val="00A8076F"/>
    <w:rsid w:val="00A809EE"/>
    <w:rsid w:val="00A80BC5"/>
    <w:rsid w:val="00A80C57"/>
    <w:rsid w:val="00A81172"/>
    <w:rsid w:val="00A811EE"/>
    <w:rsid w:val="00A81200"/>
    <w:rsid w:val="00A81432"/>
    <w:rsid w:val="00A81774"/>
    <w:rsid w:val="00A81952"/>
    <w:rsid w:val="00A81C4C"/>
    <w:rsid w:val="00A81D37"/>
    <w:rsid w:val="00A82730"/>
    <w:rsid w:val="00A82F8C"/>
    <w:rsid w:val="00A831D7"/>
    <w:rsid w:val="00A83204"/>
    <w:rsid w:val="00A8332B"/>
    <w:rsid w:val="00A83495"/>
    <w:rsid w:val="00A834A8"/>
    <w:rsid w:val="00A835C8"/>
    <w:rsid w:val="00A8378C"/>
    <w:rsid w:val="00A83975"/>
    <w:rsid w:val="00A83CC7"/>
    <w:rsid w:val="00A83D75"/>
    <w:rsid w:val="00A83F5A"/>
    <w:rsid w:val="00A83F6C"/>
    <w:rsid w:val="00A8409F"/>
    <w:rsid w:val="00A840D5"/>
    <w:rsid w:val="00A84191"/>
    <w:rsid w:val="00A841E9"/>
    <w:rsid w:val="00A8425A"/>
    <w:rsid w:val="00A84429"/>
    <w:rsid w:val="00A8450E"/>
    <w:rsid w:val="00A845DF"/>
    <w:rsid w:val="00A8461D"/>
    <w:rsid w:val="00A846A8"/>
    <w:rsid w:val="00A84787"/>
    <w:rsid w:val="00A848FF"/>
    <w:rsid w:val="00A84954"/>
    <w:rsid w:val="00A84F20"/>
    <w:rsid w:val="00A84FA5"/>
    <w:rsid w:val="00A85433"/>
    <w:rsid w:val="00A85653"/>
    <w:rsid w:val="00A85970"/>
    <w:rsid w:val="00A85A85"/>
    <w:rsid w:val="00A85CE9"/>
    <w:rsid w:val="00A85E8F"/>
    <w:rsid w:val="00A8628B"/>
    <w:rsid w:val="00A86292"/>
    <w:rsid w:val="00A86626"/>
    <w:rsid w:val="00A867FB"/>
    <w:rsid w:val="00A87000"/>
    <w:rsid w:val="00A8704D"/>
    <w:rsid w:val="00A87304"/>
    <w:rsid w:val="00A8756A"/>
    <w:rsid w:val="00A876AF"/>
    <w:rsid w:val="00A876C9"/>
    <w:rsid w:val="00A87757"/>
    <w:rsid w:val="00A87901"/>
    <w:rsid w:val="00A879FC"/>
    <w:rsid w:val="00A87BB4"/>
    <w:rsid w:val="00A87CDE"/>
    <w:rsid w:val="00A87D18"/>
    <w:rsid w:val="00A87DBE"/>
    <w:rsid w:val="00A87DD8"/>
    <w:rsid w:val="00A901D3"/>
    <w:rsid w:val="00A904E7"/>
    <w:rsid w:val="00A9058E"/>
    <w:rsid w:val="00A905D2"/>
    <w:rsid w:val="00A9068F"/>
    <w:rsid w:val="00A906EF"/>
    <w:rsid w:val="00A908E6"/>
    <w:rsid w:val="00A90A79"/>
    <w:rsid w:val="00A90CCA"/>
    <w:rsid w:val="00A90D77"/>
    <w:rsid w:val="00A90DF0"/>
    <w:rsid w:val="00A90F8D"/>
    <w:rsid w:val="00A9108B"/>
    <w:rsid w:val="00A913D5"/>
    <w:rsid w:val="00A91506"/>
    <w:rsid w:val="00A915FD"/>
    <w:rsid w:val="00A91732"/>
    <w:rsid w:val="00A917F5"/>
    <w:rsid w:val="00A918EE"/>
    <w:rsid w:val="00A91999"/>
    <w:rsid w:val="00A91C1B"/>
    <w:rsid w:val="00A91C2E"/>
    <w:rsid w:val="00A91C46"/>
    <w:rsid w:val="00A91C63"/>
    <w:rsid w:val="00A91D07"/>
    <w:rsid w:val="00A91E7C"/>
    <w:rsid w:val="00A92084"/>
    <w:rsid w:val="00A920DE"/>
    <w:rsid w:val="00A92188"/>
    <w:rsid w:val="00A921C5"/>
    <w:rsid w:val="00A92209"/>
    <w:rsid w:val="00A92243"/>
    <w:rsid w:val="00A922BF"/>
    <w:rsid w:val="00A92421"/>
    <w:rsid w:val="00A9244D"/>
    <w:rsid w:val="00A924C0"/>
    <w:rsid w:val="00A92701"/>
    <w:rsid w:val="00A92856"/>
    <w:rsid w:val="00A92949"/>
    <w:rsid w:val="00A92A08"/>
    <w:rsid w:val="00A92AB9"/>
    <w:rsid w:val="00A92BA7"/>
    <w:rsid w:val="00A92C7D"/>
    <w:rsid w:val="00A92E4A"/>
    <w:rsid w:val="00A9304D"/>
    <w:rsid w:val="00A933AC"/>
    <w:rsid w:val="00A9347D"/>
    <w:rsid w:val="00A935F6"/>
    <w:rsid w:val="00A93994"/>
    <w:rsid w:val="00A93E50"/>
    <w:rsid w:val="00A93F6D"/>
    <w:rsid w:val="00A94041"/>
    <w:rsid w:val="00A9417D"/>
    <w:rsid w:val="00A94213"/>
    <w:rsid w:val="00A94255"/>
    <w:rsid w:val="00A94379"/>
    <w:rsid w:val="00A943E9"/>
    <w:rsid w:val="00A944BD"/>
    <w:rsid w:val="00A9459B"/>
    <w:rsid w:val="00A945AE"/>
    <w:rsid w:val="00A94674"/>
    <w:rsid w:val="00A94698"/>
    <w:rsid w:val="00A94883"/>
    <w:rsid w:val="00A94A4A"/>
    <w:rsid w:val="00A94B0C"/>
    <w:rsid w:val="00A94BBC"/>
    <w:rsid w:val="00A94CE8"/>
    <w:rsid w:val="00A94DB8"/>
    <w:rsid w:val="00A94E12"/>
    <w:rsid w:val="00A94EB7"/>
    <w:rsid w:val="00A94FA3"/>
    <w:rsid w:val="00A952C9"/>
    <w:rsid w:val="00A953BB"/>
    <w:rsid w:val="00A953E4"/>
    <w:rsid w:val="00A95514"/>
    <w:rsid w:val="00A95857"/>
    <w:rsid w:val="00A95BD1"/>
    <w:rsid w:val="00A95C1F"/>
    <w:rsid w:val="00A95EB4"/>
    <w:rsid w:val="00A960FC"/>
    <w:rsid w:val="00A96271"/>
    <w:rsid w:val="00A9652C"/>
    <w:rsid w:val="00A9653A"/>
    <w:rsid w:val="00A966C6"/>
    <w:rsid w:val="00A96751"/>
    <w:rsid w:val="00A9691E"/>
    <w:rsid w:val="00A96A50"/>
    <w:rsid w:val="00A96B4A"/>
    <w:rsid w:val="00A96E68"/>
    <w:rsid w:val="00A96EAA"/>
    <w:rsid w:val="00A96F95"/>
    <w:rsid w:val="00A970CD"/>
    <w:rsid w:val="00A97117"/>
    <w:rsid w:val="00A973C4"/>
    <w:rsid w:val="00A97716"/>
    <w:rsid w:val="00A97809"/>
    <w:rsid w:val="00A97A3B"/>
    <w:rsid w:val="00A97A8E"/>
    <w:rsid w:val="00A97A9F"/>
    <w:rsid w:val="00A97B64"/>
    <w:rsid w:val="00A97EB5"/>
    <w:rsid w:val="00A97EDE"/>
    <w:rsid w:val="00AA00BF"/>
    <w:rsid w:val="00AA0396"/>
    <w:rsid w:val="00AA0404"/>
    <w:rsid w:val="00AA05A9"/>
    <w:rsid w:val="00AA066D"/>
    <w:rsid w:val="00AA07CB"/>
    <w:rsid w:val="00AA08A1"/>
    <w:rsid w:val="00AA0A66"/>
    <w:rsid w:val="00AA0B30"/>
    <w:rsid w:val="00AA0B47"/>
    <w:rsid w:val="00AA0BC6"/>
    <w:rsid w:val="00AA0C82"/>
    <w:rsid w:val="00AA0EA5"/>
    <w:rsid w:val="00AA0FC0"/>
    <w:rsid w:val="00AA0FE9"/>
    <w:rsid w:val="00AA10D5"/>
    <w:rsid w:val="00AA11DA"/>
    <w:rsid w:val="00AA1324"/>
    <w:rsid w:val="00AA13B4"/>
    <w:rsid w:val="00AA1448"/>
    <w:rsid w:val="00AA157C"/>
    <w:rsid w:val="00AA15E1"/>
    <w:rsid w:val="00AA186E"/>
    <w:rsid w:val="00AA18C9"/>
    <w:rsid w:val="00AA18D3"/>
    <w:rsid w:val="00AA199F"/>
    <w:rsid w:val="00AA1A51"/>
    <w:rsid w:val="00AA1BB0"/>
    <w:rsid w:val="00AA1C44"/>
    <w:rsid w:val="00AA1ECA"/>
    <w:rsid w:val="00AA1F05"/>
    <w:rsid w:val="00AA1F5F"/>
    <w:rsid w:val="00AA1F63"/>
    <w:rsid w:val="00AA1F7D"/>
    <w:rsid w:val="00AA2436"/>
    <w:rsid w:val="00AA243B"/>
    <w:rsid w:val="00AA253A"/>
    <w:rsid w:val="00AA267F"/>
    <w:rsid w:val="00AA2816"/>
    <w:rsid w:val="00AA2A4A"/>
    <w:rsid w:val="00AA2BB7"/>
    <w:rsid w:val="00AA2C09"/>
    <w:rsid w:val="00AA2CEB"/>
    <w:rsid w:val="00AA2D39"/>
    <w:rsid w:val="00AA2E6F"/>
    <w:rsid w:val="00AA2EAD"/>
    <w:rsid w:val="00AA30DE"/>
    <w:rsid w:val="00AA312D"/>
    <w:rsid w:val="00AA318B"/>
    <w:rsid w:val="00AA31DB"/>
    <w:rsid w:val="00AA3207"/>
    <w:rsid w:val="00AA3257"/>
    <w:rsid w:val="00AA3266"/>
    <w:rsid w:val="00AA3533"/>
    <w:rsid w:val="00AA35D9"/>
    <w:rsid w:val="00AA360A"/>
    <w:rsid w:val="00AA3983"/>
    <w:rsid w:val="00AA3A7D"/>
    <w:rsid w:val="00AA3A8F"/>
    <w:rsid w:val="00AA3C27"/>
    <w:rsid w:val="00AA3DBA"/>
    <w:rsid w:val="00AA3DC5"/>
    <w:rsid w:val="00AA404E"/>
    <w:rsid w:val="00AA4284"/>
    <w:rsid w:val="00AA42E1"/>
    <w:rsid w:val="00AA431F"/>
    <w:rsid w:val="00AA4408"/>
    <w:rsid w:val="00AA44CF"/>
    <w:rsid w:val="00AA455D"/>
    <w:rsid w:val="00AA4814"/>
    <w:rsid w:val="00AA4A03"/>
    <w:rsid w:val="00AA4A7A"/>
    <w:rsid w:val="00AA4B97"/>
    <w:rsid w:val="00AA4C5F"/>
    <w:rsid w:val="00AA5398"/>
    <w:rsid w:val="00AA592F"/>
    <w:rsid w:val="00AA5C7E"/>
    <w:rsid w:val="00AA5EEE"/>
    <w:rsid w:val="00AA5F9F"/>
    <w:rsid w:val="00AA619D"/>
    <w:rsid w:val="00AA63C6"/>
    <w:rsid w:val="00AA63EF"/>
    <w:rsid w:val="00AA6480"/>
    <w:rsid w:val="00AA6614"/>
    <w:rsid w:val="00AA6673"/>
    <w:rsid w:val="00AA6870"/>
    <w:rsid w:val="00AA69DB"/>
    <w:rsid w:val="00AA6DE4"/>
    <w:rsid w:val="00AA6DF4"/>
    <w:rsid w:val="00AA6ED7"/>
    <w:rsid w:val="00AA6F90"/>
    <w:rsid w:val="00AA707D"/>
    <w:rsid w:val="00AA7437"/>
    <w:rsid w:val="00AA744F"/>
    <w:rsid w:val="00AA74B6"/>
    <w:rsid w:val="00AA757E"/>
    <w:rsid w:val="00AA75D7"/>
    <w:rsid w:val="00AA7839"/>
    <w:rsid w:val="00AA7AD1"/>
    <w:rsid w:val="00AA7B1B"/>
    <w:rsid w:val="00AA7D94"/>
    <w:rsid w:val="00AA7DA9"/>
    <w:rsid w:val="00AA7F03"/>
    <w:rsid w:val="00AB0372"/>
    <w:rsid w:val="00AB03B2"/>
    <w:rsid w:val="00AB042A"/>
    <w:rsid w:val="00AB052B"/>
    <w:rsid w:val="00AB0719"/>
    <w:rsid w:val="00AB07E2"/>
    <w:rsid w:val="00AB086B"/>
    <w:rsid w:val="00AB0B4D"/>
    <w:rsid w:val="00AB0D1C"/>
    <w:rsid w:val="00AB105B"/>
    <w:rsid w:val="00AB1069"/>
    <w:rsid w:val="00AB1103"/>
    <w:rsid w:val="00AB1185"/>
    <w:rsid w:val="00AB132B"/>
    <w:rsid w:val="00AB14F5"/>
    <w:rsid w:val="00AB174B"/>
    <w:rsid w:val="00AB1A9F"/>
    <w:rsid w:val="00AB1BE1"/>
    <w:rsid w:val="00AB1C23"/>
    <w:rsid w:val="00AB1CA5"/>
    <w:rsid w:val="00AB1DCD"/>
    <w:rsid w:val="00AB1FBC"/>
    <w:rsid w:val="00AB2180"/>
    <w:rsid w:val="00AB226F"/>
    <w:rsid w:val="00AB250C"/>
    <w:rsid w:val="00AB2637"/>
    <w:rsid w:val="00AB275C"/>
    <w:rsid w:val="00AB2A09"/>
    <w:rsid w:val="00AB2DF1"/>
    <w:rsid w:val="00AB2F0C"/>
    <w:rsid w:val="00AB30B6"/>
    <w:rsid w:val="00AB30F0"/>
    <w:rsid w:val="00AB31E4"/>
    <w:rsid w:val="00AB323B"/>
    <w:rsid w:val="00AB36E9"/>
    <w:rsid w:val="00AB3729"/>
    <w:rsid w:val="00AB396A"/>
    <w:rsid w:val="00AB39A7"/>
    <w:rsid w:val="00AB39AD"/>
    <w:rsid w:val="00AB3AA2"/>
    <w:rsid w:val="00AB3CDA"/>
    <w:rsid w:val="00AB3D63"/>
    <w:rsid w:val="00AB3DB3"/>
    <w:rsid w:val="00AB3DFD"/>
    <w:rsid w:val="00AB3EA2"/>
    <w:rsid w:val="00AB3ED8"/>
    <w:rsid w:val="00AB3F48"/>
    <w:rsid w:val="00AB40C3"/>
    <w:rsid w:val="00AB40CE"/>
    <w:rsid w:val="00AB411B"/>
    <w:rsid w:val="00AB43B8"/>
    <w:rsid w:val="00AB44DF"/>
    <w:rsid w:val="00AB46C5"/>
    <w:rsid w:val="00AB47DD"/>
    <w:rsid w:val="00AB4800"/>
    <w:rsid w:val="00AB4879"/>
    <w:rsid w:val="00AB489E"/>
    <w:rsid w:val="00AB4A0D"/>
    <w:rsid w:val="00AB4C56"/>
    <w:rsid w:val="00AB4FA0"/>
    <w:rsid w:val="00AB50B3"/>
    <w:rsid w:val="00AB51F8"/>
    <w:rsid w:val="00AB5207"/>
    <w:rsid w:val="00AB5371"/>
    <w:rsid w:val="00AB538E"/>
    <w:rsid w:val="00AB5403"/>
    <w:rsid w:val="00AB5666"/>
    <w:rsid w:val="00AB567E"/>
    <w:rsid w:val="00AB580D"/>
    <w:rsid w:val="00AB5A2F"/>
    <w:rsid w:val="00AB5A4B"/>
    <w:rsid w:val="00AB5E65"/>
    <w:rsid w:val="00AB5E7A"/>
    <w:rsid w:val="00AB5F08"/>
    <w:rsid w:val="00AB5FCD"/>
    <w:rsid w:val="00AB601E"/>
    <w:rsid w:val="00AB60D5"/>
    <w:rsid w:val="00AB6196"/>
    <w:rsid w:val="00AB629F"/>
    <w:rsid w:val="00AB62E9"/>
    <w:rsid w:val="00AB65ED"/>
    <w:rsid w:val="00AB66C1"/>
    <w:rsid w:val="00AB6791"/>
    <w:rsid w:val="00AB68FC"/>
    <w:rsid w:val="00AB6E48"/>
    <w:rsid w:val="00AB6F23"/>
    <w:rsid w:val="00AB6F7A"/>
    <w:rsid w:val="00AB6FC6"/>
    <w:rsid w:val="00AB7075"/>
    <w:rsid w:val="00AB722C"/>
    <w:rsid w:val="00AB760C"/>
    <w:rsid w:val="00AB7625"/>
    <w:rsid w:val="00AB7644"/>
    <w:rsid w:val="00AB76D0"/>
    <w:rsid w:val="00AB76D7"/>
    <w:rsid w:val="00AB7A80"/>
    <w:rsid w:val="00AB7B18"/>
    <w:rsid w:val="00AB7E8D"/>
    <w:rsid w:val="00AB7F91"/>
    <w:rsid w:val="00AC0432"/>
    <w:rsid w:val="00AC046B"/>
    <w:rsid w:val="00AC0537"/>
    <w:rsid w:val="00AC0864"/>
    <w:rsid w:val="00AC089B"/>
    <w:rsid w:val="00AC08E8"/>
    <w:rsid w:val="00AC0EBA"/>
    <w:rsid w:val="00AC11A0"/>
    <w:rsid w:val="00AC120E"/>
    <w:rsid w:val="00AC12A7"/>
    <w:rsid w:val="00AC134D"/>
    <w:rsid w:val="00AC1382"/>
    <w:rsid w:val="00AC1537"/>
    <w:rsid w:val="00AC15BF"/>
    <w:rsid w:val="00AC165E"/>
    <w:rsid w:val="00AC1B9F"/>
    <w:rsid w:val="00AC1BC5"/>
    <w:rsid w:val="00AC1BF6"/>
    <w:rsid w:val="00AC1CB1"/>
    <w:rsid w:val="00AC1DD2"/>
    <w:rsid w:val="00AC1EC2"/>
    <w:rsid w:val="00AC1EC8"/>
    <w:rsid w:val="00AC200C"/>
    <w:rsid w:val="00AC209E"/>
    <w:rsid w:val="00AC20EC"/>
    <w:rsid w:val="00AC2183"/>
    <w:rsid w:val="00AC226A"/>
    <w:rsid w:val="00AC2399"/>
    <w:rsid w:val="00AC2770"/>
    <w:rsid w:val="00AC27C1"/>
    <w:rsid w:val="00AC2CF7"/>
    <w:rsid w:val="00AC2D0D"/>
    <w:rsid w:val="00AC2D92"/>
    <w:rsid w:val="00AC2E4A"/>
    <w:rsid w:val="00AC2E67"/>
    <w:rsid w:val="00AC31E1"/>
    <w:rsid w:val="00AC322F"/>
    <w:rsid w:val="00AC33FE"/>
    <w:rsid w:val="00AC347D"/>
    <w:rsid w:val="00AC34ED"/>
    <w:rsid w:val="00AC35C3"/>
    <w:rsid w:val="00AC3662"/>
    <w:rsid w:val="00AC3711"/>
    <w:rsid w:val="00AC37F7"/>
    <w:rsid w:val="00AC3A52"/>
    <w:rsid w:val="00AC3A9A"/>
    <w:rsid w:val="00AC3AE1"/>
    <w:rsid w:val="00AC3B30"/>
    <w:rsid w:val="00AC3D49"/>
    <w:rsid w:val="00AC3D8A"/>
    <w:rsid w:val="00AC3EAC"/>
    <w:rsid w:val="00AC4484"/>
    <w:rsid w:val="00AC4585"/>
    <w:rsid w:val="00AC470A"/>
    <w:rsid w:val="00AC47B1"/>
    <w:rsid w:val="00AC4810"/>
    <w:rsid w:val="00AC4822"/>
    <w:rsid w:val="00AC4A2F"/>
    <w:rsid w:val="00AC4B84"/>
    <w:rsid w:val="00AC4C6D"/>
    <w:rsid w:val="00AC4E5B"/>
    <w:rsid w:val="00AC4E5E"/>
    <w:rsid w:val="00AC4EA3"/>
    <w:rsid w:val="00AC4EAF"/>
    <w:rsid w:val="00AC4FE8"/>
    <w:rsid w:val="00AC5027"/>
    <w:rsid w:val="00AC5278"/>
    <w:rsid w:val="00AC5685"/>
    <w:rsid w:val="00AC56E6"/>
    <w:rsid w:val="00AC5710"/>
    <w:rsid w:val="00AC5B2C"/>
    <w:rsid w:val="00AC5BDA"/>
    <w:rsid w:val="00AC5D07"/>
    <w:rsid w:val="00AC62A5"/>
    <w:rsid w:val="00AC63A2"/>
    <w:rsid w:val="00AC6437"/>
    <w:rsid w:val="00AC6506"/>
    <w:rsid w:val="00AC67C3"/>
    <w:rsid w:val="00AC683A"/>
    <w:rsid w:val="00AC683E"/>
    <w:rsid w:val="00AC69B7"/>
    <w:rsid w:val="00AC6BEA"/>
    <w:rsid w:val="00AC6C6F"/>
    <w:rsid w:val="00AC6CB5"/>
    <w:rsid w:val="00AC6DAA"/>
    <w:rsid w:val="00AC6E63"/>
    <w:rsid w:val="00AC6F27"/>
    <w:rsid w:val="00AC6F6D"/>
    <w:rsid w:val="00AC70DE"/>
    <w:rsid w:val="00AC73BA"/>
    <w:rsid w:val="00AC7417"/>
    <w:rsid w:val="00AC7424"/>
    <w:rsid w:val="00AC7799"/>
    <w:rsid w:val="00AC78D3"/>
    <w:rsid w:val="00AC7A77"/>
    <w:rsid w:val="00AC7B21"/>
    <w:rsid w:val="00AC7BEE"/>
    <w:rsid w:val="00AC7CF4"/>
    <w:rsid w:val="00AC7E77"/>
    <w:rsid w:val="00AC7EFB"/>
    <w:rsid w:val="00AD0057"/>
    <w:rsid w:val="00AD0326"/>
    <w:rsid w:val="00AD0554"/>
    <w:rsid w:val="00AD0599"/>
    <w:rsid w:val="00AD0754"/>
    <w:rsid w:val="00AD09B0"/>
    <w:rsid w:val="00AD0AAE"/>
    <w:rsid w:val="00AD0D00"/>
    <w:rsid w:val="00AD0EFD"/>
    <w:rsid w:val="00AD10CB"/>
    <w:rsid w:val="00AD1139"/>
    <w:rsid w:val="00AD1168"/>
    <w:rsid w:val="00AD176E"/>
    <w:rsid w:val="00AD1996"/>
    <w:rsid w:val="00AD1DDA"/>
    <w:rsid w:val="00AD1F22"/>
    <w:rsid w:val="00AD20D3"/>
    <w:rsid w:val="00AD227F"/>
    <w:rsid w:val="00AD2430"/>
    <w:rsid w:val="00AD24A8"/>
    <w:rsid w:val="00AD250B"/>
    <w:rsid w:val="00AD25B1"/>
    <w:rsid w:val="00AD270A"/>
    <w:rsid w:val="00AD272A"/>
    <w:rsid w:val="00AD27CA"/>
    <w:rsid w:val="00AD2A3A"/>
    <w:rsid w:val="00AD2AB7"/>
    <w:rsid w:val="00AD2B3F"/>
    <w:rsid w:val="00AD2B41"/>
    <w:rsid w:val="00AD2B80"/>
    <w:rsid w:val="00AD2C0F"/>
    <w:rsid w:val="00AD2DB9"/>
    <w:rsid w:val="00AD2E3B"/>
    <w:rsid w:val="00AD2EA1"/>
    <w:rsid w:val="00AD32A3"/>
    <w:rsid w:val="00AD369D"/>
    <w:rsid w:val="00AD3805"/>
    <w:rsid w:val="00AD3A53"/>
    <w:rsid w:val="00AD3E51"/>
    <w:rsid w:val="00AD3F1E"/>
    <w:rsid w:val="00AD404F"/>
    <w:rsid w:val="00AD4215"/>
    <w:rsid w:val="00AD4345"/>
    <w:rsid w:val="00AD4465"/>
    <w:rsid w:val="00AD456A"/>
    <w:rsid w:val="00AD45AD"/>
    <w:rsid w:val="00AD4658"/>
    <w:rsid w:val="00AD4917"/>
    <w:rsid w:val="00AD4A4D"/>
    <w:rsid w:val="00AD4B4F"/>
    <w:rsid w:val="00AD4CAC"/>
    <w:rsid w:val="00AD4DCC"/>
    <w:rsid w:val="00AD4E9F"/>
    <w:rsid w:val="00AD4FA6"/>
    <w:rsid w:val="00AD5185"/>
    <w:rsid w:val="00AD5252"/>
    <w:rsid w:val="00AD5434"/>
    <w:rsid w:val="00AD58A2"/>
    <w:rsid w:val="00AD5CAF"/>
    <w:rsid w:val="00AD5D69"/>
    <w:rsid w:val="00AD5DCC"/>
    <w:rsid w:val="00AD5E55"/>
    <w:rsid w:val="00AD5EFC"/>
    <w:rsid w:val="00AD6370"/>
    <w:rsid w:val="00AD6570"/>
    <w:rsid w:val="00AD658E"/>
    <w:rsid w:val="00AD677D"/>
    <w:rsid w:val="00AD67BD"/>
    <w:rsid w:val="00AD680D"/>
    <w:rsid w:val="00AD6B55"/>
    <w:rsid w:val="00AD6CF4"/>
    <w:rsid w:val="00AD6F4E"/>
    <w:rsid w:val="00AD734D"/>
    <w:rsid w:val="00AD763D"/>
    <w:rsid w:val="00AD764B"/>
    <w:rsid w:val="00AD767B"/>
    <w:rsid w:val="00AD7765"/>
    <w:rsid w:val="00AD7981"/>
    <w:rsid w:val="00AD79A8"/>
    <w:rsid w:val="00AD79FC"/>
    <w:rsid w:val="00AD7C8F"/>
    <w:rsid w:val="00AD7D4E"/>
    <w:rsid w:val="00AD7D5E"/>
    <w:rsid w:val="00AE002A"/>
    <w:rsid w:val="00AE01EF"/>
    <w:rsid w:val="00AE0365"/>
    <w:rsid w:val="00AE073C"/>
    <w:rsid w:val="00AE09B3"/>
    <w:rsid w:val="00AE0BD5"/>
    <w:rsid w:val="00AE0BDE"/>
    <w:rsid w:val="00AE0D1D"/>
    <w:rsid w:val="00AE0E12"/>
    <w:rsid w:val="00AE0E43"/>
    <w:rsid w:val="00AE0E5D"/>
    <w:rsid w:val="00AE0E67"/>
    <w:rsid w:val="00AE0F88"/>
    <w:rsid w:val="00AE102F"/>
    <w:rsid w:val="00AE1050"/>
    <w:rsid w:val="00AE1075"/>
    <w:rsid w:val="00AE13B8"/>
    <w:rsid w:val="00AE14CC"/>
    <w:rsid w:val="00AE14E3"/>
    <w:rsid w:val="00AE152B"/>
    <w:rsid w:val="00AE154E"/>
    <w:rsid w:val="00AE166D"/>
    <w:rsid w:val="00AE16B2"/>
    <w:rsid w:val="00AE17D6"/>
    <w:rsid w:val="00AE17EE"/>
    <w:rsid w:val="00AE18B6"/>
    <w:rsid w:val="00AE18F2"/>
    <w:rsid w:val="00AE1AAF"/>
    <w:rsid w:val="00AE1AB1"/>
    <w:rsid w:val="00AE1D19"/>
    <w:rsid w:val="00AE1EA9"/>
    <w:rsid w:val="00AE1F4C"/>
    <w:rsid w:val="00AE1FBC"/>
    <w:rsid w:val="00AE200A"/>
    <w:rsid w:val="00AE202B"/>
    <w:rsid w:val="00AE2314"/>
    <w:rsid w:val="00AE24BB"/>
    <w:rsid w:val="00AE29D2"/>
    <w:rsid w:val="00AE2A24"/>
    <w:rsid w:val="00AE2A2E"/>
    <w:rsid w:val="00AE2A82"/>
    <w:rsid w:val="00AE2B01"/>
    <w:rsid w:val="00AE2BC5"/>
    <w:rsid w:val="00AE2BE2"/>
    <w:rsid w:val="00AE2C15"/>
    <w:rsid w:val="00AE2CD0"/>
    <w:rsid w:val="00AE2D90"/>
    <w:rsid w:val="00AE2E54"/>
    <w:rsid w:val="00AE2FE7"/>
    <w:rsid w:val="00AE30D9"/>
    <w:rsid w:val="00AE3297"/>
    <w:rsid w:val="00AE3322"/>
    <w:rsid w:val="00AE344E"/>
    <w:rsid w:val="00AE374F"/>
    <w:rsid w:val="00AE3816"/>
    <w:rsid w:val="00AE389B"/>
    <w:rsid w:val="00AE3927"/>
    <w:rsid w:val="00AE3A35"/>
    <w:rsid w:val="00AE3ACD"/>
    <w:rsid w:val="00AE3BFB"/>
    <w:rsid w:val="00AE3D47"/>
    <w:rsid w:val="00AE3F07"/>
    <w:rsid w:val="00AE4197"/>
    <w:rsid w:val="00AE4374"/>
    <w:rsid w:val="00AE45BC"/>
    <w:rsid w:val="00AE45C8"/>
    <w:rsid w:val="00AE47FE"/>
    <w:rsid w:val="00AE4808"/>
    <w:rsid w:val="00AE48BE"/>
    <w:rsid w:val="00AE4AD0"/>
    <w:rsid w:val="00AE4B50"/>
    <w:rsid w:val="00AE4DE5"/>
    <w:rsid w:val="00AE4DFE"/>
    <w:rsid w:val="00AE4ECB"/>
    <w:rsid w:val="00AE5181"/>
    <w:rsid w:val="00AE52B9"/>
    <w:rsid w:val="00AE52EE"/>
    <w:rsid w:val="00AE5476"/>
    <w:rsid w:val="00AE5573"/>
    <w:rsid w:val="00AE560B"/>
    <w:rsid w:val="00AE58C2"/>
    <w:rsid w:val="00AE59A0"/>
    <w:rsid w:val="00AE5A8F"/>
    <w:rsid w:val="00AE5B12"/>
    <w:rsid w:val="00AE5BBE"/>
    <w:rsid w:val="00AE5E23"/>
    <w:rsid w:val="00AE5E24"/>
    <w:rsid w:val="00AE5F6C"/>
    <w:rsid w:val="00AE6074"/>
    <w:rsid w:val="00AE6390"/>
    <w:rsid w:val="00AE6447"/>
    <w:rsid w:val="00AE6556"/>
    <w:rsid w:val="00AE6668"/>
    <w:rsid w:val="00AE683F"/>
    <w:rsid w:val="00AE6ABC"/>
    <w:rsid w:val="00AE6B65"/>
    <w:rsid w:val="00AE6C25"/>
    <w:rsid w:val="00AE6D26"/>
    <w:rsid w:val="00AE6D3C"/>
    <w:rsid w:val="00AE6E2B"/>
    <w:rsid w:val="00AE6F57"/>
    <w:rsid w:val="00AE7054"/>
    <w:rsid w:val="00AE7124"/>
    <w:rsid w:val="00AE719D"/>
    <w:rsid w:val="00AE721B"/>
    <w:rsid w:val="00AE729D"/>
    <w:rsid w:val="00AE73B6"/>
    <w:rsid w:val="00AE7590"/>
    <w:rsid w:val="00AE77DF"/>
    <w:rsid w:val="00AE7903"/>
    <w:rsid w:val="00AE796A"/>
    <w:rsid w:val="00AE7A47"/>
    <w:rsid w:val="00AE7A63"/>
    <w:rsid w:val="00AE7AE0"/>
    <w:rsid w:val="00AE7C3F"/>
    <w:rsid w:val="00AF008C"/>
    <w:rsid w:val="00AF04DB"/>
    <w:rsid w:val="00AF0555"/>
    <w:rsid w:val="00AF05C2"/>
    <w:rsid w:val="00AF06D4"/>
    <w:rsid w:val="00AF08BC"/>
    <w:rsid w:val="00AF090A"/>
    <w:rsid w:val="00AF0BFD"/>
    <w:rsid w:val="00AF0D24"/>
    <w:rsid w:val="00AF0FA8"/>
    <w:rsid w:val="00AF1131"/>
    <w:rsid w:val="00AF139F"/>
    <w:rsid w:val="00AF1435"/>
    <w:rsid w:val="00AF16D6"/>
    <w:rsid w:val="00AF18C2"/>
    <w:rsid w:val="00AF199E"/>
    <w:rsid w:val="00AF19F5"/>
    <w:rsid w:val="00AF1FA8"/>
    <w:rsid w:val="00AF1FBA"/>
    <w:rsid w:val="00AF2049"/>
    <w:rsid w:val="00AF23FB"/>
    <w:rsid w:val="00AF2445"/>
    <w:rsid w:val="00AF2473"/>
    <w:rsid w:val="00AF253C"/>
    <w:rsid w:val="00AF2558"/>
    <w:rsid w:val="00AF2687"/>
    <w:rsid w:val="00AF271B"/>
    <w:rsid w:val="00AF295D"/>
    <w:rsid w:val="00AF29B1"/>
    <w:rsid w:val="00AF2B4A"/>
    <w:rsid w:val="00AF2DDF"/>
    <w:rsid w:val="00AF2EF7"/>
    <w:rsid w:val="00AF30E6"/>
    <w:rsid w:val="00AF3216"/>
    <w:rsid w:val="00AF321A"/>
    <w:rsid w:val="00AF32A1"/>
    <w:rsid w:val="00AF342A"/>
    <w:rsid w:val="00AF373F"/>
    <w:rsid w:val="00AF37C5"/>
    <w:rsid w:val="00AF38E9"/>
    <w:rsid w:val="00AF39A1"/>
    <w:rsid w:val="00AF3A20"/>
    <w:rsid w:val="00AF3AA2"/>
    <w:rsid w:val="00AF3AAE"/>
    <w:rsid w:val="00AF3C18"/>
    <w:rsid w:val="00AF3C40"/>
    <w:rsid w:val="00AF3E10"/>
    <w:rsid w:val="00AF3E8F"/>
    <w:rsid w:val="00AF3EF3"/>
    <w:rsid w:val="00AF402D"/>
    <w:rsid w:val="00AF4076"/>
    <w:rsid w:val="00AF41FD"/>
    <w:rsid w:val="00AF4268"/>
    <w:rsid w:val="00AF430D"/>
    <w:rsid w:val="00AF43DE"/>
    <w:rsid w:val="00AF454D"/>
    <w:rsid w:val="00AF45D7"/>
    <w:rsid w:val="00AF47D7"/>
    <w:rsid w:val="00AF483C"/>
    <w:rsid w:val="00AF487A"/>
    <w:rsid w:val="00AF4E78"/>
    <w:rsid w:val="00AF4F11"/>
    <w:rsid w:val="00AF5428"/>
    <w:rsid w:val="00AF5C21"/>
    <w:rsid w:val="00AF5CAC"/>
    <w:rsid w:val="00AF6258"/>
    <w:rsid w:val="00AF637E"/>
    <w:rsid w:val="00AF63FA"/>
    <w:rsid w:val="00AF6557"/>
    <w:rsid w:val="00AF6645"/>
    <w:rsid w:val="00AF667E"/>
    <w:rsid w:val="00AF6A88"/>
    <w:rsid w:val="00AF6AF0"/>
    <w:rsid w:val="00AF6B9E"/>
    <w:rsid w:val="00AF6D18"/>
    <w:rsid w:val="00AF6F25"/>
    <w:rsid w:val="00AF6F5E"/>
    <w:rsid w:val="00AF6F80"/>
    <w:rsid w:val="00AF7245"/>
    <w:rsid w:val="00AF744D"/>
    <w:rsid w:val="00AF7493"/>
    <w:rsid w:val="00AF7514"/>
    <w:rsid w:val="00AF768F"/>
    <w:rsid w:val="00AF76F5"/>
    <w:rsid w:val="00AF7895"/>
    <w:rsid w:val="00AF78DD"/>
    <w:rsid w:val="00AF7A24"/>
    <w:rsid w:val="00AF7AE3"/>
    <w:rsid w:val="00AF7BB6"/>
    <w:rsid w:val="00AF7CEA"/>
    <w:rsid w:val="00AF7E97"/>
    <w:rsid w:val="00AF7F01"/>
    <w:rsid w:val="00B001C9"/>
    <w:rsid w:val="00B00285"/>
    <w:rsid w:val="00B00438"/>
    <w:rsid w:val="00B006A3"/>
    <w:rsid w:val="00B007D0"/>
    <w:rsid w:val="00B00801"/>
    <w:rsid w:val="00B00939"/>
    <w:rsid w:val="00B00990"/>
    <w:rsid w:val="00B00A79"/>
    <w:rsid w:val="00B00A9F"/>
    <w:rsid w:val="00B00F8B"/>
    <w:rsid w:val="00B01123"/>
    <w:rsid w:val="00B01258"/>
    <w:rsid w:val="00B012BF"/>
    <w:rsid w:val="00B012C9"/>
    <w:rsid w:val="00B019CE"/>
    <w:rsid w:val="00B01B80"/>
    <w:rsid w:val="00B01BBD"/>
    <w:rsid w:val="00B01C25"/>
    <w:rsid w:val="00B01CB1"/>
    <w:rsid w:val="00B01D87"/>
    <w:rsid w:val="00B02151"/>
    <w:rsid w:val="00B02219"/>
    <w:rsid w:val="00B02526"/>
    <w:rsid w:val="00B027D9"/>
    <w:rsid w:val="00B028A4"/>
    <w:rsid w:val="00B02AD4"/>
    <w:rsid w:val="00B02AD6"/>
    <w:rsid w:val="00B02C83"/>
    <w:rsid w:val="00B02C84"/>
    <w:rsid w:val="00B02D5A"/>
    <w:rsid w:val="00B02DE0"/>
    <w:rsid w:val="00B038CC"/>
    <w:rsid w:val="00B03962"/>
    <w:rsid w:val="00B039F8"/>
    <w:rsid w:val="00B03B0B"/>
    <w:rsid w:val="00B03C0A"/>
    <w:rsid w:val="00B03DEC"/>
    <w:rsid w:val="00B03E82"/>
    <w:rsid w:val="00B03FC3"/>
    <w:rsid w:val="00B04194"/>
    <w:rsid w:val="00B04309"/>
    <w:rsid w:val="00B0432A"/>
    <w:rsid w:val="00B04336"/>
    <w:rsid w:val="00B0436D"/>
    <w:rsid w:val="00B04381"/>
    <w:rsid w:val="00B04438"/>
    <w:rsid w:val="00B0455E"/>
    <w:rsid w:val="00B047B2"/>
    <w:rsid w:val="00B04962"/>
    <w:rsid w:val="00B049F0"/>
    <w:rsid w:val="00B04DFF"/>
    <w:rsid w:val="00B0521C"/>
    <w:rsid w:val="00B0525B"/>
    <w:rsid w:val="00B05300"/>
    <w:rsid w:val="00B05322"/>
    <w:rsid w:val="00B0536C"/>
    <w:rsid w:val="00B05411"/>
    <w:rsid w:val="00B05688"/>
    <w:rsid w:val="00B057DD"/>
    <w:rsid w:val="00B0594D"/>
    <w:rsid w:val="00B05A5B"/>
    <w:rsid w:val="00B05B60"/>
    <w:rsid w:val="00B05C1D"/>
    <w:rsid w:val="00B05EDA"/>
    <w:rsid w:val="00B05F46"/>
    <w:rsid w:val="00B05F6A"/>
    <w:rsid w:val="00B05F90"/>
    <w:rsid w:val="00B05FBE"/>
    <w:rsid w:val="00B060F5"/>
    <w:rsid w:val="00B060F7"/>
    <w:rsid w:val="00B061D9"/>
    <w:rsid w:val="00B061E1"/>
    <w:rsid w:val="00B061EE"/>
    <w:rsid w:val="00B0642D"/>
    <w:rsid w:val="00B0670F"/>
    <w:rsid w:val="00B06717"/>
    <w:rsid w:val="00B06A8B"/>
    <w:rsid w:val="00B06BCA"/>
    <w:rsid w:val="00B06CD9"/>
    <w:rsid w:val="00B06ED9"/>
    <w:rsid w:val="00B073E4"/>
    <w:rsid w:val="00B074D5"/>
    <w:rsid w:val="00B07530"/>
    <w:rsid w:val="00B07561"/>
    <w:rsid w:val="00B076B1"/>
    <w:rsid w:val="00B07928"/>
    <w:rsid w:val="00B07AB1"/>
    <w:rsid w:val="00B07CAC"/>
    <w:rsid w:val="00B07D70"/>
    <w:rsid w:val="00B07DEB"/>
    <w:rsid w:val="00B07FC7"/>
    <w:rsid w:val="00B10077"/>
    <w:rsid w:val="00B1048E"/>
    <w:rsid w:val="00B1058F"/>
    <w:rsid w:val="00B1068B"/>
    <w:rsid w:val="00B106F0"/>
    <w:rsid w:val="00B107B0"/>
    <w:rsid w:val="00B10954"/>
    <w:rsid w:val="00B10D6A"/>
    <w:rsid w:val="00B10F9F"/>
    <w:rsid w:val="00B112E1"/>
    <w:rsid w:val="00B11494"/>
    <w:rsid w:val="00B115A0"/>
    <w:rsid w:val="00B11713"/>
    <w:rsid w:val="00B11993"/>
    <w:rsid w:val="00B119FE"/>
    <w:rsid w:val="00B11B55"/>
    <w:rsid w:val="00B11D3B"/>
    <w:rsid w:val="00B120B5"/>
    <w:rsid w:val="00B1216B"/>
    <w:rsid w:val="00B12383"/>
    <w:rsid w:val="00B1238F"/>
    <w:rsid w:val="00B123CF"/>
    <w:rsid w:val="00B12518"/>
    <w:rsid w:val="00B1267B"/>
    <w:rsid w:val="00B1275F"/>
    <w:rsid w:val="00B1295F"/>
    <w:rsid w:val="00B12B16"/>
    <w:rsid w:val="00B12C20"/>
    <w:rsid w:val="00B12CFE"/>
    <w:rsid w:val="00B12DE2"/>
    <w:rsid w:val="00B12E5F"/>
    <w:rsid w:val="00B12F07"/>
    <w:rsid w:val="00B1301D"/>
    <w:rsid w:val="00B1308B"/>
    <w:rsid w:val="00B130BB"/>
    <w:rsid w:val="00B131F1"/>
    <w:rsid w:val="00B1344C"/>
    <w:rsid w:val="00B134C8"/>
    <w:rsid w:val="00B138AC"/>
    <w:rsid w:val="00B1396B"/>
    <w:rsid w:val="00B13A59"/>
    <w:rsid w:val="00B13B52"/>
    <w:rsid w:val="00B13C70"/>
    <w:rsid w:val="00B13D29"/>
    <w:rsid w:val="00B13E4A"/>
    <w:rsid w:val="00B13ED7"/>
    <w:rsid w:val="00B13F0F"/>
    <w:rsid w:val="00B13FEF"/>
    <w:rsid w:val="00B1416D"/>
    <w:rsid w:val="00B14191"/>
    <w:rsid w:val="00B143E0"/>
    <w:rsid w:val="00B14844"/>
    <w:rsid w:val="00B14882"/>
    <w:rsid w:val="00B14AED"/>
    <w:rsid w:val="00B14C6E"/>
    <w:rsid w:val="00B14C88"/>
    <w:rsid w:val="00B14EE2"/>
    <w:rsid w:val="00B1515A"/>
    <w:rsid w:val="00B1532F"/>
    <w:rsid w:val="00B15357"/>
    <w:rsid w:val="00B153E1"/>
    <w:rsid w:val="00B15678"/>
    <w:rsid w:val="00B156D1"/>
    <w:rsid w:val="00B158BB"/>
    <w:rsid w:val="00B15994"/>
    <w:rsid w:val="00B15B1F"/>
    <w:rsid w:val="00B15D6C"/>
    <w:rsid w:val="00B15DEF"/>
    <w:rsid w:val="00B15EA7"/>
    <w:rsid w:val="00B15ECB"/>
    <w:rsid w:val="00B160E1"/>
    <w:rsid w:val="00B163BA"/>
    <w:rsid w:val="00B163ED"/>
    <w:rsid w:val="00B16488"/>
    <w:rsid w:val="00B16789"/>
    <w:rsid w:val="00B167FC"/>
    <w:rsid w:val="00B16943"/>
    <w:rsid w:val="00B16DC8"/>
    <w:rsid w:val="00B16E7A"/>
    <w:rsid w:val="00B16FEA"/>
    <w:rsid w:val="00B17125"/>
    <w:rsid w:val="00B17151"/>
    <w:rsid w:val="00B17194"/>
    <w:rsid w:val="00B1719A"/>
    <w:rsid w:val="00B1771F"/>
    <w:rsid w:val="00B17794"/>
    <w:rsid w:val="00B17B2F"/>
    <w:rsid w:val="00B17B73"/>
    <w:rsid w:val="00B17BE7"/>
    <w:rsid w:val="00B17EAC"/>
    <w:rsid w:val="00B17ED3"/>
    <w:rsid w:val="00B20021"/>
    <w:rsid w:val="00B203F5"/>
    <w:rsid w:val="00B205BC"/>
    <w:rsid w:val="00B20612"/>
    <w:rsid w:val="00B20876"/>
    <w:rsid w:val="00B20C9C"/>
    <w:rsid w:val="00B20D85"/>
    <w:rsid w:val="00B20DC2"/>
    <w:rsid w:val="00B2119D"/>
    <w:rsid w:val="00B211A2"/>
    <w:rsid w:val="00B21206"/>
    <w:rsid w:val="00B212D4"/>
    <w:rsid w:val="00B212F7"/>
    <w:rsid w:val="00B214E2"/>
    <w:rsid w:val="00B2153D"/>
    <w:rsid w:val="00B21C02"/>
    <w:rsid w:val="00B21DBA"/>
    <w:rsid w:val="00B21E4B"/>
    <w:rsid w:val="00B21E99"/>
    <w:rsid w:val="00B21F2A"/>
    <w:rsid w:val="00B22313"/>
    <w:rsid w:val="00B2233F"/>
    <w:rsid w:val="00B223E9"/>
    <w:rsid w:val="00B225D1"/>
    <w:rsid w:val="00B22995"/>
    <w:rsid w:val="00B22AB5"/>
    <w:rsid w:val="00B22C0C"/>
    <w:rsid w:val="00B22CE8"/>
    <w:rsid w:val="00B231B3"/>
    <w:rsid w:val="00B231DF"/>
    <w:rsid w:val="00B233DE"/>
    <w:rsid w:val="00B23532"/>
    <w:rsid w:val="00B23597"/>
    <w:rsid w:val="00B235C1"/>
    <w:rsid w:val="00B2376B"/>
    <w:rsid w:val="00B23BCC"/>
    <w:rsid w:val="00B23FFF"/>
    <w:rsid w:val="00B24091"/>
    <w:rsid w:val="00B24176"/>
    <w:rsid w:val="00B24193"/>
    <w:rsid w:val="00B241FD"/>
    <w:rsid w:val="00B24212"/>
    <w:rsid w:val="00B24269"/>
    <w:rsid w:val="00B246ED"/>
    <w:rsid w:val="00B2479E"/>
    <w:rsid w:val="00B24A91"/>
    <w:rsid w:val="00B24AA0"/>
    <w:rsid w:val="00B24E21"/>
    <w:rsid w:val="00B24F53"/>
    <w:rsid w:val="00B24FAC"/>
    <w:rsid w:val="00B25262"/>
    <w:rsid w:val="00B2544D"/>
    <w:rsid w:val="00B2561F"/>
    <w:rsid w:val="00B25763"/>
    <w:rsid w:val="00B257AA"/>
    <w:rsid w:val="00B257B6"/>
    <w:rsid w:val="00B257E0"/>
    <w:rsid w:val="00B25B76"/>
    <w:rsid w:val="00B25E08"/>
    <w:rsid w:val="00B25F7D"/>
    <w:rsid w:val="00B2607F"/>
    <w:rsid w:val="00B260DE"/>
    <w:rsid w:val="00B2666E"/>
    <w:rsid w:val="00B2670E"/>
    <w:rsid w:val="00B26828"/>
    <w:rsid w:val="00B26A35"/>
    <w:rsid w:val="00B26C10"/>
    <w:rsid w:val="00B26C26"/>
    <w:rsid w:val="00B26DC5"/>
    <w:rsid w:val="00B26E9E"/>
    <w:rsid w:val="00B2710E"/>
    <w:rsid w:val="00B27116"/>
    <w:rsid w:val="00B27261"/>
    <w:rsid w:val="00B27313"/>
    <w:rsid w:val="00B2757F"/>
    <w:rsid w:val="00B27820"/>
    <w:rsid w:val="00B278AE"/>
    <w:rsid w:val="00B27971"/>
    <w:rsid w:val="00B27B72"/>
    <w:rsid w:val="00B27BD7"/>
    <w:rsid w:val="00B27C65"/>
    <w:rsid w:val="00B27E60"/>
    <w:rsid w:val="00B27F61"/>
    <w:rsid w:val="00B27FC2"/>
    <w:rsid w:val="00B300FF"/>
    <w:rsid w:val="00B30341"/>
    <w:rsid w:val="00B304CB"/>
    <w:rsid w:val="00B30A36"/>
    <w:rsid w:val="00B30B43"/>
    <w:rsid w:val="00B30B8A"/>
    <w:rsid w:val="00B30D4B"/>
    <w:rsid w:val="00B30F3F"/>
    <w:rsid w:val="00B3103F"/>
    <w:rsid w:val="00B3109A"/>
    <w:rsid w:val="00B31113"/>
    <w:rsid w:val="00B3114D"/>
    <w:rsid w:val="00B31218"/>
    <w:rsid w:val="00B3137C"/>
    <w:rsid w:val="00B313AE"/>
    <w:rsid w:val="00B3150D"/>
    <w:rsid w:val="00B315BA"/>
    <w:rsid w:val="00B3181F"/>
    <w:rsid w:val="00B31980"/>
    <w:rsid w:val="00B31B85"/>
    <w:rsid w:val="00B31BF1"/>
    <w:rsid w:val="00B31C15"/>
    <w:rsid w:val="00B31CE6"/>
    <w:rsid w:val="00B322CB"/>
    <w:rsid w:val="00B3251F"/>
    <w:rsid w:val="00B32803"/>
    <w:rsid w:val="00B328CB"/>
    <w:rsid w:val="00B32932"/>
    <w:rsid w:val="00B32B3B"/>
    <w:rsid w:val="00B32C59"/>
    <w:rsid w:val="00B33201"/>
    <w:rsid w:val="00B3323B"/>
    <w:rsid w:val="00B332F2"/>
    <w:rsid w:val="00B334EC"/>
    <w:rsid w:val="00B33506"/>
    <w:rsid w:val="00B33579"/>
    <w:rsid w:val="00B33645"/>
    <w:rsid w:val="00B336F5"/>
    <w:rsid w:val="00B338D6"/>
    <w:rsid w:val="00B339B7"/>
    <w:rsid w:val="00B33A1D"/>
    <w:rsid w:val="00B33A44"/>
    <w:rsid w:val="00B33D6F"/>
    <w:rsid w:val="00B3405C"/>
    <w:rsid w:val="00B340A2"/>
    <w:rsid w:val="00B34242"/>
    <w:rsid w:val="00B3436E"/>
    <w:rsid w:val="00B34403"/>
    <w:rsid w:val="00B347DC"/>
    <w:rsid w:val="00B34825"/>
    <w:rsid w:val="00B34A5B"/>
    <w:rsid w:val="00B34B76"/>
    <w:rsid w:val="00B34BDD"/>
    <w:rsid w:val="00B34CE5"/>
    <w:rsid w:val="00B34D60"/>
    <w:rsid w:val="00B34E89"/>
    <w:rsid w:val="00B35121"/>
    <w:rsid w:val="00B3518A"/>
    <w:rsid w:val="00B355A9"/>
    <w:rsid w:val="00B35609"/>
    <w:rsid w:val="00B3562E"/>
    <w:rsid w:val="00B357D4"/>
    <w:rsid w:val="00B35A92"/>
    <w:rsid w:val="00B35CA5"/>
    <w:rsid w:val="00B35E7D"/>
    <w:rsid w:val="00B35F27"/>
    <w:rsid w:val="00B35FB9"/>
    <w:rsid w:val="00B36248"/>
    <w:rsid w:val="00B362E2"/>
    <w:rsid w:val="00B362EE"/>
    <w:rsid w:val="00B36328"/>
    <w:rsid w:val="00B3635B"/>
    <w:rsid w:val="00B36663"/>
    <w:rsid w:val="00B36694"/>
    <w:rsid w:val="00B36806"/>
    <w:rsid w:val="00B368D1"/>
    <w:rsid w:val="00B3691A"/>
    <w:rsid w:val="00B36B4F"/>
    <w:rsid w:val="00B37130"/>
    <w:rsid w:val="00B37169"/>
    <w:rsid w:val="00B37360"/>
    <w:rsid w:val="00B3737B"/>
    <w:rsid w:val="00B374A3"/>
    <w:rsid w:val="00B3758F"/>
    <w:rsid w:val="00B375E6"/>
    <w:rsid w:val="00B37664"/>
    <w:rsid w:val="00B3770A"/>
    <w:rsid w:val="00B37803"/>
    <w:rsid w:val="00B37DE6"/>
    <w:rsid w:val="00B400A8"/>
    <w:rsid w:val="00B400C6"/>
    <w:rsid w:val="00B40193"/>
    <w:rsid w:val="00B40372"/>
    <w:rsid w:val="00B406C1"/>
    <w:rsid w:val="00B4074D"/>
    <w:rsid w:val="00B4076E"/>
    <w:rsid w:val="00B40810"/>
    <w:rsid w:val="00B4082F"/>
    <w:rsid w:val="00B4088B"/>
    <w:rsid w:val="00B408DF"/>
    <w:rsid w:val="00B40B38"/>
    <w:rsid w:val="00B40B88"/>
    <w:rsid w:val="00B40EE8"/>
    <w:rsid w:val="00B40F7E"/>
    <w:rsid w:val="00B4115D"/>
    <w:rsid w:val="00B4129E"/>
    <w:rsid w:val="00B41324"/>
    <w:rsid w:val="00B41329"/>
    <w:rsid w:val="00B4136D"/>
    <w:rsid w:val="00B41372"/>
    <w:rsid w:val="00B41752"/>
    <w:rsid w:val="00B41C77"/>
    <w:rsid w:val="00B41C93"/>
    <w:rsid w:val="00B41CD0"/>
    <w:rsid w:val="00B41CDD"/>
    <w:rsid w:val="00B41DFE"/>
    <w:rsid w:val="00B41E70"/>
    <w:rsid w:val="00B41F88"/>
    <w:rsid w:val="00B42414"/>
    <w:rsid w:val="00B426FD"/>
    <w:rsid w:val="00B42701"/>
    <w:rsid w:val="00B42C2C"/>
    <w:rsid w:val="00B42FE7"/>
    <w:rsid w:val="00B43176"/>
    <w:rsid w:val="00B43239"/>
    <w:rsid w:val="00B4337A"/>
    <w:rsid w:val="00B4355F"/>
    <w:rsid w:val="00B43594"/>
    <w:rsid w:val="00B435B4"/>
    <w:rsid w:val="00B43632"/>
    <w:rsid w:val="00B4384B"/>
    <w:rsid w:val="00B43DE2"/>
    <w:rsid w:val="00B43EEE"/>
    <w:rsid w:val="00B43F18"/>
    <w:rsid w:val="00B43F8C"/>
    <w:rsid w:val="00B44083"/>
    <w:rsid w:val="00B4425C"/>
    <w:rsid w:val="00B442B1"/>
    <w:rsid w:val="00B444B2"/>
    <w:rsid w:val="00B44527"/>
    <w:rsid w:val="00B4480C"/>
    <w:rsid w:val="00B449E4"/>
    <w:rsid w:val="00B44AB8"/>
    <w:rsid w:val="00B44CBC"/>
    <w:rsid w:val="00B44D4E"/>
    <w:rsid w:val="00B45145"/>
    <w:rsid w:val="00B4518D"/>
    <w:rsid w:val="00B452DB"/>
    <w:rsid w:val="00B45397"/>
    <w:rsid w:val="00B453BD"/>
    <w:rsid w:val="00B454A3"/>
    <w:rsid w:val="00B45681"/>
    <w:rsid w:val="00B457A5"/>
    <w:rsid w:val="00B457FA"/>
    <w:rsid w:val="00B458CE"/>
    <w:rsid w:val="00B45906"/>
    <w:rsid w:val="00B45A97"/>
    <w:rsid w:val="00B45AD8"/>
    <w:rsid w:val="00B45C6D"/>
    <w:rsid w:val="00B45CA1"/>
    <w:rsid w:val="00B45CF3"/>
    <w:rsid w:val="00B45DAF"/>
    <w:rsid w:val="00B45DE2"/>
    <w:rsid w:val="00B45DF7"/>
    <w:rsid w:val="00B45F83"/>
    <w:rsid w:val="00B45FC3"/>
    <w:rsid w:val="00B461CC"/>
    <w:rsid w:val="00B4638F"/>
    <w:rsid w:val="00B463CB"/>
    <w:rsid w:val="00B4650B"/>
    <w:rsid w:val="00B46752"/>
    <w:rsid w:val="00B46755"/>
    <w:rsid w:val="00B46792"/>
    <w:rsid w:val="00B4695A"/>
    <w:rsid w:val="00B46A47"/>
    <w:rsid w:val="00B46AF1"/>
    <w:rsid w:val="00B46B0C"/>
    <w:rsid w:val="00B46B2E"/>
    <w:rsid w:val="00B46B36"/>
    <w:rsid w:val="00B47073"/>
    <w:rsid w:val="00B47194"/>
    <w:rsid w:val="00B471F4"/>
    <w:rsid w:val="00B472CF"/>
    <w:rsid w:val="00B473BB"/>
    <w:rsid w:val="00B474CA"/>
    <w:rsid w:val="00B47696"/>
    <w:rsid w:val="00B476E3"/>
    <w:rsid w:val="00B47750"/>
    <w:rsid w:val="00B478F6"/>
    <w:rsid w:val="00B47CA9"/>
    <w:rsid w:val="00B47EBC"/>
    <w:rsid w:val="00B47FD8"/>
    <w:rsid w:val="00B47FDE"/>
    <w:rsid w:val="00B5003D"/>
    <w:rsid w:val="00B500BD"/>
    <w:rsid w:val="00B50298"/>
    <w:rsid w:val="00B50369"/>
    <w:rsid w:val="00B5046E"/>
    <w:rsid w:val="00B50989"/>
    <w:rsid w:val="00B50B38"/>
    <w:rsid w:val="00B50C5C"/>
    <w:rsid w:val="00B514F3"/>
    <w:rsid w:val="00B5159C"/>
    <w:rsid w:val="00B516EE"/>
    <w:rsid w:val="00B518B8"/>
    <w:rsid w:val="00B51974"/>
    <w:rsid w:val="00B51A10"/>
    <w:rsid w:val="00B51C68"/>
    <w:rsid w:val="00B51E36"/>
    <w:rsid w:val="00B51E3D"/>
    <w:rsid w:val="00B52163"/>
    <w:rsid w:val="00B52187"/>
    <w:rsid w:val="00B52269"/>
    <w:rsid w:val="00B52397"/>
    <w:rsid w:val="00B5244D"/>
    <w:rsid w:val="00B5265F"/>
    <w:rsid w:val="00B52683"/>
    <w:rsid w:val="00B52A00"/>
    <w:rsid w:val="00B52A31"/>
    <w:rsid w:val="00B52A8F"/>
    <w:rsid w:val="00B52C10"/>
    <w:rsid w:val="00B52D21"/>
    <w:rsid w:val="00B52EA3"/>
    <w:rsid w:val="00B530B5"/>
    <w:rsid w:val="00B531A4"/>
    <w:rsid w:val="00B53522"/>
    <w:rsid w:val="00B537C5"/>
    <w:rsid w:val="00B537D7"/>
    <w:rsid w:val="00B53988"/>
    <w:rsid w:val="00B539E6"/>
    <w:rsid w:val="00B53A17"/>
    <w:rsid w:val="00B53B23"/>
    <w:rsid w:val="00B53E9F"/>
    <w:rsid w:val="00B53EA9"/>
    <w:rsid w:val="00B53F36"/>
    <w:rsid w:val="00B540AA"/>
    <w:rsid w:val="00B54211"/>
    <w:rsid w:val="00B5436C"/>
    <w:rsid w:val="00B5441D"/>
    <w:rsid w:val="00B54824"/>
    <w:rsid w:val="00B54A5B"/>
    <w:rsid w:val="00B54A77"/>
    <w:rsid w:val="00B54C4D"/>
    <w:rsid w:val="00B54FF3"/>
    <w:rsid w:val="00B55038"/>
    <w:rsid w:val="00B550D5"/>
    <w:rsid w:val="00B550E8"/>
    <w:rsid w:val="00B5547D"/>
    <w:rsid w:val="00B55516"/>
    <w:rsid w:val="00B55790"/>
    <w:rsid w:val="00B557B6"/>
    <w:rsid w:val="00B55B57"/>
    <w:rsid w:val="00B55C0C"/>
    <w:rsid w:val="00B55C67"/>
    <w:rsid w:val="00B55E76"/>
    <w:rsid w:val="00B56086"/>
    <w:rsid w:val="00B561ED"/>
    <w:rsid w:val="00B5630F"/>
    <w:rsid w:val="00B568EA"/>
    <w:rsid w:val="00B56EBA"/>
    <w:rsid w:val="00B5721D"/>
    <w:rsid w:val="00B57273"/>
    <w:rsid w:val="00B5730F"/>
    <w:rsid w:val="00B57378"/>
    <w:rsid w:val="00B5742F"/>
    <w:rsid w:val="00B576F1"/>
    <w:rsid w:val="00B576F8"/>
    <w:rsid w:val="00B57718"/>
    <w:rsid w:val="00B5795F"/>
    <w:rsid w:val="00B57973"/>
    <w:rsid w:val="00B57A2F"/>
    <w:rsid w:val="00B57A75"/>
    <w:rsid w:val="00B57E88"/>
    <w:rsid w:val="00B57F82"/>
    <w:rsid w:val="00B57F8B"/>
    <w:rsid w:val="00B6003D"/>
    <w:rsid w:val="00B6025B"/>
    <w:rsid w:val="00B602E2"/>
    <w:rsid w:val="00B603FA"/>
    <w:rsid w:val="00B60556"/>
    <w:rsid w:val="00B60573"/>
    <w:rsid w:val="00B605D0"/>
    <w:rsid w:val="00B60773"/>
    <w:rsid w:val="00B60881"/>
    <w:rsid w:val="00B60CC3"/>
    <w:rsid w:val="00B60CFF"/>
    <w:rsid w:val="00B6115C"/>
    <w:rsid w:val="00B61186"/>
    <w:rsid w:val="00B613DE"/>
    <w:rsid w:val="00B61517"/>
    <w:rsid w:val="00B61518"/>
    <w:rsid w:val="00B6157D"/>
    <w:rsid w:val="00B615C3"/>
    <w:rsid w:val="00B617D3"/>
    <w:rsid w:val="00B6180A"/>
    <w:rsid w:val="00B61813"/>
    <w:rsid w:val="00B61948"/>
    <w:rsid w:val="00B61C84"/>
    <w:rsid w:val="00B61CF1"/>
    <w:rsid w:val="00B61D4D"/>
    <w:rsid w:val="00B61DE7"/>
    <w:rsid w:val="00B61DF8"/>
    <w:rsid w:val="00B61F86"/>
    <w:rsid w:val="00B621F9"/>
    <w:rsid w:val="00B621FD"/>
    <w:rsid w:val="00B62268"/>
    <w:rsid w:val="00B62286"/>
    <w:rsid w:val="00B62459"/>
    <w:rsid w:val="00B624B1"/>
    <w:rsid w:val="00B624DC"/>
    <w:rsid w:val="00B625AC"/>
    <w:rsid w:val="00B625E5"/>
    <w:rsid w:val="00B627A7"/>
    <w:rsid w:val="00B627FC"/>
    <w:rsid w:val="00B6291D"/>
    <w:rsid w:val="00B6293F"/>
    <w:rsid w:val="00B62A4F"/>
    <w:rsid w:val="00B62B89"/>
    <w:rsid w:val="00B62D45"/>
    <w:rsid w:val="00B63123"/>
    <w:rsid w:val="00B6315F"/>
    <w:rsid w:val="00B632DB"/>
    <w:rsid w:val="00B63426"/>
    <w:rsid w:val="00B63466"/>
    <w:rsid w:val="00B63538"/>
    <w:rsid w:val="00B639E3"/>
    <w:rsid w:val="00B63BCD"/>
    <w:rsid w:val="00B63C62"/>
    <w:rsid w:val="00B63C7B"/>
    <w:rsid w:val="00B63CB2"/>
    <w:rsid w:val="00B63DFD"/>
    <w:rsid w:val="00B64178"/>
    <w:rsid w:val="00B64549"/>
    <w:rsid w:val="00B6479E"/>
    <w:rsid w:val="00B64922"/>
    <w:rsid w:val="00B64927"/>
    <w:rsid w:val="00B64E26"/>
    <w:rsid w:val="00B64E7F"/>
    <w:rsid w:val="00B64E86"/>
    <w:rsid w:val="00B64FC4"/>
    <w:rsid w:val="00B65095"/>
    <w:rsid w:val="00B650DF"/>
    <w:rsid w:val="00B6553B"/>
    <w:rsid w:val="00B65611"/>
    <w:rsid w:val="00B65737"/>
    <w:rsid w:val="00B65A0C"/>
    <w:rsid w:val="00B65BA7"/>
    <w:rsid w:val="00B65CCC"/>
    <w:rsid w:val="00B65CED"/>
    <w:rsid w:val="00B65E0B"/>
    <w:rsid w:val="00B65F89"/>
    <w:rsid w:val="00B66270"/>
    <w:rsid w:val="00B668EB"/>
    <w:rsid w:val="00B66A64"/>
    <w:rsid w:val="00B66AB2"/>
    <w:rsid w:val="00B66B63"/>
    <w:rsid w:val="00B66C9C"/>
    <w:rsid w:val="00B66CD3"/>
    <w:rsid w:val="00B66D9C"/>
    <w:rsid w:val="00B66E8E"/>
    <w:rsid w:val="00B6703C"/>
    <w:rsid w:val="00B670D5"/>
    <w:rsid w:val="00B6728E"/>
    <w:rsid w:val="00B6729F"/>
    <w:rsid w:val="00B67317"/>
    <w:rsid w:val="00B67724"/>
    <w:rsid w:val="00B678C7"/>
    <w:rsid w:val="00B678D7"/>
    <w:rsid w:val="00B6798C"/>
    <w:rsid w:val="00B679D8"/>
    <w:rsid w:val="00B67A87"/>
    <w:rsid w:val="00B67B8E"/>
    <w:rsid w:val="00B67B9D"/>
    <w:rsid w:val="00B67EBD"/>
    <w:rsid w:val="00B67FE8"/>
    <w:rsid w:val="00B7017F"/>
    <w:rsid w:val="00B701F4"/>
    <w:rsid w:val="00B704C2"/>
    <w:rsid w:val="00B70526"/>
    <w:rsid w:val="00B70746"/>
    <w:rsid w:val="00B709F8"/>
    <w:rsid w:val="00B70B23"/>
    <w:rsid w:val="00B70BB0"/>
    <w:rsid w:val="00B70BD0"/>
    <w:rsid w:val="00B70C12"/>
    <w:rsid w:val="00B70C7E"/>
    <w:rsid w:val="00B70E14"/>
    <w:rsid w:val="00B71292"/>
    <w:rsid w:val="00B712B9"/>
    <w:rsid w:val="00B714CC"/>
    <w:rsid w:val="00B717E4"/>
    <w:rsid w:val="00B71887"/>
    <w:rsid w:val="00B71AB1"/>
    <w:rsid w:val="00B71BF9"/>
    <w:rsid w:val="00B71C1A"/>
    <w:rsid w:val="00B71E29"/>
    <w:rsid w:val="00B71E61"/>
    <w:rsid w:val="00B7211A"/>
    <w:rsid w:val="00B7214A"/>
    <w:rsid w:val="00B721B5"/>
    <w:rsid w:val="00B7225C"/>
    <w:rsid w:val="00B722C5"/>
    <w:rsid w:val="00B72390"/>
    <w:rsid w:val="00B723C4"/>
    <w:rsid w:val="00B724CE"/>
    <w:rsid w:val="00B7262D"/>
    <w:rsid w:val="00B72668"/>
    <w:rsid w:val="00B72781"/>
    <w:rsid w:val="00B72984"/>
    <w:rsid w:val="00B72A3E"/>
    <w:rsid w:val="00B72AC7"/>
    <w:rsid w:val="00B72BDA"/>
    <w:rsid w:val="00B72CDC"/>
    <w:rsid w:val="00B72DD4"/>
    <w:rsid w:val="00B72E2B"/>
    <w:rsid w:val="00B7323D"/>
    <w:rsid w:val="00B73327"/>
    <w:rsid w:val="00B73344"/>
    <w:rsid w:val="00B73489"/>
    <w:rsid w:val="00B7372C"/>
    <w:rsid w:val="00B73863"/>
    <w:rsid w:val="00B73D78"/>
    <w:rsid w:val="00B73E0F"/>
    <w:rsid w:val="00B73F3A"/>
    <w:rsid w:val="00B73F54"/>
    <w:rsid w:val="00B73F89"/>
    <w:rsid w:val="00B740C1"/>
    <w:rsid w:val="00B7441B"/>
    <w:rsid w:val="00B7449F"/>
    <w:rsid w:val="00B7463E"/>
    <w:rsid w:val="00B74691"/>
    <w:rsid w:val="00B7478A"/>
    <w:rsid w:val="00B7486D"/>
    <w:rsid w:val="00B74D13"/>
    <w:rsid w:val="00B74E40"/>
    <w:rsid w:val="00B751B8"/>
    <w:rsid w:val="00B7536E"/>
    <w:rsid w:val="00B753A8"/>
    <w:rsid w:val="00B75802"/>
    <w:rsid w:val="00B75A66"/>
    <w:rsid w:val="00B76100"/>
    <w:rsid w:val="00B761FF"/>
    <w:rsid w:val="00B76362"/>
    <w:rsid w:val="00B7659A"/>
    <w:rsid w:val="00B7661B"/>
    <w:rsid w:val="00B767DC"/>
    <w:rsid w:val="00B7684A"/>
    <w:rsid w:val="00B76892"/>
    <w:rsid w:val="00B76CD0"/>
    <w:rsid w:val="00B76E82"/>
    <w:rsid w:val="00B76F91"/>
    <w:rsid w:val="00B7727F"/>
    <w:rsid w:val="00B77311"/>
    <w:rsid w:val="00B77740"/>
    <w:rsid w:val="00B77800"/>
    <w:rsid w:val="00B77808"/>
    <w:rsid w:val="00B778B4"/>
    <w:rsid w:val="00B77C15"/>
    <w:rsid w:val="00B77CD7"/>
    <w:rsid w:val="00B77EB2"/>
    <w:rsid w:val="00B77FA5"/>
    <w:rsid w:val="00B80005"/>
    <w:rsid w:val="00B8010B"/>
    <w:rsid w:val="00B8014F"/>
    <w:rsid w:val="00B80184"/>
    <w:rsid w:val="00B801C5"/>
    <w:rsid w:val="00B80242"/>
    <w:rsid w:val="00B804AF"/>
    <w:rsid w:val="00B8055E"/>
    <w:rsid w:val="00B807D3"/>
    <w:rsid w:val="00B80CF4"/>
    <w:rsid w:val="00B80D49"/>
    <w:rsid w:val="00B80EAD"/>
    <w:rsid w:val="00B8139C"/>
    <w:rsid w:val="00B817F3"/>
    <w:rsid w:val="00B81802"/>
    <w:rsid w:val="00B8197C"/>
    <w:rsid w:val="00B81B7E"/>
    <w:rsid w:val="00B81C03"/>
    <w:rsid w:val="00B81C9A"/>
    <w:rsid w:val="00B81DBE"/>
    <w:rsid w:val="00B81E37"/>
    <w:rsid w:val="00B81FF7"/>
    <w:rsid w:val="00B82021"/>
    <w:rsid w:val="00B82199"/>
    <w:rsid w:val="00B8220B"/>
    <w:rsid w:val="00B82454"/>
    <w:rsid w:val="00B824C2"/>
    <w:rsid w:val="00B8252D"/>
    <w:rsid w:val="00B82707"/>
    <w:rsid w:val="00B82771"/>
    <w:rsid w:val="00B82784"/>
    <w:rsid w:val="00B82854"/>
    <w:rsid w:val="00B82AFF"/>
    <w:rsid w:val="00B82CB5"/>
    <w:rsid w:val="00B82DA3"/>
    <w:rsid w:val="00B82E6A"/>
    <w:rsid w:val="00B82F35"/>
    <w:rsid w:val="00B8303B"/>
    <w:rsid w:val="00B830C0"/>
    <w:rsid w:val="00B8310F"/>
    <w:rsid w:val="00B83226"/>
    <w:rsid w:val="00B83461"/>
    <w:rsid w:val="00B834C2"/>
    <w:rsid w:val="00B8354F"/>
    <w:rsid w:val="00B837BF"/>
    <w:rsid w:val="00B83878"/>
    <w:rsid w:val="00B83892"/>
    <w:rsid w:val="00B839B8"/>
    <w:rsid w:val="00B839E9"/>
    <w:rsid w:val="00B83CF5"/>
    <w:rsid w:val="00B83D90"/>
    <w:rsid w:val="00B83ED6"/>
    <w:rsid w:val="00B83F1B"/>
    <w:rsid w:val="00B8408C"/>
    <w:rsid w:val="00B8449B"/>
    <w:rsid w:val="00B8466C"/>
    <w:rsid w:val="00B84740"/>
    <w:rsid w:val="00B847DE"/>
    <w:rsid w:val="00B847FA"/>
    <w:rsid w:val="00B84949"/>
    <w:rsid w:val="00B8496B"/>
    <w:rsid w:val="00B849D3"/>
    <w:rsid w:val="00B8500E"/>
    <w:rsid w:val="00B85325"/>
    <w:rsid w:val="00B85759"/>
    <w:rsid w:val="00B85866"/>
    <w:rsid w:val="00B85A6E"/>
    <w:rsid w:val="00B85A95"/>
    <w:rsid w:val="00B85B9E"/>
    <w:rsid w:val="00B85C64"/>
    <w:rsid w:val="00B85EA4"/>
    <w:rsid w:val="00B86053"/>
    <w:rsid w:val="00B8626F"/>
    <w:rsid w:val="00B862BC"/>
    <w:rsid w:val="00B86394"/>
    <w:rsid w:val="00B8652E"/>
    <w:rsid w:val="00B86592"/>
    <w:rsid w:val="00B867C2"/>
    <w:rsid w:val="00B86B56"/>
    <w:rsid w:val="00B86D97"/>
    <w:rsid w:val="00B86DA6"/>
    <w:rsid w:val="00B86EEE"/>
    <w:rsid w:val="00B86F0A"/>
    <w:rsid w:val="00B86F3D"/>
    <w:rsid w:val="00B870A2"/>
    <w:rsid w:val="00B870F3"/>
    <w:rsid w:val="00B8710E"/>
    <w:rsid w:val="00B8714C"/>
    <w:rsid w:val="00B871DD"/>
    <w:rsid w:val="00B8729D"/>
    <w:rsid w:val="00B87389"/>
    <w:rsid w:val="00B8744B"/>
    <w:rsid w:val="00B87511"/>
    <w:rsid w:val="00B87868"/>
    <w:rsid w:val="00B878A4"/>
    <w:rsid w:val="00B8796D"/>
    <w:rsid w:val="00B87B2F"/>
    <w:rsid w:val="00B87BE0"/>
    <w:rsid w:val="00B87D2E"/>
    <w:rsid w:val="00B87E82"/>
    <w:rsid w:val="00B9006E"/>
    <w:rsid w:val="00B9011D"/>
    <w:rsid w:val="00B902FB"/>
    <w:rsid w:val="00B9032A"/>
    <w:rsid w:val="00B90608"/>
    <w:rsid w:val="00B90636"/>
    <w:rsid w:val="00B90644"/>
    <w:rsid w:val="00B90706"/>
    <w:rsid w:val="00B907D4"/>
    <w:rsid w:val="00B908BB"/>
    <w:rsid w:val="00B9090C"/>
    <w:rsid w:val="00B90A07"/>
    <w:rsid w:val="00B90B74"/>
    <w:rsid w:val="00B90F3E"/>
    <w:rsid w:val="00B90FA8"/>
    <w:rsid w:val="00B91105"/>
    <w:rsid w:val="00B911E5"/>
    <w:rsid w:val="00B91345"/>
    <w:rsid w:val="00B91494"/>
    <w:rsid w:val="00B914DA"/>
    <w:rsid w:val="00B91581"/>
    <w:rsid w:val="00B917B1"/>
    <w:rsid w:val="00B917DB"/>
    <w:rsid w:val="00B91828"/>
    <w:rsid w:val="00B918F7"/>
    <w:rsid w:val="00B9195B"/>
    <w:rsid w:val="00B91B50"/>
    <w:rsid w:val="00B91BCD"/>
    <w:rsid w:val="00B91CB9"/>
    <w:rsid w:val="00B91D4F"/>
    <w:rsid w:val="00B91F1A"/>
    <w:rsid w:val="00B91F36"/>
    <w:rsid w:val="00B920E2"/>
    <w:rsid w:val="00B92421"/>
    <w:rsid w:val="00B9265E"/>
    <w:rsid w:val="00B926FF"/>
    <w:rsid w:val="00B92907"/>
    <w:rsid w:val="00B9294C"/>
    <w:rsid w:val="00B929C5"/>
    <w:rsid w:val="00B92C1D"/>
    <w:rsid w:val="00B92CA2"/>
    <w:rsid w:val="00B92DA2"/>
    <w:rsid w:val="00B930A3"/>
    <w:rsid w:val="00B930D9"/>
    <w:rsid w:val="00B93120"/>
    <w:rsid w:val="00B9355C"/>
    <w:rsid w:val="00B93934"/>
    <w:rsid w:val="00B93BCC"/>
    <w:rsid w:val="00B93C28"/>
    <w:rsid w:val="00B93C39"/>
    <w:rsid w:val="00B93C67"/>
    <w:rsid w:val="00B93C9E"/>
    <w:rsid w:val="00B93F3A"/>
    <w:rsid w:val="00B93FA2"/>
    <w:rsid w:val="00B9406D"/>
    <w:rsid w:val="00B94251"/>
    <w:rsid w:val="00B94461"/>
    <w:rsid w:val="00B94496"/>
    <w:rsid w:val="00B945EF"/>
    <w:rsid w:val="00B94608"/>
    <w:rsid w:val="00B946BC"/>
    <w:rsid w:val="00B946DC"/>
    <w:rsid w:val="00B947D6"/>
    <w:rsid w:val="00B94879"/>
    <w:rsid w:val="00B9494B"/>
    <w:rsid w:val="00B94DF6"/>
    <w:rsid w:val="00B94FEA"/>
    <w:rsid w:val="00B952B8"/>
    <w:rsid w:val="00B9568D"/>
    <w:rsid w:val="00B957E8"/>
    <w:rsid w:val="00B95839"/>
    <w:rsid w:val="00B95B6B"/>
    <w:rsid w:val="00B95C41"/>
    <w:rsid w:val="00B95D51"/>
    <w:rsid w:val="00B962EB"/>
    <w:rsid w:val="00B96484"/>
    <w:rsid w:val="00B964A3"/>
    <w:rsid w:val="00B964F1"/>
    <w:rsid w:val="00B96637"/>
    <w:rsid w:val="00B9683E"/>
    <w:rsid w:val="00B9693A"/>
    <w:rsid w:val="00B96E59"/>
    <w:rsid w:val="00B97029"/>
    <w:rsid w:val="00B9741C"/>
    <w:rsid w:val="00B9744C"/>
    <w:rsid w:val="00B974C0"/>
    <w:rsid w:val="00B9753B"/>
    <w:rsid w:val="00B975D7"/>
    <w:rsid w:val="00B9762D"/>
    <w:rsid w:val="00B97843"/>
    <w:rsid w:val="00B97855"/>
    <w:rsid w:val="00B978FB"/>
    <w:rsid w:val="00B97C0B"/>
    <w:rsid w:val="00B97C8C"/>
    <w:rsid w:val="00B97D55"/>
    <w:rsid w:val="00B97DDB"/>
    <w:rsid w:val="00B97EA1"/>
    <w:rsid w:val="00BA0017"/>
    <w:rsid w:val="00BA004B"/>
    <w:rsid w:val="00BA0075"/>
    <w:rsid w:val="00BA02FF"/>
    <w:rsid w:val="00BA0335"/>
    <w:rsid w:val="00BA0938"/>
    <w:rsid w:val="00BA0A86"/>
    <w:rsid w:val="00BA0AC2"/>
    <w:rsid w:val="00BA0C12"/>
    <w:rsid w:val="00BA0D56"/>
    <w:rsid w:val="00BA0E6E"/>
    <w:rsid w:val="00BA110D"/>
    <w:rsid w:val="00BA117C"/>
    <w:rsid w:val="00BA122D"/>
    <w:rsid w:val="00BA1412"/>
    <w:rsid w:val="00BA1467"/>
    <w:rsid w:val="00BA1639"/>
    <w:rsid w:val="00BA1811"/>
    <w:rsid w:val="00BA1917"/>
    <w:rsid w:val="00BA1B57"/>
    <w:rsid w:val="00BA1C29"/>
    <w:rsid w:val="00BA1C49"/>
    <w:rsid w:val="00BA1EC5"/>
    <w:rsid w:val="00BA1F69"/>
    <w:rsid w:val="00BA2071"/>
    <w:rsid w:val="00BA209A"/>
    <w:rsid w:val="00BA22A3"/>
    <w:rsid w:val="00BA2547"/>
    <w:rsid w:val="00BA264B"/>
    <w:rsid w:val="00BA26A6"/>
    <w:rsid w:val="00BA26AC"/>
    <w:rsid w:val="00BA272D"/>
    <w:rsid w:val="00BA2A01"/>
    <w:rsid w:val="00BA2A1A"/>
    <w:rsid w:val="00BA2A36"/>
    <w:rsid w:val="00BA2A6F"/>
    <w:rsid w:val="00BA2B6D"/>
    <w:rsid w:val="00BA2B95"/>
    <w:rsid w:val="00BA2B9D"/>
    <w:rsid w:val="00BA2C0F"/>
    <w:rsid w:val="00BA2C1A"/>
    <w:rsid w:val="00BA2E47"/>
    <w:rsid w:val="00BA2F4B"/>
    <w:rsid w:val="00BA300B"/>
    <w:rsid w:val="00BA3099"/>
    <w:rsid w:val="00BA3505"/>
    <w:rsid w:val="00BA3593"/>
    <w:rsid w:val="00BA36EF"/>
    <w:rsid w:val="00BA383B"/>
    <w:rsid w:val="00BA389A"/>
    <w:rsid w:val="00BA3E28"/>
    <w:rsid w:val="00BA3F75"/>
    <w:rsid w:val="00BA3FC0"/>
    <w:rsid w:val="00BA3FE7"/>
    <w:rsid w:val="00BA4052"/>
    <w:rsid w:val="00BA41BB"/>
    <w:rsid w:val="00BA42C3"/>
    <w:rsid w:val="00BA4507"/>
    <w:rsid w:val="00BA4737"/>
    <w:rsid w:val="00BA4765"/>
    <w:rsid w:val="00BA48A6"/>
    <w:rsid w:val="00BA4938"/>
    <w:rsid w:val="00BA4AA5"/>
    <w:rsid w:val="00BA4B6C"/>
    <w:rsid w:val="00BA4B80"/>
    <w:rsid w:val="00BA4D8D"/>
    <w:rsid w:val="00BA4EC1"/>
    <w:rsid w:val="00BA4EFD"/>
    <w:rsid w:val="00BA50F9"/>
    <w:rsid w:val="00BA512D"/>
    <w:rsid w:val="00BA51C0"/>
    <w:rsid w:val="00BA51E5"/>
    <w:rsid w:val="00BA53B4"/>
    <w:rsid w:val="00BA5821"/>
    <w:rsid w:val="00BA5C87"/>
    <w:rsid w:val="00BA5D75"/>
    <w:rsid w:val="00BA5EFD"/>
    <w:rsid w:val="00BA62FD"/>
    <w:rsid w:val="00BA674B"/>
    <w:rsid w:val="00BA693F"/>
    <w:rsid w:val="00BA6C5F"/>
    <w:rsid w:val="00BA6FDF"/>
    <w:rsid w:val="00BA7057"/>
    <w:rsid w:val="00BA71E5"/>
    <w:rsid w:val="00BA71E9"/>
    <w:rsid w:val="00BA748C"/>
    <w:rsid w:val="00BA74D5"/>
    <w:rsid w:val="00BA7713"/>
    <w:rsid w:val="00BA774E"/>
    <w:rsid w:val="00BA778B"/>
    <w:rsid w:val="00BA7819"/>
    <w:rsid w:val="00BA797C"/>
    <w:rsid w:val="00BA7BD0"/>
    <w:rsid w:val="00BA7C36"/>
    <w:rsid w:val="00BA7D1E"/>
    <w:rsid w:val="00BA7D57"/>
    <w:rsid w:val="00BA7D9B"/>
    <w:rsid w:val="00BA7E27"/>
    <w:rsid w:val="00BB0061"/>
    <w:rsid w:val="00BB0119"/>
    <w:rsid w:val="00BB019A"/>
    <w:rsid w:val="00BB028B"/>
    <w:rsid w:val="00BB04C1"/>
    <w:rsid w:val="00BB0612"/>
    <w:rsid w:val="00BB0668"/>
    <w:rsid w:val="00BB0835"/>
    <w:rsid w:val="00BB0855"/>
    <w:rsid w:val="00BB0903"/>
    <w:rsid w:val="00BB0B73"/>
    <w:rsid w:val="00BB10E7"/>
    <w:rsid w:val="00BB115B"/>
    <w:rsid w:val="00BB11C8"/>
    <w:rsid w:val="00BB17CE"/>
    <w:rsid w:val="00BB1B8F"/>
    <w:rsid w:val="00BB1FC3"/>
    <w:rsid w:val="00BB207E"/>
    <w:rsid w:val="00BB2107"/>
    <w:rsid w:val="00BB237A"/>
    <w:rsid w:val="00BB23CB"/>
    <w:rsid w:val="00BB25BF"/>
    <w:rsid w:val="00BB2725"/>
    <w:rsid w:val="00BB277E"/>
    <w:rsid w:val="00BB279D"/>
    <w:rsid w:val="00BB2805"/>
    <w:rsid w:val="00BB28A5"/>
    <w:rsid w:val="00BB2912"/>
    <w:rsid w:val="00BB2B0C"/>
    <w:rsid w:val="00BB2DE0"/>
    <w:rsid w:val="00BB2E61"/>
    <w:rsid w:val="00BB2F2B"/>
    <w:rsid w:val="00BB3141"/>
    <w:rsid w:val="00BB3441"/>
    <w:rsid w:val="00BB3714"/>
    <w:rsid w:val="00BB386B"/>
    <w:rsid w:val="00BB3A7E"/>
    <w:rsid w:val="00BB3C3A"/>
    <w:rsid w:val="00BB3CB0"/>
    <w:rsid w:val="00BB3D3D"/>
    <w:rsid w:val="00BB3E6F"/>
    <w:rsid w:val="00BB3F08"/>
    <w:rsid w:val="00BB3F4B"/>
    <w:rsid w:val="00BB3FC3"/>
    <w:rsid w:val="00BB40DC"/>
    <w:rsid w:val="00BB427C"/>
    <w:rsid w:val="00BB4346"/>
    <w:rsid w:val="00BB4405"/>
    <w:rsid w:val="00BB4491"/>
    <w:rsid w:val="00BB44D1"/>
    <w:rsid w:val="00BB44E5"/>
    <w:rsid w:val="00BB45C7"/>
    <w:rsid w:val="00BB48C1"/>
    <w:rsid w:val="00BB4A56"/>
    <w:rsid w:val="00BB4C80"/>
    <w:rsid w:val="00BB4F7B"/>
    <w:rsid w:val="00BB4F9E"/>
    <w:rsid w:val="00BB50CD"/>
    <w:rsid w:val="00BB50DB"/>
    <w:rsid w:val="00BB51F3"/>
    <w:rsid w:val="00BB5319"/>
    <w:rsid w:val="00BB5387"/>
    <w:rsid w:val="00BB59B3"/>
    <w:rsid w:val="00BB59B8"/>
    <w:rsid w:val="00BB5A82"/>
    <w:rsid w:val="00BB5B01"/>
    <w:rsid w:val="00BB5BFF"/>
    <w:rsid w:val="00BB5C96"/>
    <w:rsid w:val="00BB5D1A"/>
    <w:rsid w:val="00BB63CF"/>
    <w:rsid w:val="00BB6511"/>
    <w:rsid w:val="00BB656E"/>
    <w:rsid w:val="00BB6724"/>
    <w:rsid w:val="00BB67ED"/>
    <w:rsid w:val="00BB68CF"/>
    <w:rsid w:val="00BB69D8"/>
    <w:rsid w:val="00BB6D07"/>
    <w:rsid w:val="00BB6F1E"/>
    <w:rsid w:val="00BB6F91"/>
    <w:rsid w:val="00BB7054"/>
    <w:rsid w:val="00BB7097"/>
    <w:rsid w:val="00BB74F8"/>
    <w:rsid w:val="00BB75DE"/>
    <w:rsid w:val="00BB76E6"/>
    <w:rsid w:val="00BB7786"/>
    <w:rsid w:val="00BB784D"/>
    <w:rsid w:val="00BB78FB"/>
    <w:rsid w:val="00BB790E"/>
    <w:rsid w:val="00BB79FD"/>
    <w:rsid w:val="00BB7A5C"/>
    <w:rsid w:val="00BB7AE1"/>
    <w:rsid w:val="00BB7CB9"/>
    <w:rsid w:val="00BB7D5F"/>
    <w:rsid w:val="00BB7DEF"/>
    <w:rsid w:val="00BB7F2F"/>
    <w:rsid w:val="00BC04BB"/>
    <w:rsid w:val="00BC066D"/>
    <w:rsid w:val="00BC0BA0"/>
    <w:rsid w:val="00BC0C95"/>
    <w:rsid w:val="00BC0CB6"/>
    <w:rsid w:val="00BC0D7F"/>
    <w:rsid w:val="00BC0FE7"/>
    <w:rsid w:val="00BC13F5"/>
    <w:rsid w:val="00BC143D"/>
    <w:rsid w:val="00BC1610"/>
    <w:rsid w:val="00BC17D3"/>
    <w:rsid w:val="00BC189E"/>
    <w:rsid w:val="00BC1A2E"/>
    <w:rsid w:val="00BC1BC3"/>
    <w:rsid w:val="00BC1BE4"/>
    <w:rsid w:val="00BC1E0C"/>
    <w:rsid w:val="00BC1EDC"/>
    <w:rsid w:val="00BC1F68"/>
    <w:rsid w:val="00BC2343"/>
    <w:rsid w:val="00BC23D8"/>
    <w:rsid w:val="00BC25A2"/>
    <w:rsid w:val="00BC261B"/>
    <w:rsid w:val="00BC2703"/>
    <w:rsid w:val="00BC291A"/>
    <w:rsid w:val="00BC29CE"/>
    <w:rsid w:val="00BC2A3B"/>
    <w:rsid w:val="00BC2A98"/>
    <w:rsid w:val="00BC2B57"/>
    <w:rsid w:val="00BC2C30"/>
    <w:rsid w:val="00BC2CE9"/>
    <w:rsid w:val="00BC2F0F"/>
    <w:rsid w:val="00BC2F6F"/>
    <w:rsid w:val="00BC30C5"/>
    <w:rsid w:val="00BC316D"/>
    <w:rsid w:val="00BC3197"/>
    <w:rsid w:val="00BC319A"/>
    <w:rsid w:val="00BC331B"/>
    <w:rsid w:val="00BC343B"/>
    <w:rsid w:val="00BC3463"/>
    <w:rsid w:val="00BC34A1"/>
    <w:rsid w:val="00BC353C"/>
    <w:rsid w:val="00BC37A9"/>
    <w:rsid w:val="00BC3BE1"/>
    <w:rsid w:val="00BC3C27"/>
    <w:rsid w:val="00BC3CB6"/>
    <w:rsid w:val="00BC3D06"/>
    <w:rsid w:val="00BC3D67"/>
    <w:rsid w:val="00BC3F7D"/>
    <w:rsid w:val="00BC4773"/>
    <w:rsid w:val="00BC4912"/>
    <w:rsid w:val="00BC4ADF"/>
    <w:rsid w:val="00BC4B1F"/>
    <w:rsid w:val="00BC4B99"/>
    <w:rsid w:val="00BC4D00"/>
    <w:rsid w:val="00BC4EEE"/>
    <w:rsid w:val="00BC508B"/>
    <w:rsid w:val="00BC50E9"/>
    <w:rsid w:val="00BC512C"/>
    <w:rsid w:val="00BC524C"/>
    <w:rsid w:val="00BC52E2"/>
    <w:rsid w:val="00BC53A4"/>
    <w:rsid w:val="00BC557B"/>
    <w:rsid w:val="00BC584F"/>
    <w:rsid w:val="00BC58EE"/>
    <w:rsid w:val="00BC594C"/>
    <w:rsid w:val="00BC5CE2"/>
    <w:rsid w:val="00BC5DD6"/>
    <w:rsid w:val="00BC6463"/>
    <w:rsid w:val="00BC666F"/>
    <w:rsid w:val="00BC67D4"/>
    <w:rsid w:val="00BC67E2"/>
    <w:rsid w:val="00BC683A"/>
    <w:rsid w:val="00BC6857"/>
    <w:rsid w:val="00BC685D"/>
    <w:rsid w:val="00BC6914"/>
    <w:rsid w:val="00BC69B8"/>
    <w:rsid w:val="00BC6A0D"/>
    <w:rsid w:val="00BC6A61"/>
    <w:rsid w:val="00BC6DB9"/>
    <w:rsid w:val="00BC6F41"/>
    <w:rsid w:val="00BC7008"/>
    <w:rsid w:val="00BC720F"/>
    <w:rsid w:val="00BC74F6"/>
    <w:rsid w:val="00BC7611"/>
    <w:rsid w:val="00BC78DB"/>
    <w:rsid w:val="00BC79EA"/>
    <w:rsid w:val="00BC7A41"/>
    <w:rsid w:val="00BC7BEF"/>
    <w:rsid w:val="00BD0277"/>
    <w:rsid w:val="00BD02D7"/>
    <w:rsid w:val="00BD04D3"/>
    <w:rsid w:val="00BD05E1"/>
    <w:rsid w:val="00BD06D5"/>
    <w:rsid w:val="00BD070B"/>
    <w:rsid w:val="00BD0894"/>
    <w:rsid w:val="00BD0996"/>
    <w:rsid w:val="00BD0A73"/>
    <w:rsid w:val="00BD0AA2"/>
    <w:rsid w:val="00BD0B81"/>
    <w:rsid w:val="00BD0CEE"/>
    <w:rsid w:val="00BD0DD4"/>
    <w:rsid w:val="00BD18AF"/>
    <w:rsid w:val="00BD18D5"/>
    <w:rsid w:val="00BD1AEF"/>
    <w:rsid w:val="00BD1BF4"/>
    <w:rsid w:val="00BD1CBD"/>
    <w:rsid w:val="00BD1CCA"/>
    <w:rsid w:val="00BD1DAA"/>
    <w:rsid w:val="00BD1E8A"/>
    <w:rsid w:val="00BD1EEC"/>
    <w:rsid w:val="00BD1EF1"/>
    <w:rsid w:val="00BD211C"/>
    <w:rsid w:val="00BD25EF"/>
    <w:rsid w:val="00BD27B0"/>
    <w:rsid w:val="00BD27F9"/>
    <w:rsid w:val="00BD2A6D"/>
    <w:rsid w:val="00BD2E83"/>
    <w:rsid w:val="00BD2FD4"/>
    <w:rsid w:val="00BD321C"/>
    <w:rsid w:val="00BD329E"/>
    <w:rsid w:val="00BD33EE"/>
    <w:rsid w:val="00BD342E"/>
    <w:rsid w:val="00BD36A4"/>
    <w:rsid w:val="00BD36E1"/>
    <w:rsid w:val="00BD3A60"/>
    <w:rsid w:val="00BD3BB6"/>
    <w:rsid w:val="00BD3C25"/>
    <w:rsid w:val="00BD3C96"/>
    <w:rsid w:val="00BD3FD3"/>
    <w:rsid w:val="00BD40CA"/>
    <w:rsid w:val="00BD4137"/>
    <w:rsid w:val="00BD415A"/>
    <w:rsid w:val="00BD435C"/>
    <w:rsid w:val="00BD43D8"/>
    <w:rsid w:val="00BD43E5"/>
    <w:rsid w:val="00BD467E"/>
    <w:rsid w:val="00BD472D"/>
    <w:rsid w:val="00BD47E9"/>
    <w:rsid w:val="00BD4992"/>
    <w:rsid w:val="00BD4993"/>
    <w:rsid w:val="00BD49D0"/>
    <w:rsid w:val="00BD49EC"/>
    <w:rsid w:val="00BD4A43"/>
    <w:rsid w:val="00BD4A93"/>
    <w:rsid w:val="00BD4B00"/>
    <w:rsid w:val="00BD4B3C"/>
    <w:rsid w:val="00BD4C97"/>
    <w:rsid w:val="00BD4DF7"/>
    <w:rsid w:val="00BD4F5A"/>
    <w:rsid w:val="00BD4F83"/>
    <w:rsid w:val="00BD51F8"/>
    <w:rsid w:val="00BD53DC"/>
    <w:rsid w:val="00BD55AB"/>
    <w:rsid w:val="00BD5769"/>
    <w:rsid w:val="00BD57AF"/>
    <w:rsid w:val="00BD589D"/>
    <w:rsid w:val="00BD58B4"/>
    <w:rsid w:val="00BD5AA1"/>
    <w:rsid w:val="00BD5B7E"/>
    <w:rsid w:val="00BD5BF3"/>
    <w:rsid w:val="00BD5C59"/>
    <w:rsid w:val="00BD5E35"/>
    <w:rsid w:val="00BD6249"/>
    <w:rsid w:val="00BD6307"/>
    <w:rsid w:val="00BD66B2"/>
    <w:rsid w:val="00BD66F3"/>
    <w:rsid w:val="00BD681F"/>
    <w:rsid w:val="00BD6832"/>
    <w:rsid w:val="00BD696F"/>
    <w:rsid w:val="00BD69A7"/>
    <w:rsid w:val="00BD69DD"/>
    <w:rsid w:val="00BD69E2"/>
    <w:rsid w:val="00BD6A59"/>
    <w:rsid w:val="00BD6AA6"/>
    <w:rsid w:val="00BD6BA0"/>
    <w:rsid w:val="00BD6C47"/>
    <w:rsid w:val="00BD6D58"/>
    <w:rsid w:val="00BD6E00"/>
    <w:rsid w:val="00BD6F08"/>
    <w:rsid w:val="00BD7037"/>
    <w:rsid w:val="00BD70C2"/>
    <w:rsid w:val="00BD7102"/>
    <w:rsid w:val="00BD71DF"/>
    <w:rsid w:val="00BD71F0"/>
    <w:rsid w:val="00BD7411"/>
    <w:rsid w:val="00BD746B"/>
    <w:rsid w:val="00BD754F"/>
    <w:rsid w:val="00BD75D7"/>
    <w:rsid w:val="00BD75DF"/>
    <w:rsid w:val="00BD7610"/>
    <w:rsid w:val="00BD7884"/>
    <w:rsid w:val="00BD78A1"/>
    <w:rsid w:val="00BD7947"/>
    <w:rsid w:val="00BD79EB"/>
    <w:rsid w:val="00BD7A15"/>
    <w:rsid w:val="00BD7AAD"/>
    <w:rsid w:val="00BD7B98"/>
    <w:rsid w:val="00BE016F"/>
    <w:rsid w:val="00BE060D"/>
    <w:rsid w:val="00BE062C"/>
    <w:rsid w:val="00BE06EB"/>
    <w:rsid w:val="00BE07DD"/>
    <w:rsid w:val="00BE0894"/>
    <w:rsid w:val="00BE0AB3"/>
    <w:rsid w:val="00BE0AC8"/>
    <w:rsid w:val="00BE0C52"/>
    <w:rsid w:val="00BE0CB1"/>
    <w:rsid w:val="00BE0F32"/>
    <w:rsid w:val="00BE0F59"/>
    <w:rsid w:val="00BE11BC"/>
    <w:rsid w:val="00BE12DD"/>
    <w:rsid w:val="00BE140F"/>
    <w:rsid w:val="00BE17D8"/>
    <w:rsid w:val="00BE1B8A"/>
    <w:rsid w:val="00BE1BD7"/>
    <w:rsid w:val="00BE1C4D"/>
    <w:rsid w:val="00BE1C76"/>
    <w:rsid w:val="00BE1E53"/>
    <w:rsid w:val="00BE2199"/>
    <w:rsid w:val="00BE2223"/>
    <w:rsid w:val="00BE23A3"/>
    <w:rsid w:val="00BE2935"/>
    <w:rsid w:val="00BE2D29"/>
    <w:rsid w:val="00BE2F25"/>
    <w:rsid w:val="00BE2F6F"/>
    <w:rsid w:val="00BE3562"/>
    <w:rsid w:val="00BE35EA"/>
    <w:rsid w:val="00BE35FD"/>
    <w:rsid w:val="00BE3659"/>
    <w:rsid w:val="00BE36C3"/>
    <w:rsid w:val="00BE39ED"/>
    <w:rsid w:val="00BE3D68"/>
    <w:rsid w:val="00BE3D95"/>
    <w:rsid w:val="00BE3DC4"/>
    <w:rsid w:val="00BE3FDE"/>
    <w:rsid w:val="00BE4088"/>
    <w:rsid w:val="00BE4136"/>
    <w:rsid w:val="00BE4212"/>
    <w:rsid w:val="00BE4443"/>
    <w:rsid w:val="00BE44E8"/>
    <w:rsid w:val="00BE4755"/>
    <w:rsid w:val="00BE4775"/>
    <w:rsid w:val="00BE4826"/>
    <w:rsid w:val="00BE4829"/>
    <w:rsid w:val="00BE4A3B"/>
    <w:rsid w:val="00BE4A49"/>
    <w:rsid w:val="00BE4B6C"/>
    <w:rsid w:val="00BE5165"/>
    <w:rsid w:val="00BE5280"/>
    <w:rsid w:val="00BE544E"/>
    <w:rsid w:val="00BE546F"/>
    <w:rsid w:val="00BE5616"/>
    <w:rsid w:val="00BE59C7"/>
    <w:rsid w:val="00BE5B63"/>
    <w:rsid w:val="00BE5DC4"/>
    <w:rsid w:val="00BE5E25"/>
    <w:rsid w:val="00BE6010"/>
    <w:rsid w:val="00BE63D3"/>
    <w:rsid w:val="00BE648A"/>
    <w:rsid w:val="00BE64A5"/>
    <w:rsid w:val="00BE6798"/>
    <w:rsid w:val="00BE6818"/>
    <w:rsid w:val="00BE6993"/>
    <w:rsid w:val="00BE69DF"/>
    <w:rsid w:val="00BE69F8"/>
    <w:rsid w:val="00BE6D13"/>
    <w:rsid w:val="00BE6ED2"/>
    <w:rsid w:val="00BE6F7C"/>
    <w:rsid w:val="00BE7013"/>
    <w:rsid w:val="00BE7277"/>
    <w:rsid w:val="00BE72CE"/>
    <w:rsid w:val="00BE73E3"/>
    <w:rsid w:val="00BE75B8"/>
    <w:rsid w:val="00BE7676"/>
    <w:rsid w:val="00BE7699"/>
    <w:rsid w:val="00BE7820"/>
    <w:rsid w:val="00BE788D"/>
    <w:rsid w:val="00BE7A8F"/>
    <w:rsid w:val="00BE7CA3"/>
    <w:rsid w:val="00BE7D01"/>
    <w:rsid w:val="00BE7D1F"/>
    <w:rsid w:val="00BE7E09"/>
    <w:rsid w:val="00BF02A6"/>
    <w:rsid w:val="00BF0437"/>
    <w:rsid w:val="00BF048D"/>
    <w:rsid w:val="00BF05C2"/>
    <w:rsid w:val="00BF0734"/>
    <w:rsid w:val="00BF0760"/>
    <w:rsid w:val="00BF077C"/>
    <w:rsid w:val="00BF07BE"/>
    <w:rsid w:val="00BF09AF"/>
    <w:rsid w:val="00BF0AE3"/>
    <w:rsid w:val="00BF0CBD"/>
    <w:rsid w:val="00BF0D7D"/>
    <w:rsid w:val="00BF1051"/>
    <w:rsid w:val="00BF1185"/>
    <w:rsid w:val="00BF1186"/>
    <w:rsid w:val="00BF11D1"/>
    <w:rsid w:val="00BF1700"/>
    <w:rsid w:val="00BF1729"/>
    <w:rsid w:val="00BF1751"/>
    <w:rsid w:val="00BF1803"/>
    <w:rsid w:val="00BF183B"/>
    <w:rsid w:val="00BF1A50"/>
    <w:rsid w:val="00BF1C89"/>
    <w:rsid w:val="00BF1F37"/>
    <w:rsid w:val="00BF1FBC"/>
    <w:rsid w:val="00BF22DE"/>
    <w:rsid w:val="00BF233E"/>
    <w:rsid w:val="00BF2ACF"/>
    <w:rsid w:val="00BF2CBD"/>
    <w:rsid w:val="00BF2ED8"/>
    <w:rsid w:val="00BF30EF"/>
    <w:rsid w:val="00BF3556"/>
    <w:rsid w:val="00BF35FE"/>
    <w:rsid w:val="00BF3796"/>
    <w:rsid w:val="00BF37C6"/>
    <w:rsid w:val="00BF37D9"/>
    <w:rsid w:val="00BF3A16"/>
    <w:rsid w:val="00BF3A84"/>
    <w:rsid w:val="00BF3B0A"/>
    <w:rsid w:val="00BF3C19"/>
    <w:rsid w:val="00BF3FAE"/>
    <w:rsid w:val="00BF41EB"/>
    <w:rsid w:val="00BF42BA"/>
    <w:rsid w:val="00BF43E4"/>
    <w:rsid w:val="00BF44F1"/>
    <w:rsid w:val="00BF4645"/>
    <w:rsid w:val="00BF466D"/>
    <w:rsid w:val="00BF4691"/>
    <w:rsid w:val="00BF4941"/>
    <w:rsid w:val="00BF49FD"/>
    <w:rsid w:val="00BF4B1C"/>
    <w:rsid w:val="00BF4B43"/>
    <w:rsid w:val="00BF4BCD"/>
    <w:rsid w:val="00BF4D24"/>
    <w:rsid w:val="00BF5180"/>
    <w:rsid w:val="00BF53A8"/>
    <w:rsid w:val="00BF5420"/>
    <w:rsid w:val="00BF546E"/>
    <w:rsid w:val="00BF54AB"/>
    <w:rsid w:val="00BF5668"/>
    <w:rsid w:val="00BF577F"/>
    <w:rsid w:val="00BF57A8"/>
    <w:rsid w:val="00BF5A7F"/>
    <w:rsid w:val="00BF5B16"/>
    <w:rsid w:val="00BF5EDD"/>
    <w:rsid w:val="00BF5FDF"/>
    <w:rsid w:val="00BF5FF5"/>
    <w:rsid w:val="00BF6245"/>
    <w:rsid w:val="00BF63CE"/>
    <w:rsid w:val="00BF6466"/>
    <w:rsid w:val="00BF6509"/>
    <w:rsid w:val="00BF653F"/>
    <w:rsid w:val="00BF6550"/>
    <w:rsid w:val="00BF657D"/>
    <w:rsid w:val="00BF6588"/>
    <w:rsid w:val="00BF665C"/>
    <w:rsid w:val="00BF6697"/>
    <w:rsid w:val="00BF67F8"/>
    <w:rsid w:val="00BF69ED"/>
    <w:rsid w:val="00BF69FE"/>
    <w:rsid w:val="00BF6BEE"/>
    <w:rsid w:val="00BF6C64"/>
    <w:rsid w:val="00BF6EF6"/>
    <w:rsid w:val="00BF6F40"/>
    <w:rsid w:val="00BF6F5F"/>
    <w:rsid w:val="00BF70D0"/>
    <w:rsid w:val="00BF71FC"/>
    <w:rsid w:val="00BF72CB"/>
    <w:rsid w:val="00BF7400"/>
    <w:rsid w:val="00BF7525"/>
    <w:rsid w:val="00BF7608"/>
    <w:rsid w:val="00BF78F3"/>
    <w:rsid w:val="00BF795A"/>
    <w:rsid w:val="00BF7B6A"/>
    <w:rsid w:val="00BF7BB6"/>
    <w:rsid w:val="00BF7CED"/>
    <w:rsid w:val="00BF7D3F"/>
    <w:rsid w:val="00BF7E85"/>
    <w:rsid w:val="00BF7F6B"/>
    <w:rsid w:val="00C002BF"/>
    <w:rsid w:val="00C004AE"/>
    <w:rsid w:val="00C00640"/>
    <w:rsid w:val="00C00751"/>
    <w:rsid w:val="00C007DA"/>
    <w:rsid w:val="00C009AB"/>
    <w:rsid w:val="00C00AA1"/>
    <w:rsid w:val="00C00AB2"/>
    <w:rsid w:val="00C00CA0"/>
    <w:rsid w:val="00C00E06"/>
    <w:rsid w:val="00C00E3E"/>
    <w:rsid w:val="00C00E6D"/>
    <w:rsid w:val="00C00E97"/>
    <w:rsid w:val="00C00F22"/>
    <w:rsid w:val="00C01158"/>
    <w:rsid w:val="00C011A8"/>
    <w:rsid w:val="00C0125E"/>
    <w:rsid w:val="00C01297"/>
    <w:rsid w:val="00C0139D"/>
    <w:rsid w:val="00C0158A"/>
    <w:rsid w:val="00C0163C"/>
    <w:rsid w:val="00C01A5F"/>
    <w:rsid w:val="00C01D5F"/>
    <w:rsid w:val="00C01E38"/>
    <w:rsid w:val="00C01F11"/>
    <w:rsid w:val="00C01F67"/>
    <w:rsid w:val="00C02863"/>
    <w:rsid w:val="00C02890"/>
    <w:rsid w:val="00C02A68"/>
    <w:rsid w:val="00C02AAA"/>
    <w:rsid w:val="00C02AFA"/>
    <w:rsid w:val="00C02CAB"/>
    <w:rsid w:val="00C02CAD"/>
    <w:rsid w:val="00C02E42"/>
    <w:rsid w:val="00C03182"/>
    <w:rsid w:val="00C032B2"/>
    <w:rsid w:val="00C03378"/>
    <w:rsid w:val="00C0339E"/>
    <w:rsid w:val="00C033EC"/>
    <w:rsid w:val="00C0342C"/>
    <w:rsid w:val="00C03689"/>
    <w:rsid w:val="00C03A1C"/>
    <w:rsid w:val="00C03A34"/>
    <w:rsid w:val="00C04029"/>
    <w:rsid w:val="00C04127"/>
    <w:rsid w:val="00C04164"/>
    <w:rsid w:val="00C04170"/>
    <w:rsid w:val="00C041C8"/>
    <w:rsid w:val="00C043E3"/>
    <w:rsid w:val="00C0445B"/>
    <w:rsid w:val="00C04702"/>
    <w:rsid w:val="00C049C9"/>
    <w:rsid w:val="00C04A9D"/>
    <w:rsid w:val="00C05125"/>
    <w:rsid w:val="00C05132"/>
    <w:rsid w:val="00C051E2"/>
    <w:rsid w:val="00C0521D"/>
    <w:rsid w:val="00C052A9"/>
    <w:rsid w:val="00C0542B"/>
    <w:rsid w:val="00C05450"/>
    <w:rsid w:val="00C05475"/>
    <w:rsid w:val="00C05649"/>
    <w:rsid w:val="00C0576F"/>
    <w:rsid w:val="00C058A4"/>
    <w:rsid w:val="00C0595F"/>
    <w:rsid w:val="00C05A43"/>
    <w:rsid w:val="00C05B6A"/>
    <w:rsid w:val="00C05E1E"/>
    <w:rsid w:val="00C05F51"/>
    <w:rsid w:val="00C060F0"/>
    <w:rsid w:val="00C062DF"/>
    <w:rsid w:val="00C06389"/>
    <w:rsid w:val="00C06392"/>
    <w:rsid w:val="00C06473"/>
    <w:rsid w:val="00C06638"/>
    <w:rsid w:val="00C067BD"/>
    <w:rsid w:val="00C068D8"/>
    <w:rsid w:val="00C06B47"/>
    <w:rsid w:val="00C06C31"/>
    <w:rsid w:val="00C06C60"/>
    <w:rsid w:val="00C06D6C"/>
    <w:rsid w:val="00C06D74"/>
    <w:rsid w:val="00C06DB8"/>
    <w:rsid w:val="00C07057"/>
    <w:rsid w:val="00C07092"/>
    <w:rsid w:val="00C073F8"/>
    <w:rsid w:val="00C074D4"/>
    <w:rsid w:val="00C075AD"/>
    <w:rsid w:val="00C07609"/>
    <w:rsid w:val="00C07736"/>
    <w:rsid w:val="00C07787"/>
    <w:rsid w:val="00C0786C"/>
    <w:rsid w:val="00C078CF"/>
    <w:rsid w:val="00C07913"/>
    <w:rsid w:val="00C07933"/>
    <w:rsid w:val="00C07BA2"/>
    <w:rsid w:val="00C07D2C"/>
    <w:rsid w:val="00C07E05"/>
    <w:rsid w:val="00C07FFA"/>
    <w:rsid w:val="00C10068"/>
    <w:rsid w:val="00C10136"/>
    <w:rsid w:val="00C1033D"/>
    <w:rsid w:val="00C103AE"/>
    <w:rsid w:val="00C10450"/>
    <w:rsid w:val="00C10583"/>
    <w:rsid w:val="00C106CC"/>
    <w:rsid w:val="00C106D4"/>
    <w:rsid w:val="00C10839"/>
    <w:rsid w:val="00C108DF"/>
    <w:rsid w:val="00C10B4E"/>
    <w:rsid w:val="00C10B9A"/>
    <w:rsid w:val="00C10C04"/>
    <w:rsid w:val="00C10EF3"/>
    <w:rsid w:val="00C10FC8"/>
    <w:rsid w:val="00C11020"/>
    <w:rsid w:val="00C1115A"/>
    <w:rsid w:val="00C11292"/>
    <w:rsid w:val="00C11297"/>
    <w:rsid w:val="00C1136A"/>
    <w:rsid w:val="00C115B1"/>
    <w:rsid w:val="00C116AC"/>
    <w:rsid w:val="00C116EE"/>
    <w:rsid w:val="00C11753"/>
    <w:rsid w:val="00C11774"/>
    <w:rsid w:val="00C117DB"/>
    <w:rsid w:val="00C11864"/>
    <w:rsid w:val="00C118F3"/>
    <w:rsid w:val="00C1195C"/>
    <w:rsid w:val="00C119B1"/>
    <w:rsid w:val="00C119DF"/>
    <w:rsid w:val="00C11B5B"/>
    <w:rsid w:val="00C11D03"/>
    <w:rsid w:val="00C11D2A"/>
    <w:rsid w:val="00C1207B"/>
    <w:rsid w:val="00C121BA"/>
    <w:rsid w:val="00C121DE"/>
    <w:rsid w:val="00C12502"/>
    <w:rsid w:val="00C1259F"/>
    <w:rsid w:val="00C125DB"/>
    <w:rsid w:val="00C1261B"/>
    <w:rsid w:val="00C126C8"/>
    <w:rsid w:val="00C126DC"/>
    <w:rsid w:val="00C1284B"/>
    <w:rsid w:val="00C12860"/>
    <w:rsid w:val="00C128D6"/>
    <w:rsid w:val="00C128DB"/>
    <w:rsid w:val="00C129AF"/>
    <w:rsid w:val="00C12D18"/>
    <w:rsid w:val="00C12D1C"/>
    <w:rsid w:val="00C131B0"/>
    <w:rsid w:val="00C1322F"/>
    <w:rsid w:val="00C132D2"/>
    <w:rsid w:val="00C13317"/>
    <w:rsid w:val="00C1345E"/>
    <w:rsid w:val="00C134A9"/>
    <w:rsid w:val="00C1371B"/>
    <w:rsid w:val="00C13849"/>
    <w:rsid w:val="00C13940"/>
    <w:rsid w:val="00C13A47"/>
    <w:rsid w:val="00C13A89"/>
    <w:rsid w:val="00C13B18"/>
    <w:rsid w:val="00C13B78"/>
    <w:rsid w:val="00C13B92"/>
    <w:rsid w:val="00C14109"/>
    <w:rsid w:val="00C14154"/>
    <w:rsid w:val="00C1425C"/>
    <w:rsid w:val="00C142A6"/>
    <w:rsid w:val="00C143AC"/>
    <w:rsid w:val="00C143E2"/>
    <w:rsid w:val="00C1461B"/>
    <w:rsid w:val="00C1461F"/>
    <w:rsid w:val="00C14640"/>
    <w:rsid w:val="00C147FD"/>
    <w:rsid w:val="00C14806"/>
    <w:rsid w:val="00C14A53"/>
    <w:rsid w:val="00C14CA0"/>
    <w:rsid w:val="00C14DBB"/>
    <w:rsid w:val="00C14E15"/>
    <w:rsid w:val="00C151B7"/>
    <w:rsid w:val="00C15533"/>
    <w:rsid w:val="00C15923"/>
    <w:rsid w:val="00C15927"/>
    <w:rsid w:val="00C15A14"/>
    <w:rsid w:val="00C15B26"/>
    <w:rsid w:val="00C15E38"/>
    <w:rsid w:val="00C160AC"/>
    <w:rsid w:val="00C160B0"/>
    <w:rsid w:val="00C1610A"/>
    <w:rsid w:val="00C16270"/>
    <w:rsid w:val="00C16569"/>
    <w:rsid w:val="00C16638"/>
    <w:rsid w:val="00C166DA"/>
    <w:rsid w:val="00C169D0"/>
    <w:rsid w:val="00C16A45"/>
    <w:rsid w:val="00C16CCE"/>
    <w:rsid w:val="00C16D6E"/>
    <w:rsid w:val="00C170B7"/>
    <w:rsid w:val="00C171D9"/>
    <w:rsid w:val="00C171FA"/>
    <w:rsid w:val="00C1742C"/>
    <w:rsid w:val="00C1746B"/>
    <w:rsid w:val="00C176A4"/>
    <w:rsid w:val="00C17870"/>
    <w:rsid w:val="00C17C8B"/>
    <w:rsid w:val="00C17D72"/>
    <w:rsid w:val="00C17F7F"/>
    <w:rsid w:val="00C20505"/>
    <w:rsid w:val="00C20C68"/>
    <w:rsid w:val="00C210DF"/>
    <w:rsid w:val="00C2112B"/>
    <w:rsid w:val="00C21161"/>
    <w:rsid w:val="00C212B7"/>
    <w:rsid w:val="00C212EF"/>
    <w:rsid w:val="00C21369"/>
    <w:rsid w:val="00C213C1"/>
    <w:rsid w:val="00C214AB"/>
    <w:rsid w:val="00C21513"/>
    <w:rsid w:val="00C21559"/>
    <w:rsid w:val="00C21727"/>
    <w:rsid w:val="00C2174B"/>
    <w:rsid w:val="00C21775"/>
    <w:rsid w:val="00C21793"/>
    <w:rsid w:val="00C217C2"/>
    <w:rsid w:val="00C219B3"/>
    <w:rsid w:val="00C21AE3"/>
    <w:rsid w:val="00C22317"/>
    <w:rsid w:val="00C22473"/>
    <w:rsid w:val="00C22595"/>
    <w:rsid w:val="00C227A0"/>
    <w:rsid w:val="00C227C1"/>
    <w:rsid w:val="00C227F8"/>
    <w:rsid w:val="00C227F9"/>
    <w:rsid w:val="00C22D34"/>
    <w:rsid w:val="00C22E78"/>
    <w:rsid w:val="00C23160"/>
    <w:rsid w:val="00C23198"/>
    <w:rsid w:val="00C231EA"/>
    <w:rsid w:val="00C2330C"/>
    <w:rsid w:val="00C23310"/>
    <w:rsid w:val="00C2349D"/>
    <w:rsid w:val="00C234D2"/>
    <w:rsid w:val="00C2351E"/>
    <w:rsid w:val="00C23572"/>
    <w:rsid w:val="00C2393C"/>
    <w:rsid w:val="00C23940"/>
    <w:rsid w:val="00C23A23"/>
    <w:rsid w:val="00C23BA3"/>
    <w:rsid w:val="00C23D83"/>
    <w:rsid w:val="00C23DA4"/>
    <w:rsid w:val="00C23DD2"/>
    <w:rsid w:val="00C23F37"/>
    <w:rsid w:val="00C23F4F"/>
    <w:rsid w:val="00C24008"/>
    <w:rsid w:val="00C24472"/>
    <w:rsid w:val="00C24501"/>
    <w:rsid w:val="00C24545"/>
    <w:rsid w:val="00C2463B"/>
    <w:rsid w:val="00C24A5F"/>
    <w:rsid w:val="00C24AA0"/>
    <w:rsid w:val="00C24CBB"/>
    <w:rsid w:val="00C24DD2"/>
    <w:rsid w:val="00C24F46"/>
    <w:rsid w:val="00C253B0"/>
    <w:rsid w:val="00C25575"/>
    <w:rsid w:val="00C2560B"/>
    <w:rsid w:val="00C2560D"/>
    <w:rsid w:val="00C25887"/>
    <w:rsid w:val="00C25896"/>
    <w:rsid w:val="00C25955"/>
    <w:rsid w:val="00C25AAE"/>
    <w:rsid w:val="00C2621C"/>
    <w:rsid w:val="00C26382"/>
    <w:rsid w:val="00C2639C"/>
    <w:rsid w:val="00C26673"/>
    <w:rsid w:val="00C267D9"/>
    <w:rsid w:val="00C26827"/>
    <w:rsid w:val="00C26A2E"/>
    <w:rsid w:val="00C26B9A"/>
    <w:rsid w:val="00C26CB1"/>
    <w:rsid w:val="00C26FE5"/>
    <w:rsid w:val="00C27056"/>
    <w:rsid w:val="00C27101"/>
    <w:rsid w:val="00C271AB"/>
    <w:rsid w:val="00C2720A"/>
    <w:rsid w:val="00C27249"/>
    <w:rsid w:val="00C27414"/>
    <w:rsid w:val="00C2748C"/>
    <w:rsid w:val="00C275D8"/>
    <w:rsid w:val="00C27A00"/>
    <w:rsid w:val="00C27A30"/>
    <w:rsid w:val="00C27C06"/>
    <w:rsid w:val="00C27D18"/>
    <w:rsid w:val="00C27D24"/>
    <w:rsid w:val="00C27D3D"/>
    <w:rsid w:val="00C27E76"/>
    <w:rsid w:val="00C301A2"/>
    <w:rsid w:val="00C30483"/>
    <w:rsid w:val="00C3055E"/>
    <w:rsid w:val="00C3064F"/>
    <w:rsid w:val="00C306A7"/>
    <w:rsid w:val="00C30719"/>
    <w:rsid w:val="00C30B28"/>
    <w:rsid w:val="00C30BF6"/>
    <w:rsid w:val="00C30C87"/>
    <w:rsid w:val="00C30FB2"/>
    <w:rsid w:val="00C30FB9"/>
    <w:rsid w:val="00C31017"/>
    <w:rsid w:val="00C31BE6"/>
    <w:rsid w:val="00C31D10"/>
    <w:rsid w:val="00C31DD6"/>
    <w:rsid w:val="00C31ECA"/>
    <w:rsid w:val="00C3214E"/>
    <w:rsid w:val="00C321E4"/>
    <w:rsid w:val="00C32231"/>
    <w:rsid w:val="00C324F5"/>
    <w:rsid w:val="00C324F8"/>
    <w:rsid w:val="00C329A0"/>
    <w:rsid w:val="00C32A3C"/>
    <w:rsid w:val="00C32B25"/>
    <w:rsid w:val="00C32B90"/>
    <w:rsid w:val="00C32F66"/>
    <w:rsid w:val="00C3311E"/>
    <w:rsid w:val="00C3339F"/>
    <w:rsid w:val="00C33900"/>
    <w:rsid w:val="00C33A83"/>
    <w:rsid w:val="00C33A9B"/>
    <w:rsid w:val="00C33CA7"/>
    <w:rsid w:val="00C33CF8"/>
    <w:rsid w:val="00C33E74"/>
    <w:rsid w:val="00C33F6B"/>
    <w:rsid w:val="00C341F9"/>
    <w:rsid w:val="00C343D4"/>
    <w:rsid w:val="00C343E2"/>
    <w:rsid w:val="00C3446F"/>
    <w:rsid w:val="00C34A5A"/>
    <w:rsid w:val="00C34AE7"/>
    <w:rsid w:val="00C34C07"/>
    <w:rsid w:val="00C34F17"/>
    <w:rsid w:val="00C34F8E"/>
    <w:rsid w:val="00C350E6"/>
    <w:rsid w:val="00C35387"/>
    <w:rsid w:val="00C35840"/>
    <w:rsid w:val="00C35AD2"/>
    <w:rsid w:val="00C35AF9"/>
    <w:rsid w:val="00C35C98"/>
    <w:rsid w:val="00C35DB5"/>
    <w:rsid w:val="00C35DBD"/>
    <w:rsid w:val="00C3610D"/>
    <w:rsid w:val="00C36188"/>
    <w:rsid w:val="00C361C1"/>
    <w:rsid w:val="00C363CD"/>
    <w:rsid w:val="00C367E6"/>
    <w:rsid w:val="00C368BA"/>
    <w:rsid w:val="00C36997"/>
    <w:rsid w:val="00C36AE2"/>
    <w:rsid w:val="00C36B68"/>
    <w:rsid w:val="00C36CC4"/>
    <w:rsid w:val="00C36CD7"/>
    <w:rsid w:val="00C36CFC"/>
    <w:rsid w:val="00C36DF6"/>
    <w:rsid w:val="00C36DFA"/>
    <w:rsid w:val="00C36E5F"/>
    <w:rsid w:val="00C36E83"/>
    <w:rsid w:val="00C36F7C"/>
    <w:rsid w:val="00C36F93"/>
    <w:rsid w:val="00C37035"/>
    <w:rsid w:val="00C37039"/>
    <w:rsid w:val="00C3709D"/>
    <w:rsid w:val="00C37176"/>
    <w:rsid w:val="00C371B8"/>
    <w:rsid w:val="00C372B9"/>
    <w:rsid w:val="00C37321"/>
    <w:rsid w:val="00C3742A"/>
    <w:rsid w:val="00C376F9"/>
    <w:rsid w:val="00C3770D"/>
    <w:rsid w:val="00C378E5"/>
    <w:rsid w:val="00C37901"/>
    <w:rsid w:val="00C37977"/>
    <w:rsid w:val="00C37B2A"/>
    <w:rsid w:val="00C37CC3"/>
    <w:rsid w:val="00C37EC9"/>
    <w:rsid w:val="00C37F3F"/>
    <w:rsid w:val="00C40043"/>
    <w:rsid w:val="00C4008E"/>
    <w:rsid w:val="00C40102"/>
    <w:rsid w:val="00C40217"/>
    <w:rsid w:val="00C40648"/>
    <w:rsid w:val="00C407B9"/>
    <w:rsid w:val="00C4082A"/>
    <w:rsid w:val="00C408AB"/>
    <w:rsid w:val="00C40B7B"/>
    <w:rsid w:val="00C40D09"/>
    <w:rsid w:val="00C40FD0"/>
    <w:rsid w:val="00C4102B"/>
    <w:rsid w:val="00C41186"/>
    <w:rsid w:val="00C41275"/>
    <w:rsid w:val="00C4136B"/>
    <w:rsid w:val="00C414A9"/>
    <w:rsid w:val="00C41559"/>
    <w:rsid w:val="00C41955"/>
    <w:rsid w:val="00C41A90"/>
    <w:rsid w:val="00C4223D"/>
    <w:rsid w:val="00C422D3"/>
    <w:rsid w:val="00C4246D"/>
    <w:rsid w:val="00C4252F"/>
    <w:rsid w:val="00C426B3"/>
    <w:rsid w:val="00C42782"/>
    <w:rsid w:val="00C427E8"/>
    <w:rsid w:val="00C42B5C"/>
    <w:rsid w:val="00C42C56"/>
    <w:rsid w:val="00C42DC2"/>
    <w:rsid w:val="00C42DD0"/>
    <w:rsid w:val="00C4314C"/>
    <w:rsid w:val="00C4326E"/>
    <w:rsid w:val="00C43464"/>
    <w:rsid w:val="00C43602"/>
    <w:rsid w:val="00C437A3"/>
    <w:rsid w:val="00C438ED"/>
    <w:rsid w:val="00C439AD"/>
    <w:rsid w:val="00C43CB4"/>
    <w:rsid w:val="00C43EA9"/>
    <w:rsid w:val="00C43EEC"/>
    <w:rsid w:val="00C4407D"/>
    <w:rsid w:val="00C44130"/>
    <w:rsid w:val="00C44160"/>
    <w:rsid w:val="00C444E5"/>
    <w:rsid w:val="00C44795"/>
    <w:rsid w:val="00C44947"/>
    <w:rsid w:val="00C44A04"/>
    <w:rsid w:val="00C44A2F"/>
    <w:rsid w:val="00C44AD4"/>
    <w:rsid w:val="00C44C57"/>
    <w:rsid w:val="00C44F3A"/>
    <w:rsid w:val="00C44F3D"/>
    <w:rsid w:val="00C4503A"/>
    <w:rsid w:val="00C4508C"/>
    <w:rsid w:val="00C4521F"/>
    <w:rsid w:val="00C45500"/>
    <w:rsid w:val="00C45540"/>
    <w:rsid w:val="00C4555D"/>
    <w:rsid w:val="00C4563F"/>
    <w:rsid w:val="00C457BB"/>
    <w:rsid w:val="00C45A77"/>
    <w:rsid w:val="00C45BA8"/>
    <w:rsid w:val="00C45BD1"/>
    <w:rsid w:val="00C45CE3"/>
    <w:rsid w:val="00C45D19"/>
    <w:rsid w:val="00C45D20"/>
    <w:rsid w:val="00C45F4D"/>
    <w:rsid w:val="00C4600E"/>
    <w:rsid w:val="00C4603F"/>
    <w:rsid w:val="00C46053"/>
    <w:rsid w:val="00C4621C"/>
    <w:rsid w:val="00C4634D"/>
    <w:rsid w:val="00C465DB"/>
    <w:rsid w:val="00C46798"/>
    <w:rsid w:val="00C46BA1"/>
    <w:rsid w:val="00C46C53"/>
    <w:rsid w:val="00C46D82"/>
    <w:rsid w:val="00C46DE4"/>
    <w:rsid w:val="00C46FD7"/>
    <w:rsid w:val="00C470CA"/>
    <w:rsid w:val="00C471F3"/>
    <w:rsid w:val="00C471FF"/>
    <w:rsid w:val="00C47401"/>
    <w:rsid w:val="00C47434"/>
    <w:rsid w:val="00C4745A"/>
    <w:rsid w:val="00C4748C"/>
    <w:rsid w:val="00C474E8"/>
    <w:rsid w:val="00C474E9"/>
    <w:rsid w:val="00C4750B"/>
    <w:rsid w:val="00C47566"/>
    <w:rsid w:val="00C47943"/>
    <w:rsid w:val="00C47ABE"/>
    <w:rsid w:val="00C47AD2"/>
    <w:rsid w:val="00C47E56"/>
    <w:rsid w:val="00C47EF4"/>
    <w:rsid w:val="00C47F39"/>
    <w:rsid w:val="00C47FE3"/>
    <w:rsid w:val="00C500EB"/>
    <w:rsid w:val="00C50178"/>
    <w:rsid w:val="00C50274"/>
    <w:rsid w:val="00C50285"/>
    <w:rsid w:val="00C50298"/>
    <w:rsid w:val="00C50359"/>
    <w:rsid w:val="00C50520"/>
    <w:rsid w:val="00C505B8"/>
    <w:rsid w:val="00C50713"/>
    <w:rsid w:val="00C50797"/>
    <w:rsid w:val="00C508D4"/>
    <w:rsid w:val="00C50B55"/>
    <w:rsid w:val="00C50BE1"/>
    <w:rsid w:val="00C50D6B"/>
    <w:rsid w:val="00C50EE4"/>
    <w:rsid w:val="00C51271"/>
    <w:rsid w:val="00C512BC"/>
    <w:rsid w:val="00C513BA"/>
    <w:rsid w:val="00C515F1"/>
    <w:rsid w:val="00C5172E"/>
    <w:rsid w:val="00C51977"/>
    <w:rsid w:val="00C51ABC"/>
    <w:rsid w:val="00C51B79"/>
    <w:rsid w:val="00C51C2C"/>
    <w:rsid w:val="00C521DE"/>
    <w:rsid w:val="00C5234F"/>
    <w:rsid w:val="00C5248D"/>
    <w:rsid w:val="00C524B5"/>
    <w:rsid w:val="00C52774"/>
    <w:rsid w:val="00C527B7"/>
    <w:rsid w:val="00C52D52"/>
    <w:rsid w:val="00C52DF7"/>
    <w:rsid w:val="00C52F07"/>
    <w:rsid w:val="00C52F6B"/>
    <w:rsid w:val="00C5305A"/>
    <w:rsid w:val="00C532A0"/>
    <w:rsid w:val="00C53493"/>
    <w:rsid w:val="00C534AC"/>
    <w:rsid w:val="00C535B5"/>
    <w:rsid w:val="00C53AA2"/>
    <w:rsid w:val="00C53AD4"/>
    <w:rsid w:val="00C53D73"/>
    <w:rsid w:val="00C54190"/>
    <w:rsid w:val="00C54236"/>
    <w:rsid w:val="00C54247"/>
    <w:rsid w:val="00C542A3"/>
    <w:rsid w:val="00C542CD"/>
    <w:rsid w:val="00C5475A"/>
    <w:rsid w:val="00C547D9"/>
    <w:rsid w:val="00C54897"/>
    <w:rsid w:val="00C54965"/>
    <w:rsid w:val="00C549C3"/>
    <w:rsid w:val="00C54AAA"/>
    <w:rsid w:val="00C54CC3"/>
    <w:rsid w:val="00C54EB0"/>
    <w:rsid w:val="00C552D8"/>
    <w:rsid w:val="00C555B5"/>
    <w:rsid w:val="00C55607"/>
    <w:rsid w:val="00C5580F"/>
    <w:rsid w:val="00C55866"/>
    <w:rsid w:val="00C55CD9"/>
    <w:rsid w:val="00C55EC0"/>
    <w:rsid w:val="00C5607B"/>
    <w:rsid w:val="00C564A4"/>
    <w:rsid w:val="00C564A8"/>
    <w:rsid w:val="00C5652C"/>
    <w:rsid w:val="00C566F2"/>
    <w:rsid w:val="00C568DE"/>
    <w:rsid w:val="00C56B71"/>
    <w:rsid w:val="00C56CAA"/>
    <w:rsid w:val="00C56D1A"/>
    <w:rsid w:val="00C56DD0"/>
    <w:rsid w:val="00C56FC7"/>
    <w:rsid w:val="00C56FD3"/>
    <w:rsid w:val="00C5726E"/>
    <w:rsid w:val="00C57274"/>
    <w:rsid w:val="00C57490"/>
    <w:rsid w:val="00C574FA"/>
    <w:rsid w:val="00C57529"/>
    <w:rsid w:val="00C576B6"/>
    <w:rsid w:val="00C576F0"/>
    <w:rsid w:val="00C578CD"/>
    <w:rsid w:val="00C578FA"/>
    <w:rsid w:val="00C57948"/>
    <w:rsid w:val="00C57B57"/>
    <w:rsid w:val="00C57BDA"/>
    <w:rsid w:val="00C57C63"/>
    <w:rsid w:val="00C57DEF"/>
    <w:rsid w:val="00C57E8A"/>
    <w:rsid w:val="00C57E8C"/>
    <w:rsid w:val="00C57F26"/>
    <w:rsid w:val="00C600D5"/>
    <w:rsid w:val="00C600EC"/>
    <w:rsid w:val="00C6042C"/>
    <w:rsid w:val="00C6061C"/>
    <w:rsid w:val="00C6072F"/>
    <w:rsid w:val="00C607B2"/>
    <w:rsid w:val="00C60D9B"/>
    <w:rsid w:val="00C61048"/>
    <w:rsid w:val="00C61168"/>
    <w:rsid w:val="00C611A5"/>
    <w:rsid w:val="00C61206"/>
    <w:rsid w:val="00C612BC"/>
    <w:rsid w:val="00C612BE"/>
    <w:rsid w:val="00C6142C"/>
    <w:rsid w:val="00C6191D"/>
    <w:rsid w:val="00C61A53"/>
    <w:rsid w:val="00C61CA0"/>
    <w:rsid w:val="00C61CAD"/>
    <w:rsid w:val="00C61CF7"/>
    <w:rsid w:val="00C61D75"/>
    <w:rsid w:val="00C61F24"/>
    <w:rsid w:val="00C61FD2"/>
    <w:rsid w:val="00C61FE9"/>
    <w:rsid w:val="00C62085"/>
    <w:rsid w:val="00C620B0"/>
    <w:rsid w:val="00C622DF"/>
    <w:rsid w:val="00C62685"/>
    <w:rsid w:val="00C6275D"/>
    <w:rsid w:val="00C62A0E"/>
    <w:rsid w:val="00C62AF9"/>
    <w:rsid w:val="00C62B16"/>
    <w:rsid w:val="00C62B5D"/>
    <w:rsid w:val="00C62CA6"/>
    <w:rsid w:val="00C62CBF"/>
    <w:rsid w:val="00C62D73"/>
    <w:rsid w:val="00C62ECC"/>
    <w:rsid w:val="00C63298"/>
    <w:rsid w:val="00C633AC"/>
    <w:rsid w:val="00C6357C"/>
    <w:rsid w:val="00C6363C"/>
    <w:rsid w:val="00C63850"/>
    <w:rsid w:val="00C638AB"/>
    <w:rsid w:val="00C6392E"/>
    <w:rsid w:val="00C63C52"/>
    <w:rsid w:val="00C63C79"/>
    <w:rsid w:val="00C63E63"/>
    <w:rsid w:val="00C64226"/>
    <w:rsid w:val="00C64237"/>
    <w:rsid w:val="00C64279"/>
    <w:rsid w:val="00C642C8"/>
    <w:rsid w:val="00C642F2"/>
    <w:rsid w:val="00C64440"/>
    <w:rsid w:val="00C646EA"/>
    <w:rsid w:val="00C64765"/>
    <w:rsid w:val="00C647F9"/>
    <w:rsid w:val="00C6480C"/>
    <w:rsid w:val="00C64904"/>
    <w:rsid w:val="00C64A05"/>
    <w:rsid w:val="00C64A0E"/>
    <w:rsid w:val="00C64AF6"/>
    <w:rsid w:val="00C64E77"/>
    <w:rsid w:val="00C64EAD"/>
    <w:rsid w:val="00C64F46"/>
    <w:rsid w:val="00C65016"/>
    <w:rsid w:val="00C652E2"/>
    <w:rsid w:val="00C65365"/>
    <w:rsid w:val="00C65571"/>
    <w:rsid w:val="00C655B9"/>
    <w:rsid w:val="00C65705"/>
    <w:rsid w:val="00C658D3"/>
    <w:rsid w:val="00C659EE"/>
    <w:rsid w:val="00C65AD0"/>
    <w:rsid w:val="00C65CAD"/>
    <w:rsid w:val="00C65CDE"/>
    <w:rsid w:val="00C65D76"/>
    <w:rsid w:val="00C65F22"/>
    <w:rsid w:val="00C65FB7"/>
    <w:rsid w:val="00C66041"/>
    <w:rsid w:val="00C660D7"/>
    <w:rsid w:val="00C660FA"/>
    <w:rsid w:val="00C6614A"/>
    <w:rsid w:val="00C661BA"/>
    <w:rsid w:val="00C66475"/>
    <w:rsid w:val="00C665D1"/>
    <w:rsid w:val="00C6678A"/>
    <w:rsid w:val="00C667BE"/>
    <w:rsid w:val="00C667EC"/>
    <w:rsid w:val="00C668B0"/>
    <w:rsid w:val="00C668D6"/>
    <w:rsid w:val="00C66ADA"/>
    <w:rsid w:val="00C66C60"/>
    <w:rsid w:val="00C66C99"/>
    <w:rsid w:val="00C66D63"/>
    <w:rsid w:val="00C66E90"/>
    <w:rsid w:val="00C6714F"/>
    <w:rsid w:val="00C67250"/>
    <w:rsid w:val="00C672B7"/>
    <w:rsid w:val="00C67431"/>
    <w:rsid w:val="00C6750B"/>
    <w:rsid w:val="00C679BB"/>
    <w:rsid w:val="00C67B13"/>
    <w:rsid w:val="00C67B71"/>
    <w:rsid w:val="00C67B72"/>
    <w:rsid w:val="00C67C07"/>
    <w:rsid w:val="00C67F04"/>
    <w:rsid w:val="00C7002A"/>
    <w:rsid w:val="00C70130"/>
    <w:rsid w:val="00C7013C"/>
    <w:rsid w:val="00C70213"/>
    <w:rsid w:val="00C703A2"/>
    <w:rsid w:val="00C708A1"/>
    <w:rsid w:val="00C70A68"/>
    <w:rsid w:val="00C70A7D"/>
    <w:rsid w:val="00C70B7F"/>
    <w:rsid w:val="00C70D0E"/>
    <w:rsid w:val="00C70D9F"/>
    <w:rsid w:val="00C70EEB"/>
    <w:rsid w:val="00C711DF"/>
    <w:rsid w:val="00C71878"/>
    <w:rsid w:val="00C718A9"/>
    <w:rsid w:val="00C71A1A"/>
    <w:rsid w:val="00C71B4C"/>
    <w:rsid w:val="00C71BDD"/>
    <w:rsid w:val="00C71F67"/>
    <w:rsid w:val="00C71FB0"/>
    <w:rsid w:val="00C71FE1"/>
    <w:rsid w:val="00C72233"/>
    <w:rsid w:val="00C7223E"/>
    <w:rsid w:val="00C72321"/>
    <w:rsid w:val="00C72347"/>
    <w:rsid w:val="00C72429"/>
    <w:rsid w:val="00C7262D"/>
    <w:rsid w:val="00C7280C"/>
    <w:rsid w:val="00C72BF2"/>
    <w:rsid w:val="00C72CCA"/>
    <w:rsid w:val="00C72CD2"/>
    <w:rsid w:val="00C72F36"/>
    <w:rsid w:val="00C72FCB"/>
    <w:rsid w:val="00C730FC"/>
    <w:rsid w:val="00C7314E"/>
    <w:rsid w:val="00C73151"/>
    <w:rsid w:val="00C7317B"/>
    <w:rsid w:val="00C731CA"/>
    <w:rsid w:val="00C731F1"/>
    <w:rsid w:val="00C73295"/>
    <w:rsid w:val="00C73477"/>
    <w:rsid w:val="00C738A5"/>
    <w:rsid w:val="00C73C4A"/>
    <w:rsid w:val="00C73C59"/>
    <w:rsid w:val="00C73CD6"/>
    <w:rsid w:val="00C73DA9"/>
    <w:rsid w:val="00C74063"/>
    <w:rsid w:val="00C74205"/>
    <w:rsid w:val="00C747E1"/>
    <w:rsid w:val="00C74EFF"/>
    <w:rsid w:val="00C7508E"/>
    <w:rsid w:val="00C750F4"/>
    <w:rsid w:val="00C75163"/>
    <w:rsid w:val="00C751D0"/>
    <w:rsid w:val="00C752C3"/>
    <w:rsid w:val="00C752E8"/>
    <w:rsid w:val="00C75346"/>
    <w:rsid w:val="00C7558B"/>
    <w:rsid w:val="00C755DB"/>
    <w:rsid w:val="00C75639"/>
    <w:rsid w:val="00C7582E"/>
    <w:rsid w:val="00C758B1"/>
    <w:rsid w:val="00C7591D"/>
    <w:rsid w:val="00C75BA5"/>
    <w:rsid w:val="00C75F33"/>
    <w:rsid w:val="00C75F98"/>
    <w:rsid w:val="00C76473"/>
    <w:rsid w:val="00C764C5"/>
    <w:rsid w:val="00C76762"/>
    <w:rsid w:val="00C767FE"/>
    <w:rsid w:val="00C76C25"/>
    <w:rsid w:val="00C76D76"/>
    <w:rsid w:val="00C7702F"/>
    <w:rsid w:val="00C7706C"/>
    <w:rsid w:val="00C7712A"/>
    <w:rsid w:val="00C772EE"/>
    <w:rsid w:val="00C7739E"/>
    <w:rsid w:val="00C773BC"/>
    <w:rsid w:val="00C774BA"/>
    <w:rsid w:val="00C774E2"/>
    <w:rsid w:val="00C77640"/>
    <w:rsid w:val="00C776A2"/>
    <w:rsid w:val="00C776B9"/>
    <w:rsid w:val="00C77A05"/>
    <w:rsid w:val="00C77AC5"/>
    <w:rsid w:val="00C77BBA"/>
    <w:rsid w:val="00C77C27"/>
    <w:rsid w:val="00C77CCA"/>
    <w:rsid w:val="00C77CE1"/>
    <w:rsid w:val="00C77D28"/>
    <w:rsid w:val="00C77E6C"/>
    <w:rsid w:val="00C77E72"/>
    <w:rsid w:val="00C80180"/>
    <w:rsid w:val="00C801CB"/>
    <w:rsid w:val="00C801E4"/>
    <w:rsid w:val="00C8022D"/>
    <w:rsid w:val="00C80342"/>
    <w:rsid w:val="00C803B6"/>
    <w:rsid w:val="00C80657"/>
    <w:rsid w:val="00C80799"/>
    <w:rsid w:val="00C807D0"/>
    <w:rsid w:val="00C80B7F"/>
    <w:rsid w:val="00C80B8A"/>
    <w:rsid w:val="00C80E45"/>
    <w:rsid w:val="00C80F17"/>
    <w:rsid w:val="00C813AF"/>
    <w:rsid w:val="00C815D9"/>
    <w:rsid w:val="00C8171A"/>
    <w:rsid w:val="00C81751"/>
    <w:rsid w:val="00C81A7D"/>
    <w:rsid w:val="00C81D7D"/>
    <w:rsid w:val="00C81DAE"/>
    <w:rsid w:val="00C81E18"/>
    <w:rsid w:val="00C822FB"/>
    <w:rsid w:val="00C8252B"/>
    <w:rsid w:val="00C826D0"/>
    <w:rsid w:val="00C828DC"/>
    <w:rsid w:val="00C82983"/>
    <w:rsid w:val="00C829EE"/>
    <w:rsid w:val="00C82C35"/>
    <w:rsid w:val="00C82CD9"/>
    <w:rsid w:val="00C82D0A"/>
    <w:rsid w:val="00C82F75"/>
    <w:rsid w:val="00C831C5"/>
    <w:rsid w:val="00C8321C"/>
    <w:rsid w:val="00C8338D"/>
    <w:rsid w:val="00C834D1"/>
    <w:rsid w:val="00C838DB"/>
    <w:rsid w:val="00C83ACC"/>
    <w:rsid w:val="00C83CE3"/>
    <w:rsid w:val="00C83E0B"/>
    <w:rsid w:val="00C83F16"/>
    <w:rsid w:val="00C84047"/>
    <w:rsid w:val="00C840AB"/>
    <w:rsid w:val="00C841AD"/>
    <w:rsid w:val="00C84220"/>
    <w:rsid w:val="00C8424E"/>
    <w:rsid w:val="00C84580"/>
    <w:rsid w:val="00C84665"/>
    <w:rsid w:val="00C84748"/>
    <w:rsid w:val="00C84818"/>
    <w:rsid w:val="00C84949"/>
    <w:rsid w:val="00C84B65"/>
    <w:rsid w:val="00C84C71"/>
    <w:rsid w:val="00C84E18"/>
    <w:rsid w:val="00C84EBB"/>
    <w:rsid w:val="00C852B7"/>
    <w:rsid w:val="00C852F5"/>
    <w:rsid w:val="00C8569F"/>
    <w:rsid w:val="00C85928"/>
    <w:rsid w:val="00C859CD"/>
    <w:rsid w:val="00C85CB2"/>
    <w:rsid w:val="00C85CBB"/>
    <w:rsid w:val="00C85E55"/>
    <w:rsid w:val="00C85F54"/>
    <w:rsid w:val="00C8626A"/>
    <w:rsid w:val="00C862A8"/>
    <w:rsid w:val="00C864DB"/>
    <w:rsid w:val="00C86564"/>
    <w:rsid w:val="00C866ED"/>
    <w:rsid w:val="00C8697D"/>
    <w:rsid w:val="00C869C9"/>
    <w:rsid w:val="00C86B11"/>
    <w:rsid w:val="00C86BBC"/>
    <w:rsid w:val="00C86C5A"/>
    <w:rsid w:val="00C86CE4"/>
    <w:rsid w:val="00C86D2F"/>
    <w:rsid w:val="00C86D7E"/>
    <w:rsid w:val="00C86DF4"/>
    <w:rsid w:val="00C86EA7"/>
    <w:rsid w:val="00C86ECD"/>
    <w:rsid w:val="00C86F95"/>
    <w:rsid w:val="00C86FEA"/>
    <w:rsid w:val="00C870EF"/>
    <w:rsid w:val="00C8717E"/>
    <w:rsid w:val="00C8726E"/>
    <w:rsid w:val="00C872E7"/>
    <w:rsid w:val="00C8750B"/>
    <w:rsid w:val="00C875C2"/>
    <w:rsid w:val="00C875E7"/>
    <w:rsid w:val="00C8761C"/>
    <w:rsid w:val="00C87A84"/>
    <w:rsid w:val="00C87C71"/>
    <w:rsid w:val="00C900E2"/>
    <w:rsid w:val="00C902D9"/>
    <w:rsid w:val="00C9032A"/>
    <w:rsid w:val="00C903C1"/>
    <w:rsid w:val="00C905A0"/>
    <w:rsid w:val="00C905E7"/>
    <w:rsid w:val="00C906D1"/>
    <w:rsid w:val="00C9096F"/>
    <w:rsid w:val="00C90D92"/>
    <w:rsid w:val="00C90E11"/>
    <w:rsid w:val="00C90E47"/>
    <w:rsid w:val="00C90F3C"/>
    <w:rsid w:val="00C90F60"/>
    <w:rsid w:val="00C9106E"/>
    <w:rsid w:val="00C91111"/>
    <w:rsid w:val="00C918ED"/>
    <w:rsid w:val="00C91964"/>
    <w:rsid w:val="00C91973"/>
    <w:rsid w:val="00C91CB4"/>
    <w:rsid w:val="00C92030"/>
    <w:rsid w:val="00C9204E"/>
    <w:rsid w:val="00C920A8"/>
    <w:rsid w:val="00C92180"/>
    <w:rsid w:val="00C923C7"/>
    <w:rsid w:val="00C925CA"/>
    <w:rsid w:val="00C925CB"/>
    <w:rsid w:val="00C92CB6"/>
    <w:rsid w:val="00C932C8"/>
    <w:rsid w:val="00C9332F"/>
    <w:rsid w:val="00C93460"/>
    <w:rsid w:val="00C9374C"/>
    <w:rsid w:val="00C93751"/>
    <w:rsid w:val="00C937C7"/>
    <w:rsid w:val="00C93990"/>
    <w:rsid w:val="00C93BBF"/>
    <w:rsid w:val="00C93DC0"/>
    <w:rsid w:val="00C93EBC"/>
    <w:rsid w:val="00C9408A"/>
    <w:rsid w:val="00C94153"/>
    <w:rsid w:val="00C9425D"/>
    <w:rsid w:val="00C94387"/>
    <w:rsid w:val="00C945E2"/>
    <w:rsid w:val="00C946D9"/>
    <w:rsid w:val="00C948D8"/>
    <w:rsid w:val="00C94A33"/>
    <w:rsid w:val="00C94A52"/>
    <w:rsid w:val="00C94AB5"/>
    <w:rsid w:val="00C94B93"/>
    <w:rsid w:val="00C94D77"/>
    <w:rsid w:val="00C94E53"/>
    <w:rsid w:val="00C95083"/>
    <w:rsid w:val="00C95096"/>
    <w:rsid w:val="00C9515E"/>
    <w:rsid w:val="00C95226"/>
    <w:rsid w:val="00C9531F"/>
    <w:rsid w:val="00C9543A"/>
    <w:rsid w:val="00C95448"/>
    <w:rsid w:val="00C957B8"/>
    <w:rsid w:val="00C9594F"/>
    <w:rsid w:val="00C95C89"/>
    <w:rsid w:val="00C96198"/>
    <w:rsid w:val="00C961BE"/>
    <w:rsid w:val="00C9628E"/>
    <w:rsid w:val="00C9631B"/>
    <w:rsid w:val="00C965FE"/>
    <w:rsid w:val="00C96607"/>
    <w:rsid w:val="00C96695"/>
    <w:rsid w:val="00C9675D"/>
    <w:rsid w:val="00C9690B"/>
    <w:rsid w:val="00C96996"/>
    <w:rsid w:val="00C96A14"/>
    <w:rsid w:val="00C96BE7"/>
    <w:rsid w:val="00C96C3A"/>
    <w:rsid w:val="00C96E08"/>
    <w:rsid w:val="00C96E0C"/>
    <w:rsid w:val="00C96E6C"/>
    <w:rsid w:val="00C96E8A"/>
    <w:rsid w:val="00C972DD"/>
    <w:rsid w:val="00C972F9"/>
    <w:rsid w:val="00C973A3"/>
    <w:rsid w:val="00C97695"/>
    <w:rsid w:val="00C976E0"/>
    <w:rsid w:val="00C977D0"/>
    <w:rsid w:val="00C97974"/>
    <w:rsid w:val="00C97C34"/>
    <w:rsid w:val="00C97D01"/>
    <w:rsid w:val="00C97E21"/>
    <w:rsid w:val="00CA00ED"/>
    <w:rsid w:val="00CA0241"/>
    <w:rsid w:val="00CA0257"/>
    <w:rsid w:val="00CA02AC"/>
    <w:rsid w:val="00CA0756"/>
    <w:rsid w:val="00CA08AA"/>
    <w:rsid w:val="00CA0904"/>
    <w:rsid w:val="00CA0961"/>
    <w:rsid w:val="00CA097C"/>
    <w:rsid w:val="00CA0C0B"/>
    <w:rsid w:val="00CA0C3B"/>
    <w:rsid w:val="00CA0E36"/>
    <w:rsid w:val="00CA0E4B"/>
    <w:rsid w:val="00CA0F10"/>
    <w:rsid w:val="00CA0F24"/>
    <w:rsid w:val="00CA1006"/>
    <w:rsid w:val="00CA14B3"/>
    <w:rsid w:val="00CA14E7"/>
    <w:rsid w:val="00CA1555"/>
    <w:rsid w:val="00CA1589"/>
    <w:rsid w:val="00CA17D4"/>
    <w:rsid w:val="00CA1898"/>
    <w:rsid w:val="00CA1921"/>
    <w:rsid w:val="00CA1AD4"/>
    <w:rsid w:val="00CA1B1F"/>
    <w:rsid w:val="00CA1B96"/>
    <w:rsid w:val="00CA1BA7"/>
    <w:rsid w:val="00CA1BB4"/>
    <w:rsid w:val="00CA1BC3"/>
    <w:rsid w:val="00CA1D57"/>
    <w:rsid w:val="00CA1E64"/>
    <w:rsid w:val="00CA1EE3"/>
    <w:rsid w:val="00CA1FAA"/>
    <w:rsid w:val="00CA1FEA"/>
    <w:rsid w:val="00CA2145"/>
    <w:rsid w:val="00CA238A"/>
    <w:rsid w:val="00CA25BE"/>
    <w:rsid w:val="00CA268D"/>
    <w:rsid w:val="00CA27C4"/>
    <w:rsid w:val="00CA2877"/>
    <w:rsid w:val="00CA2932"/>
    <w:rsid w:val="00CA2A5B"/>
    <w:rsid w:val="00CA2B9D"/>
    <w:rsid w:val="00CA2D56"/>
    <w:rsid w:val="00CA2DFB"/>
    <w:rsid w:val="00CA2EB5"/>
    <w:rsid w:val="00CA30CB"/>
    <w:rsid w:val="00CA333D"/>
    <w:rsid w:val="00CA35C5"/>
    <w:rsid w:val="00CA39B2"/>
    <w:rsid w:val="00CA3A60"/>
    <w:rsid w:val="00CA3B5C"/>
    <w:rsid w:val="00CA3C95"/>
    <w:rsid w:val="00CA3C96"/>
    <w:rsid w:val="00CA3D1B"/>
    <w:rsid w:val="00CA3DB9"/>
    <w:rsid w:val="00CA3DFB"/>
    <w:rsid w:val="00CA41D7"/>
    <w:rsid w:val="00CA4357"/>
    <w:rsid w:val="00CA439A"/>
    <w:rsid w:val="00CA4493"/>
    <w:rsid w:val="00CA4601"/>
    <w:rsid w:val="00CA464C"/>
    <w:rsid w:val="00CA4743"/>
    <w:rsid w:val="00CA48BA"/>
    <w:rsid w:val="00CA48DD"/>
    <w:rsid w:val="00CA4B8F"/>
    <w:rsid w:val="00CA4CA2"/>
    <w:rsid w:val="00CA4D11"/>
    <w:rsid w:val="00CA4EC2"/>
    <w:rsid w:val="00CA4F04"/>
    <w:rsid w:val="00CA4F62"/>
    <w:rsid w:val="00CA4F75"/>
    <w:rsid w:val="00CA4F96"/>
    <w:rsid w:val="00CA5360"/>
    <w:rsid w:val="00CA5622"/>
    <w:rsid w:val="00CA57F5"/>
    <w:rsid w:val="00CA59D4"/>
    <w:rsid w:val="00CA5DA2"/>
    <w:rsid w:val="00CA5F4E"/>
    <w:rsid w:val="00CA6117"/>
    <w:rsid w:val="00CA623C"/>
    <w:rsid w:val="00CA6293"/>
    <w:rsid w:val="00CA63C7"/>
    <w:rsid w:val="00CA6577"/>
    <w:rsid w:val="00CA6890"/>
    <w:rsid w:val="00CA689B"/>
    <w:rsid w:val="00CA6905"/>
    <w:rsid w:val="00CA6A04"/>
    <w:rsid w:val="00CA6A3D"/>
    <w:rsid w:val="00CA6C61"/>
    <w:rsid w:val="00CA6E34"/>
    <w:rsid w:val="00CA6E3C"/>
    <w:rsid w:val="00CA7165"/>
    <w:rsid w:val="00CA7169"/>
    <w:rsid w:val="00CA7184"/>
    <w:rsid w:val="00CA737A"/>
    <w:rsid w:val="00CA74DB"/>
    <w:rsid w:val="00CA7533"/>
    <w:rsid w:val="00CA77DC"/>
    <w:rsid w:val="00CA7809"/>
    <w:rsid w:val="00CA788A"/>
    <w:rsid w:val="00CA78FD"/>
    <w:rsid w:val="00CA790B"/>
    <w:rsid w:val="00CA79B7"/>
    <w:rsid w:val="00CA79C0"/>
    <w:rsid w:val="00CA7A28"/>
    <w:rsid w:val="00CA7D3A"/>
    <w:rsid w:val="00CA7E36"/>
    <w:rsid w:val="00CA7F75"/>
    <w:rsid w:val="00CB0203"/>
    <w:rsid w:val="00CB0229"/>
    <w:rsid w:val="00CB02F4"/>
    <w:rsid w:val="00CB034B"/>
    <w:rsid w:val="00CB038C"/>
    <w:rsid w:val="00CB03FF"/>
    <w:rsid w:val="00CB0508"/>
    <w:rsid w:val="00CB05A4"/>
    <w:rsid w:val="00CB064F"/>
    <w:rsid w:val="00CB0651"/>
    <w:rsid w:val="00CB0692"/>
    <w:rsid w:val="00CB069D"/>
    <w:rsid w:val="00CB0772"/>
    <w:rsid w:val="00CB08AE"/>
    <w:rsid w:val="00CB098E"/>
    <w:rsid w:val="00CB0AA5"/>
    <w:rsid w:val="00CB0ACF"/>
    <w:rsid w:val="00CB0B61"/>
    <w:rsid w:val="00CB0C73"/>
    <w:rsid w:val="00CB0C81"/>
    <w:rsid w:val="00CB0CB2"/>
    <w:rsid w:val="00CB0D78"/>
    <w:rsid w:val="00CB0E5C"/>
    <w:rsid w:val="00CB0EB5"/>
    <w:rsid w:val="00CB1249"/>
    <w:rsid w:val="00CB1312"/>
    <w:rsid w:val="00CB14BA"/>
    <w:rsid w:val="00CB15C2"/>
    <w:rsid w:val="00CB171D"/>
    <w:rsid w:val="00CB1A44"/>
    <w:rsid w:val="00CB1AA9"/>
    <w:rsid w:val="00CB1D31"/>
    <w:rsid w:val="00CB1DD0"/>
    <w:rsid w:val="00CB1E5F"/>
    <w:rsid w:val="00CB1F12"/>
    <w:rsid w:val="00CB1FE9"/>
    <w:rsid w:val="00CB200B"/>
    <w:rsid w:val="00CB206A"/>
    <w:rsid w:val="00CB207A"/>
    <w:rsid w:val="00CB20F3"/>
    <w:rsid w:val="00CB20FA"/>
    <w:rsid w:val="00CB2154"/>
    <w:rsid w:val="00CB226F"/>
    <w:rsid w:val="00CB23ED"/>
    <w:rsid w:val="00CB2432"/>
    <w:rsid w:val="00CB268B"/>
    <w:rsid w:val="00CB283F"/>
    <w:rsid w:val="00CB2960"/>
    <w:rsid w:val="00CB2A53"/>
    <w:rsid w:val="00CB2A97"/>
    <w:rsid w:val="00CB2B95"/>
    <w:rsid w:val="00CB2CA0"/>
    <w:rsid w:val="00CB2D2E"/>
    <w:rsid w:val="00CB2DDC"/>
    <w:rsid w:val="00CB2E22"/>
    <w:rsid w:val="00CB2EE3"/>
    <w:rsid w:val="00CB3166"/>
    <w:rsid w:val="00CB325B"/>
    <w:rsid w:val="00CB343C"/>
    <w:rsid w:val="00CB3478"/>
    <w:rsid w:val="00CB371D"/>
    <w:rsid w:val="00CB3829"/>
    <w:rsid w:val="00CB39A5"/>
    <w:rsid w:val="00CB3C35"/>
    <w:rsid w:val="00CB3C46"/>
    <w:rsid w:val="00CB3D95"/>
    <w:rsid w:val="00CB3E7F"/>
    <w:rsid w:val="00CB3F9C"/>
    <w:rsid w:val="00CB4180"/>
    <w:rsid w:val="00CB41A3"/>
    <w:rsid w:val="00CB4245"/>
    <w:rsid w:val="00CB43AA"/>
    <w:rsid w:val="00CB45FF"/>
    <w:rsid w:val="00CB470C"/>
    <w:rsid w:val="00CB4787"/>
    <w:rsid w:val="00CB486F"/>
    <w:rsid w:val="00CB48DF"/>
    <w:rsid w:val="00CB4940"/>
    <w:rsid w:val="00CB4A30"/>
    <w:rsid w:val="00CB4AC9"/>
    <w:rsid w:val="00CB4B7D"/>
    <w:rsid w:val="00CB4EEF"/>
    <w:rsid w:val="00CB50FB"/>
    <w:rsid w:val="00CB510D"/>
    <w:rsid w:val="00CB5314"/>
    <w:rsid w:val="00CB553F"/>
    <w:rsid w:val="00CB557C"/>
    <w:rsid w:val="00CB58CC"/>
    <w:rsid w:val="00CB59DB"/>
    <w:rsid w:val="00CB5ACF"/>
    <w:rsid w:val="00CB5BC0"/>
    <w:rsid w:val="00CB5C0B"/>
    <w:rsid w:val="00CB5DAD"/>
    <w:rsid w:val="00CB5E9E"/>
    <w:rsid w:val="00CB5EFF"/>
    <w:rsid w:val="00CB5F83"/>
    <w:rsid w:val="00CB6144"/>
    <w:rsid w:val="00CB62DA"/>
    <w:rsid w:val="00CB63CB"/>
    <w:rsid w:val="00CB655C"/>
    <w:rsid w:val="00CB67DF"/>
    <w:rsid w:val="00CB6817"/>
    <w:rsid w:val="00CB6A6B"/>
    <w:rsid w:val="00CB6ACD"/>
    <w:rsid w:val="00CB6AEC"/>
    <w:rsid w:val="00CB6F0B"/>
    <w:rsid w:val="00CB713C"/>
    <w:rsid w:val="00CB7469"/>
    <w:rsid w:val="00CB7549"/>
    <w:rsid w:val="00CB75F3"/>
    <w:rsid w:val="00CB7AD2"/>
    <w:rsid w:val="00CB7C1D"/>
    <w:rsid w:val="00CB7E8A"/>
    <w:rsid w:val="00CB7FEA"/>
    <w:rsid w:val="00CC00CB"/>
    <w:rsid w:val="00CC045D"/>
    <w:rsid w:val="00CC0609"/>
    <w:rsid w:val="00CC0909"/>
    <w:rsid w:val="00CC0B91"/>
    <w:rsid w:val="00CC0F87"/>
    <w:rsid w:val="00CC101C"/>
    <w:rsid w:val="00CC106D"/>
    <w:rsid w:val="00CC1461"/>
    <w:rsid w:val="00CC149C"/>
    <w:rsid w:val="00CC15D1"/>
    <w:rsid w:val="00CC15EB"/>
    <w:rsid w:val="00CC1775"/>
    <w:rsid w:val="00CC1D11"/>
    <w:rsid w:val="00CC21BC"/>
    <w:rsid w:val="00CC224B"/>
    <w:rsid w:val="00CC224D"/>
    <w:rsid w:val="00CC236E"/>
    <w:rsid w:val="00CC2395"/>
    <w:rsid w:val="00CC24DE"/>
    <w:rsid w:val="00CC257C"/>
    <w:rsid w:val="00CC28BC"/>
    <w:rsid w:val="00CC2902"/>
    <w:rsid w:val="00CC2D88"/>
    <w:rsid w:val="00CC2E76"/>
    <w:rsid w:val="00CC307D"/>
    <w:rsid w:val="00CC3147"/>
    <w:rsid w:val="00CC3186"/>
    <w:rsid w:val="00CC31EA"/>
    <w:rsid w:val="00CC3270"/>
    <w:rsid w:val="00CC3345"/>
    <w:rsid w:val="00CC3366"/>
    <w:rsid w:val="00CC33AD"/>
    <w:rsid w:val="00CC366E"/>
    <w:rsid w:val="00CC384B"/>
    <w:rsid w:val="00CC39B8"/>
    <w:rsid w:val="00CC3C99"/>
    <w:rsid w:val="00CC409F"/>
    <w:rsid w:val="00CC4180"/>
    <w:rsid w:val="00CC41A4"/>
    <w:rsid w:val="00CC42E0"/>
    <w:rsid w:val="00CC438D"/>
    <w:rsid w:val="00CC4699"/>
    <w:rsid w:val="00CC489B"/>
    <w:rsid w:val="00CC49D1"/>
    <w:rsid w:val="00CC4A5C"/>
    <w:rsid w:val="00CC4BC3"/>
    <w:rsid w:val="00CC4F3D"/>
    <w:rsid w:val="00CC4F89"/>
    <w:rsid w:val="00CC4FBC"/>
    <w:rsid w:val="00CC5040"/>
    <w:rsid w:val="00CC50DE"/>
    <w:rsid w:val="00CC5114"/>
    <w:rsid w:val="00CC5311"/>
    <w:rsid w:val="00CC5491"/>
    <w:rsid w:val="00CC5936"/>
    <w:rsid w:val="00CC5B77"/>
    <w:rsid w:val="00CC5BB2"/>
    <w:rsid w:val="00CC5C25"/>
    <w:rsid w:val="00CC5CB7"/>
    <w:rsid w:val="00CC5DC7"/>
    <w:rsid w:val="00CC60E5"/>
    <w:rsid w:val="00CC617A"/>
    <w:rsid w:val="00CC6185"/>
    <w:rsid w:val="00CC61A8"/>
    <w:rsid w:val="00CC6498"/>
    <w:rsid w:val="00CC6589"/>
    <w:rsid w:val="00CC6661"/>
    <w:rsid w:val="00CC6BE6"/>
    <w:rsid w:val="00CC6C38"/>
    <w:rsid w:val="00CC6D74"/>
    <w:rsid w:val="00CC6E8A"/>
    <w:rsid w:val="00CC6F95"/>
    <w:rsid w:val="00CC7170"/>
    <w:rsid w:val="00CC7206"/>
    <w:rsid w:val="00CC728A"/>
    <w:rsid w:val="00CC72A8"/>
    <w:rsid w:val="00CC72F0"/>
    <w:rsid w:val="00CC7568"/>
    <w:rsid w:val="00CC7701"/>
    <w:rsid w:val="00CC770D"/>
    <w:rsid w:val="00CC77BF"/>
    <w:rsid w:val="00CC783B"/>
    <w:rsid w:val="00CC79FD"/>
    <w:rsid w:val="00CC7AB9"/>
    <w:rsid w:val="00CC7DC0"/>
    <w:rsid w:val="00CC7F12"/>
    <w:rsid w:val="00CC7F5A"/>
    <w:rsid w:val="00CD028B"/>
    <w:rsid w:val="00CD04F6"/>
    <w:rsid w:val="00CD0511"/>
    <w:rsid w:val="00CD05AF"/>
    <w:rsid w:val="00CD05B0"/>
    <w:rsid w:val="00CD0683"/>
    <w:rsid w:val="00CD0817"/>
    <w:rsid w:val="00CD08AB"/>
    <w:rsid w:val="00CD08ED"/>
    <w:rsid w:val="00CD08FE"/>
    <w:rsid w:val="00CD0947"/>
    <w:rsid w:val="00CD0982"/>
    <w:rsid w:val="00CD0AE6"/>
    <w:rsid w:val="00CD0B5D"/>
    <w:rsid w:val="00CD0C07"/>
    <w:rsid w:val="00CD0CFD"/>
    <w:rsid w:val="00CD0EAC"/>
    <w:rsid w:val="00CD0EDA"/>
    <w:rsid w:val="00CD103A"/>
    <w:rsid w:val="00CD10E8"/>
    <w:rsid w:val="00CD118F"/>
    <w:rsid w:val="00CD12E7"/>
    <w:rsid w:val="00CD14CE"/>
    <w:rsid w:val="00CD14ED"/>
    <w:rsid w:val="00CD1530"/>
    <w:rsid w:val="00CD159B"/>
    <w:rsid w:val="00CD159C"/>
    <w:rsid w:val="00CD1748"/>
    <w:rsid w:val="00CD179F"/>
    <w:rsid w:val="00CD1923"/>
    <w:rsid w:val="00CD1C84"/>
    <w:rsid w:val="00CD1C8C"/>
    <w:rsid w:val="00CD1E2F"/>
    <w:rsid w:val="00CD2003"/>
    <w:rsid w:val="00CD2026"/>
    <w:rsid w:val="00CD230A"/>
    <w:rsid w:val="00CD2317"/>
    <w:rsid w:val="00CD239F"/>
    <w:rsid w:val="00CD25A8"/>
    <w:rsid w:val="00CD267E"/>
    <w:rsid w:val="00CD2883"/>
    <w:rsid w:val="00CD28BB"/>
    <w:rsid w:val="00CD28CF"/>
    <w:rsid w:val="00CD2B4D"/>
    <w:rsid w:val="00CD2B52"/>
    <w:rsid w:val="00CD2BD4"/>
    <w:rsid w:val="00CD2BEB"/>
    <w:rsid w:val="00CD2C8A"/>
    <w:rsid w:val="00CD2DD6"/>
    <w:rsid w:val="00CD2F86"/>
    <w:rsid w:val="00CD3037"/>
    <w:rsid w:val="00CD3052"/>
    <w:rsid w:val="00CD3089"/>
    <w:rsid w:val="00CD30DE"/>
    <w:rsid w:val="00CD32C7"/>
    <w:rsid w:val="00CD338F"/>
    <w:rsid w:val="00CD33C3"/>
    <w:rsid w:val="00CD3461"/>
    <w:rsid w:val="00CD3489"/>
    <w:rsid w:val="00CD3544"/>
    <w:rsid w:val="00CD3636"/>
    <w:rsid w:val="00CD36D6"/>
    <w:rsid w:val="00CD36D7"/>
    <w:rsid w:val="00CD3907"/>
    <w:rsid w:val="00CD3953"/>
    <w:rsid w:val="00CD399A"/>
    <w:rsid w:val="00CD3B53"/>
    <w:rsid w:val="00CD3C73"/>
    <w:rsid w:val="00CD3EBB"/>
    <w:rsid w:val="00CD4016"/>
    <w:rsid w:val="00CD405A"/>
    <w:rsid w:val="00CD40E4"/>
    <w:rsid w:val="00CD4223"/>
    <w:rsid w:val="00CD43BE"/>
    <w:rsid w:val="00CD43E0"/>
    <w:rsid w:val="00CD441D"/>
    <w:rsid w:val="00CD4572"/>
    <w:rsid w:val="00CD46FF"/>
    <w:rsid w:val="00CD4737"/>
    <w:rsid w:val="00CD48BF"/>
    <w:rsid w:val="00CD4923"/>
    <w:rsid w:val="00CD4933"/>
    <w:rsid w:val="00CD49F3"/>
    <w:rsid w:val="00CD4A07"/>
    <w:rsid w:val="00CD4DE3"/>
    <w:rsid w:val="00CD4E96"/>
    <w:rsid w:val="00CD4EE4"/>
    <w:rsid w:val="00CD5143"/>
    <w:rsid w:val="00CD534D"/>
    <w:rsid w:val="00CD5A49"/>
    <w:rsid w:val="00CD5AC5"/>
    <w:rsid w:val="00CD5B2F"/>
    <w:rsid w:val="00CD5BD7"/>
    <w:rsid w:val="00CD5F4F"/>
    <w:rsid w:val="00CD6032"/>
    <w:rsid w:val="00CD611F"/>
    <w:rsid w:val="00CD65E9"/>
    <w:rsid w:val="00CD664C"/>
    <w:rsid w:val="00CD6653"/>
    <w:rsid w:val="00CD67AD"/>
    <w:rsid w:val="00CD6930"/>
    <w:rsid w:val="00CD693D"/>
    <w:rsid w:val="00CD6A06"/>
    <w:rsid w:val="00CD6EFC"/>
    <w:rsid w:val="00CD6F1E"/>
    <w:rsid w:val="00CD6F54"/>
    <w:rsid w:val="00CD7243"/>
    <w:rsid w:val="00CD73FD"/>
    <w:rsid w:val="00CD791B"/>
    <w:rsid w:val="00CD7A1E"/>
    <w:rsid w:val="00CE0054"/>
    <w:rsid w:val="00CE0233"/>
    <w:rsid w:val="00CE02E2"/>
    <w:rsid w:val="00CE033D"/>
    <w:rsid w:val="00CE08C3"/>
    <w:rsid w:val="00CE0985"/>
    <w:rsid w:val="00CE0AAC"/>
    <w:rsid w:val="00CE0BB8"/>
    <w:rsid w:val="00CE0C77"/>
    <w:rsid w:val="00CE0D21"/>
    <w:rsid w:val="00CE0E1E"/>
    <w:rsid w:val="00CE0E3F"/>
    <w:rsid w:val="00CE0EA3"/>
    <w:rsid w:val="00CE0F8E"/>
    <w:rsid w:val="00CE124C"/>
    <w:rsid w:val="00CE1374"/>
    <w:rsid w:val="00CE1469"/>
    <w:rsid w:val="00CE14F3"/>
    <w:rsid w:val="00CE1966"/>
    <w:rsid w:val="00CE197F"/>
    <w:rsid w:val="00CE1DC1"/>
    <w:rsid w:val="00CE1EFA"/>
    <w:rsid w:val="00CE20A0"/>
    <w:rsid w:val="00CE20DF"/>
    <w:rsid w:val="00CE230A"/>
    <w:rsid w:val="00CE2434"/>
    <w:rsid w:val="00CE24B9"/>
    <w:rsid w:val="00CE2796"/>
    <w:rsid w:val="00CE283B"/>
    <w:rsid w:val="00CE293E"/>
    <w:rsid w:val="00CE29E0"/>
    <w:rsid w:val="00CE2EBE"/>
    <w:rsid w:val="00CE2EFD"/>
    <w:rsid w:val="00CE2FAE"/>
    <w:rsid w:val="00CE2FC8"/>
    <w:rsid w:val="00CE30DE"/>
    <w:rsid w:val="00CE3455"/>
    <w:rsid w:val="00CE348B"/>
    <w:rsid w:val="00CE34F3"/>
    <w:rsid w:val="00CE36B0"/>
    <w:rsid w:val="00CE3727"/>
    <w:rsid w:val="00CE3754"/>
    <w:rsid w:val="00CE380A"/>
    <w:rsid w:val="00CE3983"/>
    <w:rsid w:val="00CE3B2F"/>
    <w:rsid w:val="00CE3C9C"/>
    <w:rsid w:val="00CE3DA6"/>
    <w:rsid w:val="00CE3DFB"/>
    <w:rsid w:val="00CE3E3E"/>
    <w:rsid w:val="00CE3E8E"/>
    <w:rsid w:val="00CE4056"/>
    <w:rsid w:val="00CE42A4"/>
    <w:rsid w:val="00CE441F"/>
    <w:rsid w:val="00CE45C3"/>
    <w:rsid w:val="00CE463A"/>
    <w:rsid w:val="00CE47D8"/>
    <w:rsid w:val="00CE4825"/>
    <w:rsid w:val="00CE48B7"/>
    <w:rsid w:val="00CE4AD6"/>
    <w:rsid w:val="00CE4C5F"/>
    <w:rsid w:val="00CE4C84"/>
    <w:rsid w:val="00CE5189"/>
    <w:rsid w:val="00CE518C"/>
    <w:rsid w:val="00CE51A0"/>
    <w:rsid w:val="00CE5209"/>
    <w:rsid w:val="00CE5286"/>
    <w:rsid w:val="00CE5461"/>
    <w:rsid w:val="00CE547F"/>
    <w:rsid w:val="00CE54D0"/>
    <w:rsid w:val="00CE5652"/>
    <w:rsid w:val="00CE5839"/>
    <w:rsid w:val="00CE5947"/>
    <w:rsid w:val="00CE5AAB"/>
    <w:rsid w:val="00CE5BF0"/>
    <w:rsid w:val="00CE5DAC"/>
    <w:rsid w:val="00CE5DE4"/>
    <w:rsid w:val="00CE61E0"/>
    <w:rsid w:val="00CE61E4"/>
    <w:rsid w:val="00CE6252"/>
    <w:rsid w:val="00CE6422"/>
    <w:rsid w:val="00CE67A8"/>
    <w:rsid w:val="00CE67CB"/>
    <w:rsid w:val="00CE67F9"/>
    <w:rsid w:val="00CE6886"/>
    <w:rsid w:val="00CE68AE"/>
    <w:rsid w:val="00CE68D6"/>
    <w:rsid w:val="00CE69C9"/>
    <w:rsid w:val="00CE6C19"/>
    <w:rsid w:val="00CE6EF0"/>
    <w:rsid w:val="00CE74A8"/>
    <w:rsid w:val="00CE74F1"/>
    <w:rsid w:val="00CE75A8"/>
    <w:rsid w:val="00CE766B"/>
    <w:rsid w:val="00CE7744"/>
    <w:rsid w:val="00CE785C"/>
    <w:rsid w:val="00CE7969"/>
    <w:rsid w:val="00CE7972"/>
    <w:rsid w:val="00CE7B79"/>
    <w:rsid w:val="00CE7D50"/>
    <w:rsid w:val="00CE7E0C"/>
    <w:rsid w:val="00CE7E0E"/>
    <w:rsid w:val="00CE7E44"/>
    <w:rsid w:val="00CE7E96"/>
    <w:rsid w:val="00CE7EB4"/>
    <w:rsid w:val="00CF0184"/>
    <w:rsid w:val="00CF02BF"/>
    <w:rsid w:val="00CF02D3"/>
    <w:rsid w:val="00CF04D9"/>
    <w:rsid w:val="00CF0676"/>
    <w:rsid w:val="00CF06CA"/>
    <w:rsid w:val="00CF0891"/>
    <w:rsid w:val="00CF0A8C"/>
    <w:rsid w:val="00CF0B6C"/>
    <w:rsid w:val="00CF0BE3"/>
    <w:rsid w:val="00CF0C6C"/>
    <w:rsid w:val="00CF0CE4"/>
    <w:rsid w:val="00CF0E70"/>
    <w:rsid w:val="00CF10FF"/>
    <w:rsid w:val="00CF116D"/>
    <w:rsid w:val="00CF1264"/>
    <w:rsid w:val="00CF12EB"/>
    <w:rsid w:val="00CF139F"/>
    <w:rsid w:val="00CF13B6"/>
    <w:rsid w:val="00CF145E"/>
    <w:rsid w:val="00CF164A"/>
    <w:rsid w:val="00CF171A"/>
    <w:rsid w:val="00CF19E2"/>
    <w:rsid w:val="00CF1B58"/>
    <w:rsid w:val="00CF217E"/>
    <w:rsid w:val="00CF2184"/>
    <w:rsid w:val="00CF21B8"/>
    <w:rsid w:val="00CF2329"/>
    <w:rsid w:val="00CF25FC"/>
    <w:rsid w:val="00CF2718"/>
    <w:rsid w:val="00CF2A5E"/>
    <w:rsid w:val="00CF2A6A"/>
    <w:rsid w:val="00CF2A88"/>
    <w:rsid w:val="00CF2A9A"/>
    <w:rsid w:val="00CF2C14"/>
    <w:rsid w:val="00CF2E40"/>
    <w:rsid w:val="00CF2E9D"/>
    <w:rsid w:val="00CF2EEF"/>
    <w:rsid w:val="00CF2FC4"/>
    <w:rsid w:val="00CF30C0"/>
    <w:rsid w:val="00CF32DD"/>
    <w:rsid w:val="00CF3364"/>
    <w:rsid w:val="00CF3407"/>
    <w:rsid w:val="00CF353D"/>
    <w:rsid w:val="00CF3A89"/>
    <w:rsid w:val="00CF3BF8"/>
    <w:rsid w:val="00CF3C74"/>
    <w:rsid w:val="00CF3F84"/>
    <w:rsid w:val="00CF4120"/>
    <w:rsid w:val="00CF429C"/>
    <w:rsid w:val="00CF43AC"/>
    <w:rsid w:val="00CF456D"/>
    <w:rsid w:val="00CF4AD6"/>
    <w:rsid w:val="00CF4C35"/>
    <w:rsid w:val="00CF4D3A"/>
    <w:rsid w:val="00CF4ED1"/>
    <w:rsid w:val="00CF50C7"/>
    <w:rsid w:val="00CF5105"/>
    <w:rsid w:val="00CF5274"/>
    <w:rsid w:val="00CF5276"/>
    <w:rsid w:val="00CF53C7"/>
    <w:rsid w:val="00CF5655"/>
    <w:rsid w:val="00CF56D3"/>
    <w:rsid w:val="00CF5743"/>
    <w:rsid w:val="00CF588E"/>
    <w:rsid w:val="00CF594F"/>
    <w:rsid w:val="00CF59B4"/>
    <w:rsid w:val="00CF5A04"/>
    <w:rsid w:val="00CF5BE8"/>
    <w:rsid w:val="00CF5F04"/>
    <w:rsid w:val="00CF5FD3"/>
    <w:rsid w:val="00CF6095"/>
    <w:rsid w:val="00CF60EC"/>
    <w:rsid w:val="00CF6180"/>
    <w:rsid w:val="00CF630D"/>
    <w:rsid w:val="00CF63A0"/>
    <w:rsid w:val="00CF65EA"/>
    <w:rsid w:val="00CF670F"/>
    <w:rsid w:val="00CF68C1"/>
    <w:rsid w:val="00CF6A63"/>
    <w:rsid w:val="00CF6B12"/>
    <w:rsid w:val="00CF6B2B"/>
    <w:rsid w:val="00CF6B4D"/>
    <w:rsid w:val="00CF6C44"/>
    <w:rsid w:val="00CF6D96"/>
    <w:rsid w:val="00CF6DC6"/>
    <w:rsid w:val="00CF6E3D"/>
    <w:rsid w:val="00CF6E61"/>
    <w:rsid w:val="00CF6E7B"/>
    <w:rsid w:val="00CF6EFF"/>
    <w:rsid w:val="00CF6F84"/>
    <w:rsid w:val="00CF6F9D"/>
    <w:rsid w:val="00CF6FB6"/>
    <w:rsid w:val="00CF7027"/>
    <w:rsid w:val="00CF70F0"/>
    <w:rsid w:val="00CF72A2"/>
    <w:rsid w:val="00CF72AF"/>
    <w:rsid w:val="00CF734E"/>
    <w:rsid w:val="00CF7585"/>
    <w:rsid w:val="00CF766A"/>
    <w:rsid w:val="00CF779C"/>
    <w:rsid w:val="00CF7870"/>
    <w:rsid w:val="00CF7B64"/>
    <w:rsid w:val="00CF7BB2"/>
    <w:rsid w:val="00CF7BB7"/>
    <w:rsid w:val="00CF7DE4"/>
    <w:rsid w:val="00CF7ECC"/>
    <w:rsid w:val="00D0039E"/>
    <w:rsid w:val="00D007F3"/>
    <w:rsid w:val="00D0088D"/>
    <w:rsid w:val="00D00A8B"/>
    <w:rsid w:val="00D00AC4"/>
    <w:rsid w:val="00D00AF0"/>
    <w:rsid w:val="00D00C82"/>
    <w:rsid w:val="00D00CC3"/>
    <w:rsid w:val="00D00D6F"/>
    <w:rsid w:val="00D00F42"/>
    <w:rsid w:val="00D010A7"/>
    <w:rsid w:val="00D010E3"/>
    <w:rsid w:val="00D01234"/>
    <w:rsid w:val="00D0136C"/>
    <w:rsid w:val="00D01466"/>
    <w:rsid w:val="00D01538"/>
    <w:rsid w:val="00D0170E"/>
    <w:rsid w:val="00D01870"/>
    <w:rsid w:val="00D0197D"/>
    <w:rsid w:val="00D01BC3"/>
    <w:rsid w:val="00D01C82"/>
    <w:rsid w:val="00D01CE8"/>
    <w:rsid w:val="00D01D8A"/>
    <w:rsid w:val="00D020C9"/>
    <w:rsid w:val="00D020CF"/>
    <w:rsid w:val="00D020E4"/>
    <w:rsid w:val="00D020EC"/>
    <w:rsid w:val="00D0216D"/>
    <w:rsid w:val="00D024A2"/>
    <w:rsid w:val="00D025C0"/>
    <w:rsid w:val="00D026B2"/>
    <w:rsid w:val="00D027CC"/>
    <w:rsid w:val="00D028E8"/>
    <w:rsid w:val="00D02984"/>
    <w:rsid w:val="00D02BE0"/>
    <w:rsid w:val="00D02C79"/>
    <w:rsid w:val="00D02CFE"/>
    <w:rsid w:val="00D02F4A"/>
    <w:rsid w:val="00D0302E"/>
    <w:rsid w:val="00D03257"/>
    <w:rsid w:val="00D033F7"/>
    <w:rsid w:val="00D03468"/>
    <w:rsid w:val="00D03633"/>
    <w:rsid w:val="00D036E6"/>
    <w:rsid w:val="00D038BD"/>
    <w:rsid w:val="00D0390E"/>
    <w:rsid w:val="00D03978"/>
    <w:rsid w:val="00D039C4"/>
    <w:rsid w:val="00D03A1C"/>
    <w:rsid w:val="00D03CA5"/>
    <w:rsid w:val="00D03DAE"/>
    <w:rsid w:val="00D03E9B"/>
    <w:rsid w:val="00D03F84"/>
    <w:rsid w:val="00D04144"/>
    <w:rsid w:val="00D043B9"/>
    <w:rsid w:val="00D043CD"/>
    <w:rsid w:val="00D04686"/>
    <w:rsid w:val="00D04728"/>
    <w:rsid w:val="00D04757"/>
    <w:rsid w:val="00D048A9"/>
    <w:rsid w:val="00D04C32"/>
    <w:rsid w:val="00D04CBB"/>
    <w:rsid w:val="00D04E03"/>
    <w:rsid w:val="00D05630"/>
    <w:rsid w:val="00D059D8"/>
    <w:rsid w:val="00D05D82"/>
    <w:rsid w:val="00D05E9C"/>
    <w:rsid w:val="00D05F0E"/>
    <w:rsid w:val="00D05F13"/>
    <w:rsid w:val="00D065A1"/>
    <w:rsid w:val="00D0675B"/>
    <w:rsid w:val="00D06C04"/>
    <w:rsid w:val="00D06E56"/>
    <w:rsid w:val="00D06EAE"/>
    <w:rsid w:val="00D07144"/>
    <w:rsid w:val="00D071EF"/>
    <w:rsid w:val="00D07306"/>
    <w:rsid w:val="00D074AD"/>
    <w:rsid w:val="00D075EC"/>
    <w:rsid w:val="00D0783D"/>
    <w:rsid w:val="00D079BB"/>
    <w:rsid w:val="00D079F3"/>
    <w:rsid w:val="00D07C9B"/>
    <w:rsid w:val="00D07D82"/>
    <w:rsid w:val="00D07F90"/>
    <w:rsid w:val="00D101C0"/>
    <w:rsid w:val="00D102E6"/>
    <w:rsid w:val="00D1072D"/>
    <w:rsid w:val="00D107A4"/>
    <w:rsid w:val="00D107BE"/>
    <w:rsid w:val="00D1080F"/>
    <w:rsid w:val="00D1083E"/>
    <w:rsid w:val="00D108E1"/>
    <w:rsid w:val="00D10A09"/>
    <w:rsid w:val="00D10B64"/>
    <w:rsid w:val="00D10B66"/>
    <w:rsid w:val="00D10BB0"/>
    <w:rsid w:val="00D10D26"/>
    <w:rsid w:val="00D10D27"/>
    <w:rsid w:val="00D10E3A"/>
    <w:rsid w:val="00D10E68"/>
    <w:rsid w:val="00D112A2"/>
    <w:rsid w:val="00D114A5"/>
    <w:rsid w:val="00D1197C"/>
    <w:rsid w:val="00D11A08"/>
    <w:rsid w:val="00D11B46"/>
    <w:rsid w:val="00D11FB8"/>
    <w:rsid w:val="00D12505"/>
    <w:rsid w:val="00D1269F"/>
    <w:rsid w:val="00D126F1"/>
    <w:rsid w:val="00D12889"/>
    <w:rsid w:val="00D12916"/>
    <w:rsid w:val="00D12956"/>
    <w:rsid w:val="00D12B5F"/>
    <w:rsid w:val="00D12D11"/>
    <w:rsid w:val="00D1308E"/>
    <w:rsid w:val="00D1326A"/>
    <w:rsid w:val="00D132FB"/>
    <w:rsid w:val="00D13351"/>
    <w:rsid w:val="00D13398"/>
    <w:rsid w:val="00D134FA"/>
    <w:rsid w:val="00D1359C"/>
    <w:rsid w:val="00D13870"/>
    <w:rsid w:val="00D13920"/>
    <w:rsid w:val="00D13922"/>
    <w:rsid w:val="00D13A30"/>
    <w:rsid w:val="00D13B09"/>
    <w:rsid w:val="00D13D46"/>
    <w:rsid w:val="00D13F6D"/>
    <w:rsid w:val="00D14041"/>
    <w:rsid w:val="00D140C7"/>
    <w:rsid w:val="00D14101"/>
    <w:rsid w:val="00D14109"/>
    <w:rsid w:val="00D14524"/>
    <w:rsid w:val="00D14565"/>
    <w:rsid w:val="00D145B9"/>
    <w:rsid w:val="00D145EB"/>
    <w:rsid w:val="00D147D8"/>
    <w:rsid w:val="00D14890"/>
    <w:rsid w:val="00D149A3"/>
    <w:rsid w:val="00D14A88"/>
    <w:rsid w:val="00D14B09"/>
    <w:rsid w:val="00D14BB2"/>
    <w:rsid w:val="00D14BF6"/>
    <w:rsid w:val="00D14F7B"/>
    <w:rsid w:val="00D14FA0"/>
    <w:rsid w:val="00D1514F"/>
    <w:rsid w:val="00D151F3"/>
    <w:rsid w:val="00D152FA"/>
    <w:rsid w:val="00D15446"/>
    <w:rsid w:val="00D155D3"/>
    <w:rsid w:val="00D155E3"/>
    <w:rsid w:val="00D158C9"/>
    <w:rsid w:val="00D15953"/>
    <w:rsid w:val="00D15DE0"/>
    <w:rsid w:val="00D1614D"/>
    <w:rsid w:val="00D1617B"/>
    <w:rsid w:val="00D161E9"/>
    <w:rsid w:val="00D16462"/>
    <w:rsid w:val="00D164E2"/>
    <w:rsid w:val="00D165F3"/>
    <w:rsid w:val="00D16860"/>
    <w:rsid w:val="00D16890"/>
    <w:rsid w:val="00D16C89"/>
    <w:rsid w:val="00D16D34"/>
    <w:rsid w:val="00D16F1F"/>
    <w:rsid w:val="00D16F65"/>
    <w:rsid w:val="00D17363"/>
    <w:rsid w:val="00D174D5"/>
    <w:rsid w:val="00D175BA"/>
    <w:rsid w:val="00D176AF"/>
    <w:rsid w:val="00D176EC"/>
    <w:rsid w:val="00D178B0"/>
    <w:rsid w:val="00D1792C"/>
    <w:rsid w:val="00D17C50"/>
    <w:rsid w:val="00D17C6A"/>
    <w:rsid w:val="00D17DDA"/>
    <w:rsid w:val="00D17E4E"/>
    <w:rsid w:val="00D17F9D"/>
    <w:rsid w:val="00D20107"/>
    <w:rsid w:val="00D20143"/>
    <w:rsid w:val="00D20192"/>
    <w:rsid w:val="00D201BE"/>
    <w:rsid w:val="00D2036D"/>
    <w:rsid w:val="00D2036E"/>
    <w:rsid w:val="00D20445"/>
    <w:rsid w:val="00D20547"/>
    <w:rsid w:val="00D2061B"/>
    <w:rsid w:val="00D2063B"/>
    <w:rsid w:val="00D20B0E"/>
    <w:rsid w:val="00D20F15"/>
    <w:rsid w:val="00D21414"/>
    <w:rsid w:val="00D21619"/>
    <w:rsid w:val="00D217F8"/>
    <w:rsid w:val="00D2180F"/>
    <w:rsid w:val="00D21A03"/>
    <w:rsid w:val="00D21A35"/>
    <w:rsid w:val="00D21B14"/>
    <w:rsid w:val="00D21B68"/>
    <w:rsid w:val="00D21BC1"/>
    <w:rsid w:val="00D21CCE"/>
    <w:rsid w:val="00D21ECF"/>
    <w:rsid w:val="00D21F3E"/>
    <w:rsid w:val="00D21F7D"/>
    <w:rsid w:val="00D220F9"/>
    <w:rsid w:val="00D22146"/>
    <w:rsid w:val="00D225F3"/>
    <w:rsid w:val="00D2298E"/>
    <w:rsid w:val="00D22B14"/>
    <w:rsid w:val="00D22CD8"/>
    <w:rsid w:val="00D22D2C"/>
    <w:rsid w:val="00D22E9A"/>
    <w:rsid w:val="00D2312D"/>
    <w:rsid w:val="00D23142"/>
    <w:rsid w:val="00D232AE"/>
    <w:rsid w:val="00D232F0"/>
    <w:rsid w:val="00D234DB"/>
    <w:rsid w:val="00D237B1"/>
    <w:rsid w:val="00D237C3"/>
    <w:rsid w:val="00D238BA"/>
    <w:rsid w:val="00D238D2"/>
    <w:rsid w:val="00D23AAF"/>
    <w:rsid w:val="00D23C8F"/>
    <w:rsid w:val="00D23CAE"/>
    <w:rsid w:val="00D23F43"/>
    <w:rsid w:val="00D23FB5"/>
    <w:rsid w:val="00D24041"/>
    <w:rsid w:val="00D2432C"/>
    <w:rsid w:val="00D243DC"/>
    <w:rsid w:val="00D244E7"/>
    <w:rsid w:val="00D24565"/>
    <w:rsid w:val="00D2475B"/>
    <w:rsid w:val="00D248BA"/>
    <w:rsid w:val="00D24B6B"/>
    <w:rsid w:val="00D24D8D"/>
    <w:rsid w:val="00D2506B"/>
    <w:rsid w:val="00D25085"/>
    <w:rsid w:val="00D25089"/>
    <w:rsid w:val="00D25717"/>
    <w:rsid w:val="00D2576B"/>
    <w:rsid w:val="00D25783"/>
    <w:rsid w:val="00D257A2"/>
    <w:rsid w:val="00D258BC"/>
    <w:rsid w:val="00D25994"/>
    <w:rsid w:val="00D25A66"/>
    <w:rsid w:val="00D25A6D"/>
    <w:rsid w:val="00D25EC8"/>
    <w:rsid w:val="00D25F28"/>
    <w:rsid w:val="00D25F87"/>
    <w:rsid w:val="00D26202"/>
    <w:rsid w:val="00D26311"/>
    <w:rsid w:val="00D26329"/>
    <w:rsid w:val="00D26351"/>
    <w:rsid w:val="00D26399"/>
    <w:rsid w:val="00D266A7"/>
    <w:rsid w:val="00D26865"/>
    <w:rsid w:val="00D2689F"/>
    <w:rsid w:val="00D26914"/>
    <w:rsid w:val="00D26958"/>
    <w:rsid w:val="00D26967"/>
    <w:rsid w:val="00D27369"/>
    <w:rsid w:val="00D273C6"/>
    <w:rsid w:val="00D27562"/>
    <w:rsid w:val="00D2756B"/>
    <w:rsid w:val="00D27598"/>
    <w:rsid w:val="00D27BCC"/>
    <w:rsid w:val="00D303E2"/>
    <w:rsid w:val="00D30468"/>
    <w:rsid w:val="00D30946"/>
    <w:rsid w:val="00D30E14"/>
    <w:rsid w:val="00D30E79"/>
    <w:rsid w:val="00D3108D"/>
    <w:rsid w:val="00D310AD"/>
    <w:rsid w:val="00D313A2"/>
    <w:rsid w:val="00D3163C"/>
    <w:rsid w:val="00D317A8"/>
    <w:rsid w:val="00D31B0C"/>
    <w:rsid w:val="00D31BA6"/>
    <w:rsid w:val="00D31C2B"/>
    <w:rsid w:val="00D31D35"/>
    <w:rsid w:val="00D31D5F"/>
    <w:rsid w:val="00D31E07"/>
    <w:rsid w:val="00D31F91"/>
    <w:rsid w:val="00D321AE"/>
    <w:rsid w:val="00D321B0"/>
    <w:rsid w:val="00D326DB"/>
    <w:rsid w:val="00D32736"/>
    <w:rsid w:val="00D3294D"/>
    <w:rsid w:val="00D32B9B"/>
    <w:rsid w:val="00D33078"/>
    <w:rsid w:val="00D33179"/>
    <w:rsid w:val="00D33429"/>
    <w:rsid w:val="00D33540"/>
    <w:rsid w:val="00D33550"/>
    <w:rsid w:val="00D335BA"/>
    <w:rsid w:val="00D335F3"/>
    <w:rsid w:val="00D3386A"/>
    <w:rsid w:val="00D338C8"/>
    <w:rsid w:val="00D338FD"/>
    <w:rsid w:val="00D33B8B"/>
    <w:rsid w:val="00D33D06"/>
    <w:rsid w:val="00D33D84"/>
    <w:rsid w:val="00D33E6E"/>
    <w:rsid w:val="00D33EAA"/>
    <w:rsid w:val="00D34039"/>
    <w:rsid w:val="00D340D1"/>
    <w:rsid w:val="00D34139"/>
    <w:rsid w:val="00D3417A"/>
    <w:rsid w:val="00D344B4"/>
    <w:rsid w:val="00D34543"/>
    <w:rsid w:val="00D346FD"/>
    <w:rsid w:val="00D34973"/>
    <w:rsid w:val="00D349E0"/>
    <w:rsid w:val="00D349F4"/>
    <w:rsid w:val="00D34D7F"/>
    <w:rsid w:val="00D34DC0"/>
    <w:rsid w:val="00D34F1C"/>
    <w:rsid w:val="00D3513F"/>
    <w:rsid w:val="00D3553A"/>
    <w:rsid w:val="00D35545"/>
    <w:rsid w:val="00D356D6"/>
    <w:rsid w:val="00D358F8"/>
    <w:rsid w:val="00D35C24"/>
    <w:rsid w:val="00D361B1"/>
    <w:rsid w:val="00D3629B"/>
    <w:rsid w:val="00D3635D"/>
    <w:rsid w:val="00D36419"/>
    <w:rsid w:val="00D36483"/>
    <w:rsid w:val="00D3675A"/>
    <w:rsid w:val="00D36934"/>
    <w:rsid w:val="00D36AC1"/>
    <w:rsid w:val="00D36E93"/>
    <w:rsid w:val="00D36EE0"/>
    <w:rsid w:val="00D37088"/>
    <w:rsid w:val="00D37187"/>
    <w:rsid w:val="00D371D0"/>
    <w:rsid w:val="00D37346"/>
    <w:rsid w:val="00D37352"/>
    <w:rsid w:val="00D37398"/>
    <w:rsid w:val="00D37420"/>
    <w:rsid w:val="00D37437"/>
    <w:rsid w:val="00D37463"/>
    <w:rsid w:val="00D37513"/>
    <w:rsid w:val="00D3754B"/>
    <w:rsid w:val="00D375C1"/>
    <w:rsid w:val="00D376C1"/>
    <w:rsid w:val="00D3773A"/>
    <w:rsid w:val="00D37754"/>
    <w:rsid w:val="00D378C9"/>
    <w:rsid w:val="00D37A04"/>
    <w:rsid w:val="00D37C58"/>
    <w:rsid w:val="00D37D5B"/>
    <w:rsid w:val="00D4005A"/>
    <w:rsid w:val="00D400D1"/>
    <w:rsid w:val="00D4025A"/>
    <w:rsid w:val="00D40548"/>
    <w:rsid w:val="00D409B7"/>
    <w:rsid w:val="00D40B0F"/>
    <w:rsid w:val="00D41102"/>
    <w:rsid w:val="00D41153"/>
    <w:rsid w:val="00D4139F"/>
    <w:rsid w:val="00D413F9"/>
    <w:rsid w:val="00D4147B"/>
    <w:rsid w:val="00D41687"/>
    <w:rsid w:val="00D419F2"/>
    <w:rsid w:val="00D41A95"/>
    <w:rsid w:val="00D41B3F"/>
    <w:rsid w:val="00D41B4A"/>
    <w:rsid w:val="00D41D1A"/>
    <w:rsid w:val="00D41D6F"/>
    <w:rsid w:val="00D41DD7"/>
    <w:rsid w:val="00D41E6A"/>
    <w:rsid w:val="00D420A6"/>
    <w:rsid w:val="00D425C3"/>
    <w:rsid w:val="00D427B5"/>
    <w:rsid w:val="00D4282B"/>
    <w:rsid w:val="00D4288E"/>
    <w:rsid w:val="00D42C02"/>
    <w:rsid w:val="00D42D71"/>
    <w:rsid w:val="00D42DF7"/>
    <w:rsid w:val="00D4314A"/>
    <w:rsid w:val="00D43158"/>
    <w:rsid w:val="00D4316E"/>
    <w:rsid w:val="00D43457"/>
    <w:rsid w:val="00D4351A"/>
    <w:rsid w:val="00D43560"/>
    <w:rsid w:val="00D435BB"/>
    <w:rsid w:val="00D4390D"/>
    <w:rsid w:val="00D43A37"/>
    <w:rsid w:val="00D43ABB"/>
    <w:rsid w:val="00D43B59"/>
    <w:rsid w:val="00D43B6E"/>
    <w:rsid w:val="00D43C9D"/>
    <w:rsid w:val="00D43EBA"/>
    <w:rsid w:val="00D43F64"/>
    <w:rsid w:val="00D44088"/>
    <w:rsid w:val="00D44181"/>
    <w:rsid w:val="00D44220"/>
    <w:rsid w:val="00D44394"/>
    <w:rsid w:val="00D443D8"/>
    <w:rsid w:val="00D4449A"/>
    <w:rsid w:val="00D44519"/>
    <w:rsid w:val="00D446BA"/>
    <w:rsid w:val="00D4475A"/>
    <w:rsid w:val="00D44A32"/>
    <w:rsid w:val="00D44B8F"/>
    <w:rsid w:val="00D44C05"/>
    <w:rsid w:val="00D44D3E"/>
    <w:rsid w:val="00D44E8D"/>
    <w:rsid w:val="00D45843"/>
    <w:rsid w:val="00D45B4F"/>
    <w:rsid w:val="00D45DBA"/>
    <w:rsid w:val="00D45E1A"/>
    <w:rsid w:val="00D46030"/>
    <w:rsid w:val="00D46091"/>
    <w:rsid w:val="00D46103"/>
    <w:rsid w:val="00D4622E"/>
    <w:rsid w:val="00D462A1"/>
    <w:rsid w:val="00D462AD"/>
    <w:rsid w:val="00D46690"/>
    <w:rsid w:val="00D466D6"/>
    <w:rsid w:val="00D4675A"/>
    <w:rsid w:val="00D46802"/>
    <w:rsid w:val="00D46DAB"/>
    <w:rsid w:val="00D46EF8"/>
    <w:rsid w:val="00D46F7D"/>
    <w:rsid w:val="00D47102"/>
    <w:rsid w:val="00D471FC"/>
    <w:rsid w:val="00D472E8"/>
    <w:rsid w:val="00D4738D"/>
    <w:rsid w:val="00D4740A"/>
    <w:rsid w:val="00D4755A"/>
    <w:rsid w:val="00D47688"/>
    <w:rsid w:val="00D47835"/>
    <w:rsid w:val="00D47B42"/>
    <w:rsid w:val="00D47D3F"/>
    <w:rsid w:val="00D500F9"/>
    <w:rsid w:val="00D50429"/>
    <w:rsid w:val="00D5080C"/>
    <w:rsid w:val="00D50B63"/>
    <w:rsid w:val="00D51159"/>
    <w:rsid w:val="00D51582"/>
    <w:rsid w:val="00D5175B"/>
    <w:rsid w:val="00D51761"/>
    <w:rsid w:val="00D5177E"/>
    <w:rsid w:val="00D51853"/>
    <w:rsid w:val="00D519A0"/>
    <w:rsid w:val="00D51B58"/>
    <w:rsid w:val="00D51B98"/>
    <w:rsid w:val="00D51FDE"/>
    <w:rsid w:val="00D52040"/>
    <w:rsid w:val="00D52282"/>
    <w:rsid w:val="00D52558"/>
    <w:rsid w:val="00D525AF"/>
    <w:rsid w:val="00D52695"/>
    <w:rsid w:val="00D52905"/>
    <w:rsid w:val="00D52930"/>
    <w:rsid w:val="00D52A58"/>
    <w:rsid w:val="00D52C51"/>
    <w:rsid w:val="00D52CE2"/>
    <w:rsid w:val="00D52D5A"/>
    <w:rsid w:val="00D530A7"/>
    <w:rsid w:val="00D5332A"/>
    <w:rsid w:val="00D533A5"/>
    <w:rsid w:val="00D5345C"/>
    <w:rsid w:val="00D53800"/>
    <w:rsid w:val="00D53966"/>
    <w:rsid w:val="00D53AAC"/>
    <w:rsid w:val="00D53F1F"/>
    <w:rsid w:val="00D54071"/>
    <w:rsid w:val="00D542B0"/>
    <w:rsid w:val="00D542C0"/>
    <w:rsid w:val="00D542C8"/>
    <w:rsid w:val="00D54510"/>
    <w:rsid w:val="00D5452B"/>
    <w:rsid w:val="00D545E1"/>
    <w:rsid w:val="00D54BB2"/>
    <w:rsid w:val="00D54CEE"/>
    <w:rsid w:val="00D54F78"/>
    <w:rsid w:val="00D54F8D"/>
    <w:rsid w:val="00D54FD9"/>
    <w:rsid w:val="00D55142"/>
    <w:rsid w:val="00D55144"/>
    <w:rsid w:val="00D551D6"/>
    <w:rsid w:val="00D55458"/>
    <w:rsid w:val="00D55508"/>
    <w:rsid w:val="00D55514"/>
    <w:rsid w:val="00D5555C"/>
    <w:rsid w:val="00D557C6"/>
    <w:rsid w:val="00D55977"/>
    <w:rsid w:val="00D55980"/>
    <w:rsid w:val="00D55AAB"/>
    <w:rsid w:val="00D55C26"/>
    <w:rsid w:val="00D55DF1"/>
    <w:rsid w:val="00D55DFB"/>
    <w:rsid w:val="00D55E8E"/>
    <w:rsid w:val="00D55FFA"/>
    <w:rsid w:val="00D5621F"/>
    <w:rsid w:val="00D5635F"/>
    <w:rsid w:val="00D564A8"/>
    <w:rsid w:val="00D565B1"/>
    <w:rsid w:val="00D566BC"/>
    <w:rsid w:val="00D5676B"/>
    <w:rsid w:val="00D56CFD"/>
    <w:rsid w:val="00D56F17"/>
    <w:rsid w:val="00D57176"/>
    <w:rsid w:val="00D5723F"/>
    <w:rsid w:val="00D57271"/>
    <w:rsid w:val="00D574CE"/>
    <w:rsid w:val="00D5773A"/>
    <w:rsid w:val="00D57878"/>
    <w:rsid w:val="00D579EA"/>
    <w:rsid w:val="00D57B02"/>
    <w:rsid w:val="00D57B5D"/>
    <w:rsid w:val="00D57BE8"/>
    <w:rsid w:val="00D57DD3"/>
    <w:rsid w:val="00D57F4C"/>
    <w:rsid w:val="00D6007F"/>
    <w:rsid w:val="00D60086"/>
    <w:rsid w:val="00D602DC"/>
    <w:rsid w:val="00D6083A"/>
    <w:rsid w:val="00D60B5F"/>
    <w:rsid w:val="00D60BB7"/>
    <w:rsid w:val="00D60C14"/>
    <w:rsid w:val="00D60CBE"/>
    <w:rsid w:val="00D60CC1"/>
    <w:rsid w:val="00D60DB3"/>
    <w:rsid w:val="00D60DD0"/>
    <w:rsid w:val="00D61072"/>
    <w:rsid w:val="00D610A7"/>
    <w:rsid w:val="00D61387"/>
    <w:rsid w:val="00D6138C"/>
    <w:rsid w:val="00D61447"/>
    <w:rsid w:val="00D61949"/>
    <w:rsid w:val="00D619EE"/>
    <w:rsid w:val="00D61B46"/>
    <w:rsid w:val="00D61B75"/>
    <w:rsid w:val="00D61CFE"/>
    <w:rsid w:val="00D61E46"/>
    <w:rsid w:val="00D61FA4"/>
    <w:rsid w:val="00D6221E"/>
    <w:rsid w:val="00D6235D"/>
    <w:rsid w:val="00D62531"/>
    <w:rsid w:val="00D628D1"/>
    <w:rsid w:val="00D62A3C"/>
    <w:rsid w:val="00D62A81"/>
    <w:rsid w:val="00D62BA3"/>
    <w:rsid w:val="00D62C52"/>
    <w:rsid w:val="00D62C83"/>
    <w:rsid w:val="00D62DD3"/>
    <w:rsid w:val="00D63069"/>
    <w:rsid w:val="00D6346F"/>
    <w:rsid w:val="00D63719"/>
    <w:rsid w:val="00D63870"/>
    <w:rsid w:val="00D6394E"/>
    <w:rsid w:val="00D63A44"/>
    <w:rsid w:val="00D63A82"/>
    <w:rsid w:val="00D63E6B"/>
    <w:rsid w:val="00D63FA1"/>
    <w:rsid w:val="00D6405E"/>
    <w:rsid w:val="00D64234"/>
    <w:rsid w:val="00D642CA"/>
    <w:rsid w:val="00D6484B"/>
    <w:rsid w:val="00D64869"/>
    <w:rsid w:val="00D64944"/>
    <w:rsid w:val="00D649CC"/>
    <w:rsid w:val="00D649D8"/>
    <w:rsid w:val="00D64ACF"/>
    <w:rsid w:val="00D64ADE"/>
    <w:rsid w:val="00D64E3C"/>
    <w:rsid w:val="00D64E89"/>
    <w:rsid w:val="00D64F13"/>
    <w:rsid w:val="00D64F39"/>
    <w:rsid w:val="00D650AD"/>
    <w:rsid w:val="00D651E4"/>
    <w:rsid w:val="00D651F9"/>
    <w:rsid w:val="00D652AC"/>
    <w:rsid w:val="00D65767"/>
    <w:rsid w:val="00D658C2"/>
    <w:rsid w:val="00D65A80"/>
    <w:rsid w:val="00D65B8E"/>
    <w:rsid w:val="00D65DE7"/>
    <w:rsid w:val="00D65E6D"/>
    <w:rsid w:val="00D65E91"/>
    <w:rsid w:val="00D661EC"/>
    <w:rsid w:val="00D6622B"/>
    <w:rsid w:val="00D66237"/>
    <w:rsid w:val="00D66284"/>
    <w:rsid w:val="00D66299"/>
    <w:rsid w:val="00D6629D"/>
    <w:rsid w:val="00D6633B"/>
    <w:rsid w:val="00D665A1"/>
    <w:rsid w:val="00D666E6"/>
    <w:rsid w:val="00D667E8"/>
    <w:rsid w:val="00D66D6E"/>
    <w:rsid w:val="00D67127"/>
    <w:rsid w:val="00D673CB"/>
    <w:rsid w:val="00D673D4"/>
    <w:rsid w:val="00D67462"/>
    <w:rsid w:val="00D674EF"/>
    <w:rsid w:val="00D67598"/>
    <w:rsid w:val="00D67670"/>
    <w:rsid w:val="00D67718"/>
    <w:rsid w:val="00D67783"/>
    <w:rsid w:val="00D67BC3"/>
    <w:rsid w:val="00D67CB3"/>
    <w:rsid w:val="00D67E87"/>
    <w:rsid w:val="00D701C6"/>
    <w:rsid w:val="00D70323"/>
    <w:rsid w:val="00D70465"/>
    <w:rsid w:val="00D70529"/>
    <w:rsid w:val="00D7058E"/>
    <w:rsid w:val="00D708C8"/>
    <w:rsid w:val="00D709DF"/>
    <w:rsid w:val="00D70CB3"/>
    <w:rsid w:val="00D70DEB"/>
    <w:rsid w:val="00D70DFC"/>
    <w:rsid w:val="00D71276"/>
    <w:rsid w:val="00D7130C"/>
    <w:rsid w:val="00D7137F"/>
    <w:rsid w:val="00D71420"/>
    <w:rsid w:val="00D714A5"/>
    <w:rsid w:val="00D71706"/>
    <w:rsid w:val="00D71ABA"/>
    <w:rsid w:val="00D71AD3"/>
    <w:rsid w:val="00D71C84"/>
    <w:rsid w:val="00D71D07"/>
    <w:rsid w:val="00D71FF4"/>
    <w:rsid w:val="00D7210F"/>
    <w:rsid w:val="00D723AB"/>
    <w:rsid w:val="00D72479"/>
    <w:rsid w:val="00D724C0"/>
    <w:rsid w:val="00D724F3"/>
    <w:rsid w:val="00D72741"/>
    <w:rsid w:val="00D7276E"/>
    <w:rsid w:val="00D727D1"/>
    <w:rsid w:val="00D7283A"/>
    <w:rsid w:val="00D728DA"/>
    <w:rsid w:val="00D72A54"/>
    <w:rsid w:val="00D72B0A"/>
    <w:rsid w:val="00D72C7F"/>
    <w:rsid w:val="00D72EA9"/>
    <w:rsid w:val="00D72F23"/>
    <w:rsid w:val="00D730AD"/>
    <w:rsid w:val="00D7317E"/>
    <w:rsid w:val="00D732B6"/>
    <w:rsid w:val="00D732FC"/>
    <w:rsid w:val="00D733E7"/>
    <w:rsid w:val="00D737D1"/>
    <w:rsid w:val="00D737DF"/>
    <w:rsid w:val="00D7388A"/>
    <w:rsid w:val="00D73936"/>
    <w:rsid w:val="00D73A3A"/>
    <w:rsid w:val="00D73C86"/>
    <w:rsid w:val="00D7449A"/>
    <w:rsid w:val="00D74E35"/>
    <w:rsid w:val="00D74FCE"/>
    <w:rsid w:val="00D750D4"/>
    <w:rsid w:val="00D75109"/>
    <w:rsid w:val="00D75539"/>
    <w:rsid w:val="00D7559F"/>
    <w:rsid w:val="00D75810"/>
    <w:rsid w:val="00D75823"/>
    <w:rsid w:val="00D75996"/>
    <w:rsid w:val="00D759AE"/>
    <w:rsid w:val="00D75A32"/>
    <w:rsid w:val="00D75AB1"/>
    <w:rsid w:val="00D75C63"/>
    <w:rsid w:val="00D75C8F"/>
    <w:rsid w:val="00D76343"/>
    <w:rsid w:val="00D763A5"/>
    <w:rsid w:val="00D76543"/>
    <w:rsid w:val="00D76555"/>
    <w:rsid w:val="00D7685B"/>
    <w:rsid w:val="00D768E1"/>
    <w:rsid w:val="00D76A1B"/>
    <w:rsid w:val="00D76CD3"/>
    <w:rsid w:val="00D76F1E"/>
    <w:rsid w:val="00D76FA3"/>
    <w:rsid w:val="00D7710C"/>
    <w:rsid w:val="00D771EA"/>
    <w:rsid w:val="00D77561"/>
    <w:rsid w:val="00D77699"/>
    <w:rsid w:val="00D77747"/>
    <w:rsid w:val="00D77759"/>
    <w:rsid w:val="00D77A95"/>
    <w:rsid w:val="00D77BC3"/>
    <w:rsid w:val="00D77EB1"/>
    <w:rsid w:val="00D77EDE"/>
    <w:rsid w:val="00D77FA8"/>
    <w:rsid w:val="00D80048"/>
    <w:rsid w:val="00D80072"/>
    <w:rsid w:val="00D8025D"/>
    <w:rsid w:val="00D806F8"/>
    <w:rsid w:val="00D807F3"/>
    <w:rsid w:val="00D80835"/>
    <w:rsid w:val="00D808B8"/>
    <w:rsid w:val="00D80915"/>
    <w:rsid w:val="00D80946"/>
    <w:rsid w:val="00D80993"/>
    <w:rsid w:val="00D80A93"/>
    <w:rsid w:val="00D80C6F"/>
    <w:rsid w:val="00D80D1D"/>
    <w:rsid w:val="00D80F96"/>
    <w:rsid w:val="00D81120"/>
    <w:rsid w:val="00D81204"/>
    <w:rsid w:val="00D813FE"/>
    <w:rsid w:val="00D81632"/>
    <w:rsid w:val="00D816A0"/>
    <w:rsid w:val="00D816DB"/>
    <w:rsid w:val="00D8170F"/>
    <w:rsid w:val="00D8176F"/>
    <w:rsid w:val="00D817FD"/>
    <w:rsid w:val="00D81B23"/>
    <w:rsid w:val="00D81B5A"/>
    <w:rsid w:val="00D81C11"/>
    <w:rsid w:val="00D81CEE"/>
    <w:rsid w:val="00D81D95"/>
    <w:rsid w:val="00D81F35"/>
    <w:rsid w:val="00D82151"/>
    <w:rsid w:val="00D8260E"/>
    <w:rsid w:val="00D8275B"/>
    <w:rsid w:val="00D82783"/>
    <w:rsid w:val="00D82809"/>
    <w:rsid w:val="00D8290E"/>
    <w:rsid w:val="00D82AA6"/>
    <w:rsid w:val="00D82D13"/>
    <w:rsid w:val="00D82FC3"/>
    <w:rsid w:val="00D82FF5"/>
    <w:rsid w:val="00D8308A"/>
    <w:rsid w:val="00D833CF"/>
    <w:rsid w:val="00D83459"/>
    <w:rsid w:val="00D83669"/>
    <w:rsid w:val="00D8378E"/>
    <w:rsid w:val="00D837A4"/>
    <w:rsid w:val="00D83A53"/>
    <w:rsid w:val="00D83BC1"/>
    <w:rsid w:val="00D83C15"/>
    <w:rsid w:val="00D83D69"/>
    <w:rsid w:val="00D83D99"/>
    <w:rsid w:val="00D83DAA"/>
    <w:rsid w:val="00D83E20"/>
    <w:rsid w:val="00D848BB"/>
    <w:rsid w:val="00D848BE"/>
    <w:rsid w:val="00D849B9"/>
    <w:rsid w:val="00D849C8"/>
    <w:rsid w:val="00D84B9F"/>
    <w:rsid w:val="00D84DC9"/>
    <w:rsid w:val="00D84E7A"/>
    <w:rsid w:val="00D84FC7"/>
    <w:rsid w:val="00D85124"/>
    <w:rsid w:val="00D8517A"/>
    <w:rsid w:val="00D8526F"/>
    <w:rsid w:val="00D852AF"/>
    <w:rsid w:val="00D8593D"/>
    <w:rsid w:val="00D85B25"/>
    <w:rsid w:val="00D85DF0"/>
    <w:rsid w:val="00D85E51"/>
    <w:rsid w:val="00D85E98"/>
    <w:rsid w:val="00D860D5"/>
    <w:rsid w:val="00D86104"/>
    <w:rsid w:val="00D8619F"/>
    <w:rsid w:val="00D861C7"/>
    <w:rsid w:val="00D86353"/>
    <w:rsid w:val="00D863CB"/>
    <w:rsid w:val="00D866C0"/>
    <w:rsid w:val="00D86979"/>
    <w:rsid w:val="00D86B82"/>
    <w:rsid w:val="00D86CD3"/>
    <w:rsid w:val="00D86E6C"/>
    <w:rsid w:val="00D86F2C"/>
    <w:rsid w:val="00D86F5E"/>
    <w:rsid w:val="00D86FF9"/>
    <w:rsid w:val="00D870EB"/>
    <w:rsid w:val="00D87338"/>
    <w:rsid w:val="00D873A7"/>
    <w:rsid w:val="00D879F9"/>
    <w:rsid w:val="00D87A75"/>
    <w:rsid w:val="00D87A8B"/>
    <w:rsid w:val="00D87A98"/>
    <w:rsid w:val="00D87B72"/>
    <w:rsid w:val="00D87C19"/>
    <w:rsid w:val="00D87EEF"/>
    <w:rsid w:val="00D87F02"/>
    <w:rsid w:val="00D90217"/>
    <w:rsid w:val="00D902EE"/>
    <w:rsid w:val="00D9048E"/>
    <w:rsid w:val="00D905C8"/>
    <w:rsid w:val="00D90A1A"/>
    <w:rsid w:val="00D90D30"/>
    <w:rsid w:val="00D90F15"/>
    <w:rsid w:val="00D90F93"/>
    <w:rsid w:val="00D90FBC"/>
    <w:rsid w:val="00D9109C"/>
    <w:rsid w:val="00D91194"/>
    <w:rsid w:val="00D911D3"/>
    <w:rsid w:val="00D9121B"/>
    <w:rsid w:val="00D914A3"/>
    <w:rsid w:val="00D918AA"/>
    <w:rsid w:val="00D91B53"/>
    <w:rsid w:val="00D91DD3"/>
    <w:rsid w:val="00D91E5C"/>
    <w:rsid w:val="00D91F01"/>
    <w:rsid w:val="00D91F58"/>
    <w:rsid w:val="00D92371"/>
    <w:rsid w:val="00D9237B"/>
    <w:rsid w:val="00D92490"/>
    <w:rsid w:val="00D9259B"/>
    <w:rsid w:val="00D9264F"/>
    <w:rsid w:val="00D926EF"/>
    <w:rsid w:val="00D92750"/>
    <w:rsid w:val="00D92799"/>
    <w:rsid w:val="00D92A28"/>
    <w:rsid w:val="00D92DE4"/>
    <w:rsid w:val="00D92E96"/>
    <w:rsid w:val="00D9300B"/>
    <w:rsid w:val="00D931C8"/>
    <w:rsid w:val="00D931DB"/>
    <w:rsid w:val="00D9369A"/>
    <w:rsid w:val="00D9380D"/>
    <w:rsid w:val="00D938D5"/>
    <w:rsid w:val="00D93D33"/>
    <w:rsid w:val="00D93DFA"/>
    <w:rsid w:val="00D93E7D"/>
    <w:rsid w:val="00D93FDE"/>
    <w:rsid w:val="00D93FEC"/>
    <w:rsid w:val="00D93FFB"/>
    <w:rsid w:val="00D94079"/>
    <w:rsid w:val="00D94137"/>
    <w:rsid w:val="00D94244"/>
    <w:rsid w:val="00D9424B"/>
    <w:rsid w:val="00D9436E"/>
    <w:rsid w:val="00D9438D"/>
    <w:rsid w:val="00D9492D"/>
    <w:rsid w:val="00D949FB"/>
    <w:rsid w:val="00D94AA5"/>
    <w:rsid w:val="00D94B8C"/>
    <w:rsid w:val="00D94D05"/>
    <w:rsid w:val="00D951BE"/>
    <w:rsid w:val="00D952E3"/>
    <w:rsid w:val="00D9578B"/>
    <w:rsid w:val="00D95960"/>
    <w:rsid w:val="00D95D7D"/>
    <w:rsid w:val="00D960EA"/>
    <w:rsid w:val="00D96104"/>
    <w:rsid w:val="00D96108"/>
    <w:rsid w:val="00D961A9"/>
    <w:rsid w:val="00D961EB"/>
    <w:rsid w:val="00D9645C"/>
    <w:rsid w:val="00D96529"/>
    <w:rsid w:val="00D96594"/>
    <w:rsid w:val="00D966E2"/>
    <w:rsid w:val="00D969F1"/>
    <w:rsid w:val="00D96B56"/>
    <w:rsid w:val="00D96D8D"/>
    <w:rsid w:val="00D96DF6"/>
    <w:rsid w:val="00D96F70"/>
    <w:rsid w:val="00D96FD0"/>
    <w:rsid w:val="00D9704C"/>
    <w:rsid w:val="00D970A6"/>
    <w:rsid w:val="00D971AB"/>
    <w:rsid w:val="00D972F2"/>
    <w:rsid w:val="00D973A8"/>
    <w:rsid w:val="00D973BD"/>
    <w:rsid w:val="00D973F5"/>
    <w:rsid w:val="00D974CA"/>
    <w:rsid w:val="00D9752F"/>
    <w:rsid w:val="00D975C8"/>
    <w:rsid w:val="00D97779"/>
    <w:rsid w:val="00D977D8"/>
    <w:rsid w:val="00D97856"/>
    <w:rsid w:val="00D97957"/>
    <w:rsid w:val="00D97A16"/>
    <w:rsid w:val="00D97E31"/>
    <w:rsid w:val="00D97EDA"/>
    <w:rsid w:val="00D97F33"/>
    <w:rsid w:val="00DA00A8"/>
    <w:rsid w:val="00DA01BC"/>
    <w:rsid w:val="00DA01C6"/>
    <w:rsid w:val="00DA0423"/>
    <w:rsid w:val="00DA043A"/>
    <w:rsid w:val="00DA084C"/>
    <w:rsid w:val="00DA09B4"/>
    <w:rsid w:val="00DA0A84"/>
    <w:rsid w:val="00DA0A8A"/>
    <w:rsid w:val="00DA0CD8"/>
    <w:rsid w:val="00DA11D0"/>
    <w:rsid w:val="00DA1308"/>
    <w:rsid w:val="00DA1316"/>
    <w:rsid w:val="00DA1467"/>
    <w:rsid w:val="00DA15CA"/>
    <w:rsid w:val="00DA1776"/>
    <w:rsid w:val="00DA1BC1"/>
    <w:rsid w:val="00DA1D50"/>
    <w:rsid w:val="00DA1F05"/>
    <w:rsid w:val="00DA2014"/>
    <w:rsid w:val="00DA212A"/>
    <w:rsid w:val="00DA21AA"/>
    <w:rsid w:val="00DA21AB"/>
    <w:rsid w:val="00DA2326"/>
    <w:rsid w:val="00DA2505"/>
    <w:rsid w:val="00DA2526"/>
    <w:rsid w:val="00DA26B8"/>
    <w:rsid w:val="00DA2712"/>
    <w:rsid w:val="00DA27E5"/>
    <w:rsid w:val="00DA2945"/>
    <w:rsid w:val="00DA2B57"/>
    <w:rsid w:val="00DA2BDD"/>
    <w:rsid w:val="00DA2E1A"/>
    <w:rsid w:val="00DA2E4B"/>
    <w:rsid w:val="00DA2EA5"/>
    <w:rsid w:val="00DA3061"/>
    <w:rsid w:val="00DA3113"/>
    <w:rsid w:val="00DA331E"/>
    <w:rsid w:val="00DA33AD"/>
    <w:rsid w:val="00DA34BB"/>
    <w:rsid w:val="00DA3519"/>
    <w:rsid w:val="00DA35E2"/>
    <w:rsid w:val="00DA36CE"/>
    <w:rsid w:val="00DA3702"/>
    <w:rsid w:val="00DA39A2"/>
    <w:rsid w:val="00DA3D3F"/>
    <w:rsid w:val="00DA3ED8"/>
    <w:rsid w:val="00DA3EF9"/>
    <w:rsid w:val="00DA3F30"/>
    <w:rsid w:val="00DA3F7B"/>
    <w:rsid w:val="00DA41B5"/>
    <w:rsid w:val="00DA4260"/>
    <w:rsid w:val="00DA430C"/>
    <w:rsid w:val="00DA45EF"/>
    <w:rsid w:val="00DA46BB"/>
    <w:rsid w:val="00DA46DE"/>
    <w:rsid w:val="00DA470B"/>
    <w:rsid w:val="00DA4779"/>
    <w:rsid w:val="00DA4997"/>
    <w:rsid w:val="00DA4A1C"/>
    <w:rsid w:val="00DA4AD5"/>
    <w:rsid w:val="00DA4D9A"/>
    <w:rsid w:val="00DA4E1B"/>
    <w:rsid w:val="00DA4F7A"/>
    <w:rsid w:val="00DA5110"/>
    <w:rsid w:val="00DA5226"/>
    <w:rsid w:val="00DA5294"/>
    <w:rsid w:val="00DA52D8"/>
    <w:rsid w:val="00DA5392"/>
    <w:rsid w:val="00DA5665"/>
    <w:rsid w:val="00DA566B"/>
    <w:rsid w:val="00DA5707"/>
    <w:rsid w:val="00DA5711"/>
    <w:rsid w:val="00DA5A16"/>
    <w:rsid w:val="00DA5A40"/>
    <w:rsid w:val="00DA5B94"/>
    <w:rsid w:val="00DA5BA0"/>
    <w:rsid w:val="00DA5CCF"/>
    <w:rsid w:val="00DA5D73"/>
    <w:rsid w:val="00DA5EAC"/>
    <w:rsid w:val="00DA5FA7"/>
    <w:rsid w:val="00DA5FB3"/>
    <w:rsid w:val="00DA6059"/>
    <w:rsid w:val="00DA60A4"/>
    <w:rsid w:val="00DA60FF"/>
    <w:rsid w:val="00DA62E7"/>
    <w:rsid w:val="00DA631D"/>
    <w:rsid w:val="00DA655D"/>
    <w:rsid w:val="00DA65F4"/>
    <w:rsid w:val="00DA6715"/>
    <w:rsid w:val="00DA688A"/>
    <w:rsid w:val="00DA6902"/>
    <w:rsid w:val="00DA6A4B"/>
    <w:rsid w:val="00DA6A8F"/>
    <w:rsid w:val="00DA6BFB"/>
    <w:rsid w:val="00DA7054"/>
    <w:rsid w:val="00DA7226"/>
    <w:rsid w:val="00DA726D"/>
    <w:rsid w:val="00DA73DA"/>
    <w:rsid w:val="00DA74C1"/>
    <w:rsid w:val="00DA756B"/>
    <w:rsid w:val="00DA75FD"/>
    <w:rsid w:val="00DA77A1"/>
    <w:rsid w:val="00DA77DB"/>
    <w:rsid w:val="00DA794C"/>
    <w:rsid w:val="00DA7BB3"/>
    <w:rsid w:val="00DA7E18"/>
    <w:rsid w:val="00DB0247"/>
    <w:rsid w:val="00DB04BA"/>
    <w:rsid w:val="00DB061F"/>
    <w:rsid w:val="00DB074A"/>
    <w:rsid w:val="00DB076E"/>
    <w:rsid w:val="00DB07B2"/>
    <w:rsid w:val="00DB087A"/>
    <w:rsid w:val="00DB08DE"/>
    <w:rsid w:val="00DB0BC9"/>
    <w:rsid w:val="00DB0BDB"/>
    <w:rsid w:val="00DB1021"/>
    <w:rsid w:val="00DB144F"/>
    <w:rsid w:val="00DB178A"/>
    <w:rsid w:val="00DB198D"/>
    <w:rsid w:val="00DB1B06"/>
    <w:rsid w:val="00DB1BAA"/>
    <w:rsid w:val="00DB1D25"/>
    <w:rsid w:val="00DB2150"/>
    <w:rsid w:val="00DB2259"/>
    <w:rsid w:val="00DB248F"/>
    <w:rsid w:val="00DB2575"/>
    <w:rsid w:val="00DB26B0"/>
    <w:rsid w:val="00DB2784"/>
    <w:rsid w:val="00DB2916"/>
    <w:rsid w:val="00DB299F"/>
    <w:rsid w:val="00DB2AF2"/>
    <w:rsid w:val="00DB2DB6"/>
    <w:rsid w:val="00DB2E10"/>
    <w:rsid w:val="00DB2FD1"/>
    <w:rsid w:val="00DB2FE9"/>
    <w:rsid w:val="00DB3527"/>
    <w:rsid w:val="00DB38DA"/>
    <w:rsid w:val="00DB39B8"/>
    <w:rsid w:val="00DB39E9"/>
    <w:rsid w:val="00DB3FA0"/>
    <w:rsid w:val="00DB4399"/>
    <w:rsid w:val="00DB456A"/>
    <w:rsid w:val="00DB47A3"/>
    <w:rsid w:val="00DB487E"/>
    <w:rsid w:val="00DB4907"/>
    <w:rsid w:val="00DB4915"/>
    <w:rsid w:val="00DB49D5"/>
    <w:rsid w:val="00DB49E1"/>
    <w:rsid w:val="00DB4AA2"/>
    <w:rsid w:val="00DB4B4D"/>
    <w:rsid w:val="00DB4C77"/>
    <w:rsid w:val="00DB4DAE"/>
    <w:rsid w:val="00DB50EA"/>
    <w:rsid w:val="00DB5254"/>
    <w:rsid w:val="00DB52BE"/>
    <w:rsid w:val="00DB53C6"/>
    <w:rsid w:val="00DB5419"/>
    <w:rsid w:val="00DB54DC"/>
    <w:rsid w:val="00DB5555"/>
    <w:rsid w:val="00DB563D"/>
    <w:rsid w:val="00DB5659"/>
    <w:rsid w:val="00DB5701"/>
    <w:rsid w:val="00DB5712"/>
    <w:rsid w:val="00DB587D"/>
    <w:rsid w:val="00DB5DD0"/>
    <w:rsid w:val="00DB5EDA"/>
    <w:rsid w:val="00DB5EEE"/>
    <w:rsid w:val="00DB6160"/>
    <w:rsid w:val="00DB625E"/>
    <w:rsid w:val="00DB63C7"/>
    <w:rsid w:val="00DB63F2"/>
    <w:rsid w:val="00DB654C"/>
    <w:rsid w:val="00DB672C"/>
    <w:rsid w:val="00DB67B1"/>
    <w:rsid w:val="00DB67EB"/>
    <w:rsid w:val="00DB6806"/>
    <w:rsid w:val="00DB680A"/>
    <w:rsid w:val="00DB686A"/>
    <w:rsid w:val="00DB6910"/>
    <w:rsid w:val="00DB6A64"/>
    <w:rsid w:val="00DB6B3E"/>
    <w:rsid w:val="00DB6B9F"/>
    <w:rsid w:val="00DB6BAF"/>
    <w:rsid w:val="00DB6C7C"/>
    <w:rsid w:val="00DB6CA8"/>
    <w:rsid w:val="00DB6D1F"/>
    <w:rsid w:val="00DB6EFD"/>
    <w:rsid w:val="00DB6EFE"/>
    <w:rsid w:val="00DB6F28"/>
    <w:rsid w:val="00DB71B6"/>
    <w:rsid w:val="00DB72D1"/>
    <w:rsid w:val="00DB731B"/>
    <w:rsid w:val="00DB7328"/>
    <w:rsid w:val="00DB75C6"/>
    <w:rsid w:val="00DB7828"/>
    <w:rsid w:val="00DB7836"/>
    <w:rsid w:val="00DB7B0F"/>
    <w:rsid w:val="00DB7BB6"/>
    <w:rsid w:val="00DB7BD0"/>
    <w:rsid w:val="00DB7BE8"/>
    <w:rsid w:val="00DB7DD8"/>
    <w:rsid w:val="00DB7DDC"/>
    <w:rsid w:val="00DB7E4E"/>
    <w:rsid w:val="00DC0337"/>
    <w:rsid w:val="00DC0348"/>
    <w:rsid w:val="00DC0397"/>
    <w:rsid w:val="00DC040A"/>
    <w:rsid w:val="00DC048E"/>
    <w:rsid w:val="00DC0582"/>
    <w:rsid w:val="00DC0C4A"/>
    <w:rsid w:val="00DC0CD3"/>
    <w:rsid w:val="00DC0D8A"/>
    <w:rsid w:val="00DC0DA3"/>
    <w:rsid w:val="00DC0DEE"/>
    <w:rsid w:val="00DC0E62"/>
    <w:rsid w:val="00DC0F26"/>
    <w:rsid w:val="00DC0F62"/>
    <w:rsid w:val="00DC0FC6"/>
    <w:rsid w:val="00DC1154"/>
    <w:rsid w:val="00DC1456"/>
    <w:rsid w:val="00DC161C"/>
    <w:rsid w:val="00DC17C1"/>
    <w:rsid w:val="00DC18A4"/>
    <w:rsid w:val="00DC18B2"/>
    <w:rsid w:val="00DC1904"/>
    <w:rsid w:val="00DC1963"/>
    <w:rsid w:val="00DC1992"/>
    <w:rsid w:val="00DC19D6"/>
    <w:rsid w:val="00DC1FEB"/>
    <w:rsid w:val="00DC2026"/>
    <w:rsid w:val="00DC21D8"/>
    <w:rsid w:val="00DC2267"/>
    <w:rsid w:val="00DC2281"/>
    <w:rsid w:val="00DC2625"/>
    <w:rsid w:val="00DC26C0"/>
    <w:rsid w:val="00DC273D"/>
    <w:rsid w:val="00DC276A"/>
    <w:rsid w:val="00DC2810"/>
    <w:rsid w:val="00DC281A"/>
    <w:rsid w:val="00DC2830"/>
    <w:rsid w:val="00DC2834"/>
    <w:rsid w:val="00DC2953"/>
    <w:rsid w:val="00DC2A49"/>
    <w:rsid w:val="00DC2D2F"/>
    <w:rsid w:val="00DC2DE1"/>
    <w:rsid w:val="00DC2F50"/>
    <w:rsid w:val="00DC2FE6"/>
    <w:rsid w:val="00DC309A"/>
    <w:rsid w:val="00DC3261"/>
    <w:rsid w:val="00DC3440"/>
    <w:rsid w:val="00DC36EC"/>
    <w:rsid w:val="00DC3759"/>
    <w:rsid w:val="00DC3826"/>
    <w:rsid w:val="00DC3BE7"/>
    <w:rsid w:val="00DC3D34"/>
    <w:rsid w:val="00DC42E8"/>
    <w:rsid w:val="00DC4346"/>
    <w:rsid w:val="00DC454B"/>
    <w:rsid w:val="00DC459B"/>
    <w:rsid w:val="00DC4696"/>
    <w:rsid w:val="00DC4861"/>
    <w:rsid w:val="00DC49D0"/>
    <w:rsid w:val="00DC4ADE"/>
    <w:rsid w:val="00DC4B82"/>
    <w:rsid w:val="00DC4E35"/>
    <w:rsid w:val="00DC4EC5"/>
    <w:rsid w:val="00DC5099"/>
    <w:rsid w:val="00DC538D"/>
    <w:rsid w:val="00DC5511"/>
    <w:rsid w:val="00DC56C3"/>
    <w:rsid w:val="00DC5888"/>
    <w:rsid w:val="00DC5964"/>
    <w:rsid w:val="00DC5C37"/>
    <w:rsid w:val="00DC5D2A"/>
    <w:rsid w:val="00DC5E35"/>
    <w:rsid w:val="00DC6132"/>
    <w:rsid w:val="00DC6627"/>
    <w:rsid w:val="00DC6D62"/>
    <w:rsid w:val="00DC6FBF"/>
    <w:rsid w:val="00DC7057"/>
    <w:rsid w:val="00DC7592"/>
    <w:rsid w:val="00DC7949"/>
    <w:rsid w:val="00DC7B65"/>
    <w:rsid w:val="00DC7C5C"/>
    <w:rsid w:val="00DC7D83"/>
    <w:rsid w:val="00DC7FEF"/>
    <w:rsid w:val="00DD0301"/>
    <w:rsid w:val="00DD0302"/>
    <w:rsid w:val="00DD052A"/>
    <w:rsid w:val="00DD0631"/>
    <w:rsid w:val="00DD066C"/>
    <w:rsid w:val="00DD0963"/>
    <w:rsid w:val="00DD0B59"/>
    <w:rsid w:val="00DD0BBF"/>
    <w:rsid w:val="00DD0C15"/>
    <w:rsid w:val="00DD0E3A"/>
    <w:rsid w:val="00DD0E68"/>
    <w:rsid w:val="00DD11BF"/>
    <w:rsid w:val="00DD15CF"/>
    <w:rsid w:val="00DD1746"/>
    <w:rsid w:val="00DD1CEF"/>
    <w:rsid w:val="00DD1D29"/>
    <w:rsid w:val="00DD1D62"/>
    <w:rsid w:val="00DD1F16"/>
    <w:rsid w:val="00DD1FBE"/>
    <w:rsid w:val="00DD2110"/>
    <w:rsid w:val="00DD223F"/>
    <w:rsid w:val="00DD257B"/>
    <w:rsid w:val="00DD27C6"/>
    <w:rsid w:val="00DD2933"/>
    <w:rsid w:val="00DD2A9D"/>
    <w:rsid w:val="00DD2CA0"/>
    <w:rsid w:val="00DD2D30"/>
    <w:rsid w:val="00DD2D45"/>
    <w:rsid w:val="00DD2DC6"/>
    <w:rsid w:val="00DD2F36"/>
    <w:rsid w:val="00DD2FC8"/>
    <w:rsid w:val="00DD32FD"/>
    <w:rsid w:val="00DD373B"/>
    <w:rsid w:val="00DD37DC"/>
    <w:rsid w:val="00DD3877"/>
    <w:rsid w:val="00DD3B58"/>
    <w:rsid w:val="00DD3D3A"/>
    <w:rsid w:val="00DD3D77"/>
    <w:rsid w:val="00DD3E67"/>
    <w:rsid w:val="00DD409D"/>
    <w:rsid w:val="00DD4723"/>
    <w:rsid w:val="00DD4C80"/>
    <w:rsid w:val="00DD4CD2"/>
    <w:rsid w:val="00DD4E77"/>
    <w:rsid w:val="00DD4E8D"/>
    <w:rsid w:val="00DD5357"/>
    <w:rsid w:val="00DD5440"/>
    <w:rsid w:val="00DD5769"/>
    <w:rsid w:val="00DD57BD"/>
    <w:rsid w:val="00DD5876"/>
    <w:rsid w:val="00DD5A85"/>
    <w:rsid w:val="00DD5ABA"/>
    <w:rsid w:val="00DD5BBD"/>
    <w:rsid w:val="00DD5BFA"/>
    <w:rsid w:val="00DD5E62"/>
    <w:rsid w:val="00DD5ECF"/>
    <w:rsid w:val="00DD60B0"/>
    <w:rsid w:val="00DD6397"/>
    <w:rsid w:val="00DD644E"/>
    <w:rsid w:val="00DD6832"/>
    <w:rsid w:val="00DD69DA"/>
    <w:rsid w:val="00DD6BA4"/>
    <w:rsid w:val="00DD6CF7"/>
    <w:rsid w:val="00DD6F8A"/>
    <w:rsid w:val="00DD713F"/>
    <w:rsid w:val="00DD7240"/>
    <w:rsid w:val="00DD7243"/>
    <w:rsid w:val="00DD7289"/>
    <w:rsid w:val="00DD7367"/>
    <w:rsid w:val="00DD7441"/>
    <w:rsid w:val="00DD7450"/>
    <w:rsid w:val="00DD74AC"/>
    <w:rsid w:val="00DD75F4"/>
    <w:rsid w:val="00DD7664"/>
    <w:rsid w:val="00DD78F2"/>
    <w:rsid w:val="00DD7997"/>
    <w:rsid w:val="00DD7DD2"/>
    <w:rsid w:val="00DD7F36"/>
    <w:rsid w:val="00DE0043"/>
    <w:rsid w:val="00DE020C"/>
    <w:rsid w:val="00DE0374"/>
    <w:rsid w:val="00DE0432"/>
    <w:rsid w:val="00DE047E"/>
    <w:rsid w:val="00DE053F"/>
    <w:rsid w:val="00DE05D4"/>
    <w:rsid w:val="00DE073A"/>
    <w:rsid w:val="00DE08E6"/>
    <w:rsid w:val="00DE09F4"/>
    <w:rsid w:val="00DE0A03"/>
    <w:rsid w:val="00DE0AC1"/>
    <w:rsid w:val="00DE0B23"/>
    <w:rsid w:val="00DE0BF1"/>
    <w:rsid w:val="00DE0F11"/>
    <w:rsid w:val="00DE0F44"/>
    <w:rsid w:val="00DE11B4"/>
    <w:rsid w:val="00DE1317"/>
    <w:rsid w:val="00DE16A7"/>
    <w:rsid w:val="00DE178E"/>
    <w:rsid w:val="00DE1C61"/>
    <w:rsid w:val="00DE1D68"/>
    <w:rsid w:val="00DE1E7E"/>
    <w:rsid w:val="00DE1F15"/>
    <w:rsid w:val="00DE20DA"/>
    <w:rsid w:val="00DE2164"/>
    <w:rsid w:val="00DE219B"/>
    <w:rsid w:val="00DE2215"/>
    <w:rsid w:val="00DE227D"/>
    <w:rsid w:val="00DE25FB"/>
    <w:rsid w:val="00DE28F7"/>
    <w:rsid w:val="00DE2A2D"/>
    <w:rsid w:val="00DE2CD0"/>
    <w:rsid w:val="00DE318F"/>
    <w:rsid w:val="00DE31A5"/>
    <w:rsid w:val="00DE3398"/>
    <w:rsid w:val="00DE3432"/>
    <w:rsid w:val="00DE34B0"/>
    <w:rsid w:val="00DE38D8"/>
    <w:rsid w:val="00DE4431"/>
    <w:rsid w:val="00DE4465"/>
    <w:rsid w:val="00DE44C4"/>
    <w:rsid w:val="00DE4541"/>
    <w:rsid w:val="00DE4724"/>
    <w:rsid w:val="00DE47AA"/>
    <w:rsid w:val="00DE4823"/>
    <w:rsid w:val="00DE4C16"/>
    <w:rsid w:val="00DE4C3A"/>
    <w:rsid w:val="00DE4FBE"/>
    <w:rsid w:val="00DE4FE9"/>
    <w:rsid w:val="00DE50F6"/>
    <w:rsid w:val="00DE528F"/>
    <w:rsid w:val="00DE52F4"/>
    <w:rsid w:val="00DE5390"/>
    <w:rsid w:val="00DE53D2"/>
    <w:rsid w:val="00DE55CE"/>
    <w:rsid w:val="00DE5662"/>
    <w:rsid w:val="00DE577A"/>
    <w:rsid w:val="00DE5799"/>
    <w:rsid w:val="00DE583A"/>
    <w:rsid w:val="00DE5867"/>
    <w:rsid w:val="00DE5A2B"/>
    <w:rsid w:val="00DE5B95"/>
    <w:rsid w:val="00DE5DA1"/>
    <w:rsid w:val="00DE6097"/>
    <w:rsid w:val="00DE60EA"/>
    <w:rsid w:val="00DE6153"/>
    <w:rsid w:val="00DE619A"/>
    <w:rsid w:val="00DE64AB"/>
    <w:rsid w:val="00DE66DC"/>
    <w:rsid w:val="00DE689C"/>
    <w:rsid w:val="00DE68E6"/>
    <w:rsid w:val="00DE6ADE"/>
    <w:rsid w:val="00DE6AE8"/>
    <w:rsid w:val="00DE6C47"/>
    <w:rsid w:val="00DE6C60"/>
    <w:rsid w:val="00DE6E56"/>
    <w:rsid w:val="00DE6EF2"/>
    <w:rsid w:val="00DE71CF"/>
    <w:rsid w:val="00DE7339"/>
    <w:rsid w:val="00DE7626"/>
    <w:rsid w:val="00DE7642"/>
    <w:rsid w:val="00DE76DC"/>
    <w:rsid w:val="00DE793B"/>
    <w:rsid w:val="00DE79D3"/>
    <w:rsid w:val="00DE7A50"/>
    <w:rsid w:val="00DE7DB1"/>
    <w:rsid w:val="00DE7E34"/>
    <w:rsid w:val="00DE7F6F"/>
    <w:rsid w:val="00DF00D3"/>
    <w:rsid w:val="00DF0205"/>
    <w:rsid w:val="00DF027E"/>
    <w:rsid w:val="00DF02FD"/>
    <w:rsid w:val="00DF03E9"/>
    <w:rsid w:val="00DF07D0"/>
    <w:rsid w:val="00DF09A6"/>
    <w:rsid w:val="00DF0B49"/>
    <w:rsid w:val="00DF0D5D"/>
    <w:rsid w:val="00DF0FDE"/>
    <w:rsid w:val="00DF1220"/>
    <w:rsid w:val="00DF1393"/>
    <w:rsid w:val="00DF1587"/>
    <w:rsid w:val="00DF18DA"/>
    <w:rsid w:val="00DF1A0C"/>
    <w:rsid w:val="00DF1B25"/>
    <w:rsid w:val="00DF1B36"/>
    <w:rsid w:val="00DF1B95"/>
    <w:rsid w:val="00DF1C3A"/>
    <w:rsid w:val="00DF1C6B"/>
    <w:rsid w:val="00DF1C89"/>
    <w:rsid w:val="00DF1D0F"/>
    <w:rsid w:val="00DF1F38"/>
    <w:rsid w:val="00DF1FA9"/>
    <w:rsid w:val="00DF1FBD"/>
    <w:rsid w:val="00DF204A"/>
    <w:rsid w:val="00DF205D"/>
    <w:rsid w:val="00DF213C"/>
    <w:rsid w:val="00DF2257"/>
    <w:rsid w:val="00DF22FC"/>
    <w:rsid w:val="00DF242F"/>
    <w:rsid w:val="00DF2875"/>
    <w:rsid w:val="00DF2AC6"/>
    <w:rsid w:val="00DF2B0A"/>
    <w:rsid w:val="00DF2CF1"/>
    <w:rsid w:val="00DF2D0F"/>
    <w:rsid w:val="00DF2F7D"/>
    <w:rsid w:val="00DF2F98"/>
    <w:rsid w:val="00DF34B4"/>
    <w:rsid w:val="00DF36E3"/>
    <w:rsid w:val="00DF37E7"/>
    <w:rsid w:val="00DF3898"/>
    <w:rsid w:val="00DF3DA4"/>
    <w:rsid w:val="00DF3FB4"/>
    <w:rsid w:val="00DF4356"/>
    <w:rsid w:val="00DF466F"/>
    <w:rsid w:val="00DF4781"/>
    <w:rsid w:val="00DF47AB"/>
    <w:rsid w:val="00DF4DCF"/>
    <w:rsid w:val="00DF4DD6"/>
    <w:rsid w:val="00DF4E8F"/>
    <w:rsid w:val="00DF4FAC"/>
    <w:rsid w:val="00DF51D0"/>
    <w:rsid w:val="00DF5420"/>
    <w:rsid w:val="00DF54AF"/>
    <w:rsid w:val="00DF552C"/>
    <w:rsid w:val="00DF582F"/>
    <w:rsid w:val="00DF5849"/>
    <w:rsid w:val="00DF59FC"/>
    <w:rsid w:val="00DF5A45"/>
    <w:rsid w:val="00DF5C5C"/>
    <w:rsid w:val="00DF5E1D"/>
    <w:rsid w:val="00DF5FAA"/>
    <w:rsid w:val="00DF6002"/>
    <w:rsid w:val="00DF608E"/>
    <w:rsid w:val="00DF6149"/>
    <w:rsid w:val="00DF61ED"/>
    <w:rsid w:val="00DF6290"/>
    <w:rsid w:val="00DF6293"/>
    <w:rsid w:val="00DF653D"/>
    <w:rsid w:val="00DF6556"/>
    <w:rsid w:val="00DF6784"/>
    <w:rsid w:val="00DF6796"/>
    <w:rsid w:val="00DF6B59"/>
    <w:rsid w:val="00DF6C38"/>
    <w:rsid w:val="00DF6E0C"/>
    <w:rsid w:val="00DF7118"/>
    <w:rsid w:val="00DF71EE"/>
    <w:rsid w:val="00DF756C"/>
    <w:rsid w:val="00DF76D2"/>
    <w:rsid w:val="00DF7741"/>
    <w:rsid w:val="00DF7947"/>
    <w:rsid w:val="00DF7950"/>
    <w:rsid w:val="00DF7A50"/>
    <w:rsid w:val="00DF7C76"/>
    <w:rsid w:val="00DF7D72"/>
    <w:rsid w:val="00DF7D94"/>
    <w:rsid w:val="00E000A3"/>
    <w:rsid w:val="00E000E2"/>
    <w:rsid w:val="00E0014E"/>
    <w:rsid w:val="00E001F2"/>
    <w:rsid w:val="00E00203"/>
    <w:rsid w:val="00E00319"/>
    <w:rsid w:val="00E0059F"/>
    <w:rsid w:val="00E006FD"/>
    <w:rsid w:val="00E007E0"/>
    <w:rsid w:val="00E00A06"/>
    <w:rsid w:val="00E00A13"/>
    <w:rsid w:val="00E00CD8"/>
    <w:rsid w:val="00E00D40"/>
    <w:rsid w:val="00E00E96"/>
    <w:rsid w:val="00E00EC1"/>
    <w:rsid w:val="00E00ECB"/>
    <w:rsid w:val="00E01083"/>
    <w:rsid w:val="00E012BB"/>
    <w:rsid w:val="00E014D1"/>
    <w:rsid w:val="00E01930"/>
    <w:rsid w:val="00E019CE"/>
    <w:rsid w:val="00E01ADE"/>
    <w:rsid w:val="00E01CAB"/>
    <w:rsid w:val="00E01D58"/>
    <w:rsid w:val="00E01ECF"/>
    <w:rsid w:val="00E01F23"/>
    <w:rsid w:val="00E01F64"/>
    <w:rsid w:val="00E02051"/>
    <w:rsid w:val="00E02411"/>
    <w:rsid w:val="00E02A30"/>
    <w:rsid w:val="00E02AE8"/>
    <w:rsid w:val="00E02B1D"/>
    <w:rsid w:val="00E02C8A"/>
    <w:rsid w:val="00E02FE4"/>
    <w:rsid w:val="00E030A7"/>
    <w:rsid w:val="00E030CD"/>
    <w:rsid w:val="00E031D2"/>
    <w:rsid w:val="00E031FB"/>
    <w:rsid w:val="00E0325B"/>
    <w:rsid w:val="00E0327B"/>
    <w:rsid w:val="00E033FC"/>
    <w:rsid w:val="00E0349D"/>
    <w:rsid w:val="00E03676"/>
    <w:rsid w:val="00E037D4"/>
    <w:rsid w:val="00E039ED"/>
    <w:rsid w:val="00E03C79"/>
    <w:rsid w:val="00E03E66"/>
    <w:rsid w:val="00E04516"/>
    <w:rsid w:val="00E04944"/>
    <w:rsid w:val="00E04AB9"/>
    <w:rsid w:val="00E04BFA"/>
    <w:rsid w:val="00E04C25"/>
    <w:rsid w:val="00E04C97"/>
    <w:rsid w:val="00E04CA9"/>
    <w:rsid w:val="00E04CF3"/>
    <w:rsid w:val="00E04D42"/>
    <w:rsid w:val="00E04DAF"/>
    <w:rsid w:val="00E04E0C"/>
    <w:rsid w:val="00E05139"/>
    <w:rsid w:val="00E053EF"/>
    <w:rsid w:val="00E059ED"/>
    <w:rsid w:val="00E05A16"/>
    <w:rsid w:val="00E05D48"/>
    <w:rsid w:val="00E05E3A"/>
    <w:rsid w:val="00E05FA2"/>
    <w:rsid w:val="00E05FC6"/>
    <w:rsid w:val="00E06472"/>
    <w:rsid w:val="00E06476"/>
    <w:rsid w:val="00E06719"/>
    <w:rsid w:val="00E067A9"/>
    <w:rsid w:val="00E06D75"/>
    <w:rsid w:val="00E06E84"/>
    <w:rsid w:val="00E06ECF"/>
    <w:rsid w:val="00E071F9"/>
    <w:rsid w:val="00E07291"/>
    <w:rsid w:val="00E075C9"/>
    <w:rsid w:val="00E0760D"/>
    <w:rsid w:val="00E07909"/>
    <w:rsid w:val="00E079F3"/>
    <w:rsid w:val="00E07A09"/>
    <w:rsid w:val="00E07D8E"/>
    <w:rsid w:val="00E07DDB"/>
    <w:rsid w:val="00E07E3A"/>
    <w:rsid w:val="00E07F14"/>
    <w:rsid w:val="00E10079"/>
    <w:rsid w:val="00E1019A"/>
    <w:rsid w:val="00E101EE"/>
    <w:rsid w:val="00E10270"/>
    <w:rsid w:val="00E103CD"/>
    <w:rsid w:val="00E10409"/>
    <w:rsid w:val="00E104FD"/>
    <w:rsid w:val="00E105F4"/>
    <w:rsid w:val="00E10633"/>
    <w:rsid w:val="00E10B00"/>
    <w:rsid w:val="00E10F6F"/>
    <w:rsid w:val="00E112A2"/>
    <w:rsid w:val="00E11393"/>
    <w:rsid w:val="00E11844"/>
    <w:rsid w:val="00E119FA"/>
    <w:rsid w:val="00E11AFD"/>
    <w:rsid w:val="00E11B6D"/>
    <w:rsid w:val="00E11BB6"/>
    <w:rsid w:val="00E11FF4"/>
    <w:rsid w:val="00E12254"/>
    <w:rsid w:val="00E12321"/>
    <w:rsid w:val="00E1240C"/>
    <w:rsid w:val="00E12646"/>
    <w:rsid w:val="00E12827"/>
    <w:rsid w:val="00E12858"/>
    <w:rsid w:val="00E1292E"/>
    <w:rsid w:val="00E12A03"/>
    <w:rsid w:val="00E12C4A"/>
    <w:rsid w:val="00E12E39"/>
    <w:rsid w:val="00E12EEB"/>
    <w:rsid w:val="00E12FF8"/>
    <w:rsid w:val="00E13433"/>
    <w:rsid w:val="00E1362B"/>
    <w:rsid w:val="00E136D5"/>
    <w:rsid w:val="00E13864"/>
    <w:rsid w:val="00E13971"/>
    <w:rsid w:val="00E13B3D"/>
    <w:rsid w:val="00E13EF3"/>
    <w:rsid w:val="00E14266"/>
    <w:rsid w:val="00E142EF"/>
    <w:rsid w:val="00E147B5"/>
    <w:rsid w:val="00E14882"/>
    <w:rsid w:val="00E1491D"/>
    <w:rsid w:val="00E1494B"/>
    <w:rsid w:val="00E14964"/>
    <w:rsid w:val="00E14A32"/>
    <w:rsid w:val="00E14A92"/>
    <w:rsid w:val="00E14AD2"/>
    <w:rsid w:val="00E14B56"/>
    <w:rsid w:val="00E14C5B"/>
    <w:rsid w:val="00E14CC4"/>
    <w:rsid w:val="00E14EF4"/>
    <w:rsid w:val="00E15912"/>
    <w:rsid w:val="00E15A58"/>
    <w:rsid w:val="00E15C3B"/>
    <w:rsid w:val="00E15DA4"/>
    <w:rsid w:val="00E15DB7"/>
    <w:rsid w:val="00E161DC"/>
    <w:rsid w:val="00E162CB"/>
    <w:rsid w:val="00E162D9"/>
    <w:rsid w:val="00E16317"/>
    <w:rsid w:val="00E16499"/>
    <w:rsid w:val="00E165AD"/>
    <w:rsid w:val="00E1660C"/>
    <w:rsid w:val="00E1667E"/>
    <w:rsid w:val="00E166A1"/>
    <w:rsid w:val="00E167B7"/>
    <w:rsid w:val="00E16874"/>
    <w:rsid w:val="00E16958"/>
    <w:rsid w:val="00E16A13"/>
    <w:rsid w:val="00E16AF6"/>
    <w:rsid w:val="00E16CAC"/>
    <w:rsid w:val="00E16E3A"/>
    <w:rsid w:val="00E16E8B"/>
    <w:rsid w:val="00E16FBE"/>
    <w:rsid w:val="00E16FE5"/>
    <w:rsid w:val="00E1704C"/>
    <w:rsid w:val="00E170B7"/>
    <w:rsid w:val="00E173D1"/>
    <w:rsid w:val="00E1749E"/>
    <w:rsid w:val="00E17685"/>
    <w:rsid w:val="00E17889"/>
    <w:rsid w:val="00E1791B"/>
    <w:rsid w:val="00E17A1A"/>
    <w:rsid w:val="00E17B9A"/>
    <w:rsid w:val="00E17D1C"/>
    <w:rsid w:val="00E17D7B"/>
    <w:rsid w:val="00E17DB4"/>
    <w:rsid w:val="00E17EDF"/>
    <w:rsid w:val="00E17F3D"/>
    <w:rsid w:val="00E20240"/>
    <w:rsid w:val="00E2024E"/>
    <w:rsid w:val="00E20264"/>
    <w:rsid w:val="00E203DC"/>
    <w:rsid w:val="00E204A5"/>
    <w:rsid w:val="00E20773"/>
    <w:rsid w:val="00E20815"/>
    <w:rsid w:val="00E208D7"/>
    <w:rsid w:val="00E20A1B"/>
    <w:rsid w:val="00E20A6A"/>
    <w:rsid w:val="00E20CDF"/>
    <w:rsid w:val="00E2109A"/>
    <w:rsid w:val="00E213FF"/>
    <w:rsid w:val="00E21514"/>
    <w:rsid w:val="00E21551"/>
    <w:rsid w:val="00E215BD"/>
    <w:rsid w:val="00E2189C"/>
    <w:rsid w:val="00E219A3"/>
    <w:rsid w:val="00E21A18"/>
    <w:rsid w:val="00E21BB6"/>
    <w:rsid w:val="00E21C2E"/>
    <w:rsid w:val="00E21C9C"/>
    <w:rsid w:val="00E21CEE"/>
    <w:rsid w:val="00E21D5A"/>
    <w:rsid w:val="00E21DFD"/>
    <w:rsid w:val="00E21FF3"/>
    <w:rsid w:val="00E2211A"/>
    <w:rsid w:val="00E22257"/>
    <w:rsid w:val="00E222A2"/>
    <w:rsid w:val="00E22464"/>
    <w:rsid w:val="00E225AC"/>
    <w:rsid w:val="00E2276F"/>
    <w:rsid w:val="00E227A1"/>
    <w:rsid w:val="00E22892"/>
    <w:rsid w:val="00E22B0D"/>
    <w:rsid w:val="00E233B6"/>
    <w:rsid w:val="00E235D0"/>
    <w:rsid w:val="00E237D0"/>
    <w:rsid w:val="00E23834"/>
    <w:rsid w:val="00E23A6F"/>
    <w:rsid w:val="00E23D74"/>
    <w:rsid w:val="00E23FA3"/>
    <w:rsid w:val="00E24064"/>
    <w:rsid w:val="00E240A4"/>
    <w:rsid w:val="00E2429E"/>
    <w:rsid w:val="00E243D5"/>
    <w:rsid w:val="00E24468"/>
    <w:rsid w:val="00E244EE"/>
    <w:rsid w:val="00E24719"/>
    <w:rsid w:val="00E2472B"/>
    <w:rsid w:val="00E2473B"/>
    <w:rsid w:val="00E24854"/>
    <w:rsid w:val="00E2499C"/>
    <w:rsid w:val="00E24A5C"/>
    <w:rsid w:val="00E24AA7"/>
    <w:rsid w:val="00E24D26"/>
    <w:rsid w:val="00E24D3D"/>
    <w:rsid w:val="00E24D9D"/>
    <w:rsid w:val="00E24DBF"/>
    <w:rsid w:val="00E24F10"/>
    <w:rsid w:val="00E24F7C"/>
    <w:rsid w:val="00E251BA"/>
    <w:rsid w:val="00E2523B"/>
    <w:rsid w:val="00E253C8"/>
    <w:rsid w:val="00E25448"/>
    <w:rsid w:val="00E25544"/>
    <w:rsid w:val="00E255EF"/>
    <w:rsid w:val="00E2567E"/>
    <w:rsid w:val="00E259B2"/>
    <w:rsid w:val="00E25ABD"/>
    <w:rsid w:val="00E25D8C"/>
    <w:rsid w:val="00E25DEC"/>
    <w:rsid w:val="00E25E31"/>
    <w:rsid w:val="00E265CA"/>
    <w:rsid w:val="00E26696"/>
    <w:rsid w:val="00E26752"/>
    <w:rsid w:val="00E267CC"/>
    <w:rsid w:val="00E26873"/>
    <w:rsid w:val="00E26A32"/>
    <w:rsid w:val="00E26CF4"/>
    <w:rsid w:val="00E26E99"/>
    <w:rsid w:val="00E26EEE"/>
    <w:rsid w:val="00E26FD0"/>
    <w:rsid w:val="00E27249"/>
    <w:rsid w:val="00E272A3"/>
    <w:rsid w:val="00E273B0"/>
    <w:rsid w:val="00E27465"/>
    <w:rsid w:val="00E274FD"/>
    <w:rsid w:val="00E275F8"/>
    <w:rsid w:val="00E27640"/>
    <w:rsid w:val="00E27652"/>
    <w:rsid w:val="00E276A3"/>
    <w:rsid w:val="00E27716"/>
    <w:rsid w:val="00E27722"/>
    <w:rsid w:val="00E27749"/>
    <w:rsid w:val="00E277D7"/>
    <w:rsid w:val="00E279C0"/>
    <w:rsid w:val="00E279C1"/>
    <w:rsid w:val="00E27A70"/>
    <w:rsid w:val="00E27A88"/>
    <w:rsid w:val="00E27BE0"/>
    <w:rsid w:val="00E27D49"/>
    <w:rsid w:val="00E27EB9"/>
    <w:rsid w:val="00E27EF4"/>
    <w:rsid w:val="00E300B4"/>
    <w:rsid w:val="00E300B6"/>
    <w:rsid w:val="00E301B5"/>
    <w:rsid w:val="00E3037E"/>
    <w:rsid w:val="00E3054E"/>
    <w:rsid w:val="00E305E3"/>
    <w:rsid w:val="00E30664"/>
    <w:rsid w:val="00E309EF"/>
    <w:rsid w:val="00E30A64"/>
    <w:rsid w:val="00E30C06"/>
    <w:rsid w:val="00E3125D"/>
    <w:rsid w:val="00E312CE"/>
    <w:rsid w:val="00E31571"/>
    <w:rsid w:val="00E31643"/>
    <w:rsid w:val="00E31689"/>
    <w:rsid w:val="00E319BD"/>
    <w:rsid w:val="00E31AA7"/>
    <w:rsid w:val="00E31ABA"/>
    <w:rsid w:val="00E31B54"/>
    <w:rsid w:val="00E31C3C"/>
    <w:rsid w:val="00E31C6E"/>
    <w:rsid w:val="00E3203E"/>
    <w:rsid w:val="00E321A2"/>
    <w:rsid w:val="00E32234"/>
    <w:rsid w:val="00E326B3"/>
    <w:rsid w:val="00E32735"/>
    <w:rsid w:val="00E32769"/>
    <w:rsid w:val="00E328A5"/>
    <w:rsid w:val="00E32DEA"/>
    <w:rsid w:val="00E32FA4"/>
    <w:rsid w:val="00E333ED"/>
    <w:rsid w:val="00E33469"/>
    <w:rsid w:val="00E334BE"/>
    <w:rsid w:val="00E335B4"/>
    <w:rsid w:val="00E3388E"/>
    <w:rsid w:val="00E339D3"/>
    <w:rsid w:val="00E33D27"/>
    <w:rsid w:val="00E33D57"/>
    <w:rsid w:val="00E33DA9"/>
    <w:rsid w:val="00E33E5F"/>
    <w:rsid w:val="00E33F0D"/>
    <w:rsid w:val="00E3436F"/>
    <w:rsid w:val="00E347C8"/>
    <w:rsid w:val="00E349D7"/>
    <w:rsid w:val="00E34A1A"/>
    <w:rsid w:val="00E34AF9"/>
    <w:rsid w:val="00E34AFD"/>
    <w:rsid w:val="00E34B2C"/>
    <w:rsid w:val="00E34DA2"/>
    <w:rsid w:val="00E34E52"/>
    <w:rsid w:val="00E34F21"/>
    <w:rsid w:val="00E35108"/>
    <w:rsid w:val="00E35151"/>
    <w:rsid w:val="00E35352"/>
    <w:rsid w:val="00E354C7"/>
    <w:rsid w:val="00E35505"/>
    <w:rsid w:val="00E35582"/>
    <w:rsid w:val="00E355E6"/>
    <w:rsid w:val="00E35754"/>
    <w:rsid w:val="00E35B2D"/>
    <w:rsid w:val="00E35F06"/>
    <w:rsid w:val="00E35F7C"/>
    <w:rsid w:val="00E35FFF"/>
    <w:rsid w:val="00E361C3"/>
    <w:rsid w:val="00E361DA"/>
    <w:rsid w:val="00E362C3"/>
    <w:rsid w:val="00E36335"/>
    <w:rsid w:val="00E3639C"/>
    <w:rsid w:val="00E36459"/>
    <w:rsid w:val="00E365AC"/>
    <w:rsid w:val="00E36601"/>
    <w:rsid w:val="00E3681E"/>
    <w:rsid w:val="00E36AA4"/>
    <w:rsid w:val="00E36B9A"/>
    <w:rsid w:val="00E36BFF"/>
    <w:rsid w:val="00E36DBA"/>
    <w:rsid w:val="00E370B3"/>
    <w:rsid w:val="00E370FA"/>
    <w:rsid w:val="00E371EF"/>
    <w:rsid w:val="00E3726D"/>
    <w:rsid w:val="00E37543"/>
    <w:rsid w:val="00E3755C"/>
    <w:rsid w:val="00E375D1"/>
    <w:rsid w:val="00E3796C"/>
    <w:rsid w:val="00E379C4"/>
    <w:rsid w:val="00E379EF"/>
    <w:rsid w:val="00E37A98"/>
    <w:rsid w:val="00E37AA3"/>
    <w:rsid w:val="00E37F92"/>
    <w:rsid w:val="00E40056"/>
    <w:rsid w:val="00E4016D"/>
    <w:rsid w:val="00E402D4"/>
    <w:rsid w:val="00E403A2"/>
    <w:rsid w:val="00E40426"/>
    <w:rsid w:val="00E4046D"/>
    <w:rsid w:val="00E40668"/>
    <w:rsid w:val="00E4091C"/>
    <w:rsid w:val="00E40A70"/>
    <w:rsid w:val="00E40B6C"/>
    <w:rsid w:val="00E40B81"/>
    <w:rsid w:val="00E40E16"/>
    <w:rsid w:val="00E40F11"/>
    <w:rsid w:val="00E40F98"/>
    <w:rsid w:val="00E41106"/>
    <w:rsid w:val="00E41146"/>
    <w:rsid w:val="00E41154"/>
    <w:rsid w:val="00E41203"/>
    <w:rsid w:val="00E41295"/>
    <w:rsid w:val="00E41338"/>
    <w:rsid w:val="00E4160B"/>
    <w:rsid w:val="00E417F3"/>
    <w:rsid w:val="00E41886"/>
    <w:rsid w:val="00E418D0"/>
    <w:rsid w:val="00E41A27"/>
    <w:rsid w:val="00E41A91"/>
    <w:rsid w:val="00E41AAF"/>
    <w:rsid w:val="00E41AEE"/>
    <w:rsid w:val="00E41E0F"/>
    <w:rsid w:val="00E41E19"/>
    <w:rsid w:val="00E4205F"/>
    <w:rsid w:val="00E4216A"/>
    <w:rsid w:val="00E42247"/>
    <w:rsid w:val="00E424EF"/>
    <w:rsid w:val="00E425CD"/>
    <w:rsid w:val="00E42778"/>
    <w:rsid w:val="00E427BE"/>
    <w:rsid w:val="00E42A2E"/>
    <w:rsid w:val="00E42C10"/>
    <w:rsid w:val="00E42D43"/>
    <w:rsid w:val="00E42E31"/>
    <w:rsid w:val="00E43021"/>
    <w:rsid w:val="00E430D9"/>
    <w:rsid w:val="00E43252"/>
    <w:rsid w:val="00E43339"/>
    <w:rsid w:val="00E43456"/>
    <w:rsid w:val="00E436B1"/>
    <w:rsid w:val="00E43748"/>
    <w:rsid w:val="00E43819"/>
    <w:rsid w:val="00E439F6"/>
    <w:rsid w:val="00E43DA4"/>
    <w:rsid w:val="00E43EDB"/>
    <w:rsid w:val="00E4407C"/>
    <w:rsid w:val="00E442E4"/>
    <w:rsid w:val="00E447EF"/>
    <w:rsid w:val="00E44A65"/>
    <w:rsid w:val="00E45074"/>
    <w:rsid w:val="00E45282"/>
    <w:rsid w:val="00E452A2"/>
    <w:rsid w:val="00E45511"/>
    <w:rsid w:val="00E4552D"/>
    <w:rsid w:val="00E456B5"/>
    <w:rsid w:val="00E456FA"/>
    <w:rsid w:val="00E4572B"/>
    <w:rsid w:val="00E45AF9"/>
    <w:rsid w:val="00E45BD3"/>
    <w:rsid w:val="00E4631E"/>
    <w:rsid w:val="00E4641D"/>
    <w:rsid w:val="00E4652E"/>
    <w:rsid w:val="00E465B8"/>
    <w:rsid w:val="00E46704"/>
    <w:rsid w:val="00E4681F"/>
    <w:rsid w:val="00E46A1B"/>
    <w:rsid w:val="00E46B72"/>
    <w:rsid w:val="00E46B99"/>
    <w:rsid w:val="00E46D53"/>
    <w:rsid w:val="00E4725A"/>
    <w:rsid w:val="00E4751F"/>
    <w:rsid w:val="00E475CF"/>
    <w:rsid w:val="00E4766A"/>
    <w:rsid w:val="00E47678"/>
    <w:rsid w:val="00E47760"/>
    <w:rsid w:val="00E4794D"/>
    <w:rsid w:val="00E47A05"/>
    <w:rsid w:val="00E47A3B"/>
    <w:rsid w:val="00E47CD2"/>
    <w:rsid w:val="00E47CF1"/>
    <w:rsid w:val="00E47E6D"/>
    <w:rsid w:val="00E47F68"/>
    <w:rsid w:val="00E47F6B"/>
    <w:rsid w:val="00E5052B"/>
    <w:rsid w:val="00E5075C"/>
    <w:rsid w:val="00E50839"/>
    <w:rsid w:val="00E508D1"/>
    <w:rsid w:val="00E50915"/>
    <w:rsid w:val="00E50A6A"/>
    <w:rsid w:val="00E50AD7"/>
    <w:rsid w:val="00E50AFF"/>
    <w:rsid w:val="00E50E8A"/>
    <w:rsid w:val="00E50FDB"/>
    <w:rsid w:val="00E510B5"/>
    <w:rsid w:val="00E5124C"/>
    <w:rsid w:val="00E5172E"/>
    <w:rsid w:val="00E51757"/>
    <w:rsid w:val="00E51763"/>
    <w:rsid w:val="00E51939"/>
    <w:rsid w:val="00E51ABC"/>
    <w:rsid w:val="00E51AED"/>
    <w:rsid w:val="00E51B30"/>
    <w:rsid w:val="00E51DD8"/>
    <w:rsid w:val="00E51E2E"/>
    <w:rsid w:val="00E51F78"/>
    <w:rsid w:val="00E52024"/>
    <w:rsid w:val="00E5207E"/>
    <w:rsid w:val="00E520ED"/>
    <w:rsid w:val="00E5227E"/>
    <w:rsid w:val="00E5245F"/>
    <w:rsid w:val="00E52619"/>
    <w:rsid w:val="00E5261F"/>
    <w:rsid w:val="00E52792"/>
    <w:rsid w:val="00E5287D"/>
    <w:rsid w:val="00E52BC2"/>
    <w:rsid w:val="00E52C39"/>
    <w:rsid w:val="00E52DC0"/>
    <w:rsid w:val="00E52E3B"/>
    <w:rsid w:val="00E52FA3"/>
    <w:rsid w:val="00E5350F"/>
    <w:rsid w:val="00E5357F"/>
    <w:rsid w:val="00E53585"/>
    <w:rsid w:val="00E536B7"/>
    <w:rsid w:val="00E53813"/>
    <w:rsid w:val="00E5387D"/>
    <w:rsid w:val="00E538EC"/>
    <w:rsid w:val="00E53993"/>
    <w:rsid w:val="00E53AF4"/>
    <w:rsid w:val="00E53B2D"/>
    <w:rsid w:val="00E53C18"/>
    <w:rsid w:val="00E53E12"/>
    <w:rsid w:val="00E53E9A"/>
    <w:rsid w:val="00E53F20"/>
    <w:rsid w:val="00E543B4"/>
    <w:rsid w:val="00E54421"/>
    <w:rsid w:val="00E54700"/>
    <w:rsid w:val="00E5471B"/>
    <w:rsid w:val="00E54885"/>
    <w:rsid w:val="00E54916"/>
    <w:rsid w:val="00E549D9"/>
    <w:rsid w:val="00E549DC"/>
    <w:rsid w:val="00E54AC3"/>
    <w:rsid w:val="00E54B00"/>
    <w:rsid w:val="00E54B55"/>
    <w:rsid w:val="00E54C2F"/>
    <w:rsid w:val="00E54CC7"/>
    <w:rsid w:val="00E54CF9"/>
    <w:rsid w:val="00E54E4E"/>
    <w:rsid w:val="00E54EA3"/>
    <w:rsid w:val="00E550E4"/>
    <w:rsid w:val="00E55175"/>
    <w:rsid w:val="00E551E5"/>
    <w:rsid w:val="00E55290"/>
    <w:rsid w:val="00E55527"/>
    <w:rsid w:val="00E5556A"/>
    <w:rsid w:val="00E55711"/>
    <w:rsid w:val="00E5571B"/>
    <w:rsid w:val="00E5587E"/>
    <w:rsid w:val="00E558FA"/>
    <w:rsid w:val="00E55D15"/>
    <w:rsid w:val="00E55E25"/>
    <w:rsid w:val="00E55E5C"/>
    <w:rsid w:val="00E55F79"/>
    <w:rsid w:val="00E5613E"/>
    <w:rsid w:val="00E56287"/>
    <w:rsid w:val="00E565DC"/>
    <w:rsid w:val="00E56A88"/>
    <w:rsid w:val="00E56E6E"/>
    <w:rsid w:val="00E56EB0"/>
    <w:rsid w:val="00E56F3F"/>
    <w:rsid w:val="00E57028"/>
    <w:rsid w:val="00E57311"/>
    <w:rsid w:val="00E5733B"/>
    <w:rsid w:val="00E574F5"/>
    <w:rsid w:val="00E575CC"/>
    <w:rsid w:val="00E57698"/>
    <w:rsid w:val="00E57761"/>
    <w:rsid w:val="00E577AD"/>
    <w:rsid w:val="00E577B1"/>
    <w:rsid w:val="00E57B68"/>
    <w:rsid w:val="00E57D77"/>
    <w:rsid w:val="00E57DD3"/>
    <w:rsid w:val="00E57FD1"/>
    <w:rsid w:val="00E6002D"/>
    <w:rsid w:val="00E6013D"/>
    <w:rsid w:val="00E602D5"/>
    <w:rsid w:val="00E603AA"/>
    <w:rsid w:val="00E60567"/>
    <w:rsid w:val="00E60634"/>
    <w:rsid w:val="00E60784"/>
    <w:rsid w:val="00E608FD"/>
    <w:rsid w:val="00E60A4D"/>
    <w:rsid w:val="00E60A7D"/>
    <w:rsid w:val="00E60D7B"/>
    <w:rsid w:val="00E6125B"/>
    <w:rsid w:val="00E61270"/>
    <w:rsid w:val="00E6158A"/>
    <w:rsid w:val="00E616A9"/>
    <w:rsid w:val="00E616C8"/>
    <w:rsid w:val="00E61A3F"/>
    <w:rsid w:val="00E61A73"/>
    <w:rsid w:val="00E61B05"/>
    <w:rsid w:val="00E61C0F"/>
    <w:rsid w:val="00E61D5B"/>
    <w:rsid w:val="00E61D99"/>
    <w:rsid w:val="00E61E13"/>
    <w:rsid w:val="00E61EB2"/>
    <w:rsid w:val="00E61F75"/>
    <w:rsid w:val="00E61FA6"/>
    <w:rsid w:val="00E61FC4"/>
    <w:rsid w:val="00E620AD"/>
    <w:rsid w:val="00E620F9"/>
    <w:rsid w:val="00E62125"/>
    <w:rsid w:val="00E62183"/>
    <w:rsid w:val="00E62312"/>
    <w:rsid w:val="00E6256F"/>
    <w:rsid w:val="00E627E0"/>
    <w:rsid w:val="00E627EE"/>
    <w:rsid w:val="00E62A6E"/>
    <w:rsid w:val="00E62BAE"/>
    <w:rsid w:val="00E62BE6"/>
    <w:rsid w:val="00E62D14"/>
    <w:rsid w:val="00E6304A"/>
    <w:rsid w:val="00E63066"/>
    <w:rsid w:val="00E63123"/>
    <w:rsid w:val="00E6316A"/>
    <w:rsid w:val="00E631A7"/>
    <w:rsid w:val="00E6323B"/>
    <w:rsid w:val="00E632C2"/>
    <w:rsid w:val="00E634BE"/>
    <w:rsid w:val="00E634D3"/>
    <w:rsid w:val="00E63523"/>
    <w:rsid w:val="00E635BC"/>
    <w:rsid w:val="00E63802"/>
    <w:rsid w:val="00E6388E"/>
    <w:rsid w:val="00E638DC"/>
    <w:rsid w:val="00E63991"/>
    <w:rsid w:val="00E63B16"/>
    <w:rsid w:val="00E63B4E"/>
    <w:rsid w:val="00E63B6E"/>
    <w:rsid w:val="00E63DE4"/>
    <w:rsid w:val="00E64300"/>
    <w:rsid w:val="00E646D0"/>
    <w:rsid w:val="00E6486C"/>
    <w:rsid w:val="00E649AF"/>
    <w:rsid w:val="00E649FB"/>
    <w:rsid w:val="00E64A06"/>
    <w:rsid w:val="00E64A6E"/>
    <w:rsid w:val="00E64B22"/>
    <w:rsid w:val="00E64B2A"/>
    <w:rsid w:val="00E64C63"/>
    <w:rsid w:val="00E64CA7"/>
    <w:rsid w:val="00E64FF6"/>
    <w:rsid w:val="00E65265"/>
    <w:rsid w:val="00E654AA"/>
    <w:rsid w:val="00E654DB"/>
    <w:rsid w:val="00E655F0"/>
    <w:rsid w:val="00E6577C"/>
    <w:rsid w:val="00E657A2"/>
    <w:rsid w:val="00E65A63"/>
    <w:rsid w:val="00E65A72"/>
    <w:rsid w:val="00E65EF9"/>
    <w:rsid w:val="00E66054"/>
    <w:rsid w:val="00E66164"/>
    <w:rsid w:val="00E661C2"/>
    <w:rsid w:val="00E662F2"/>
    <w:rsid w:val="00E663FE"/>
    <w:rsid w:val="00E66404"/>
    <w:rsid w:val="00E665CC"/>
    <w:rsid w:val="00E66651"/>
    <w:rsid w:val="00E6668A"/>
    <w:rsid w:val="00E667A4"/>
    <w:rsid w:val="00E668D7"/>
    <w:rsid w:val="00E66954"/>
    <w:rsid w:val="00E66FAA"/>
    <w:rsid w:val="00E670BD"/>
    <w:rsid w:val="00E67110"/>
    <w:rsid w:val="00E67179"/>
    <w:rsid w:val="00E672EB"/>
    <w:rsid w:val="00E674E3"/>
    <w:rsid w:val="00E675E2"/>
    <w:rsid w:val="00E67771"/>
    <w:rsid w:val="00E678A7"/>
    <w:rsid w:val="00E67995"/>
    <w:rsid w:val="00E67B05"/>
    <w:rsid w:val="00E67B4E"/>
    <w:rsid w:val="00E67BEC"/>
    <w:rsid w:val="00E67CBF"/>
    <w:rsid w:val="00E67DB3"/>
    <w:rsid w:val="00E67EF4"/>
    <w:rsid w:val="00E67F9A"/>
    <w:rsid w:val="00E70721"/>
    <w:rsid w:val="00E707D3"/>
    <w:rsid w:val="00E7083A"/>
    <w:rsid w:val="00E708B4"/>
    <w:rsid w:val="00E70918"/>
    <w:rsid w:val="00E70933"/>
    <w:rsid w:val="00E709B7"/>
    <w:rsid w:val="00E70A61"/>
    <w:rsid w:val="00E70B69"/>
    <w:rsid w:val="00E70CE6"/>
    <w:rsid w:val="00E70F08"/>
    <w:rsid w:val="00E70F41"/>
    <w:rsid w:val="00E713F2"/>
    <w:rsid w:val="00E71426"/>
    <w:rsid w:val="00E71638"/>
    <w:rsid w:val="00E71F39"/>
    <w:rsid w:val="00E71FF0"/>
    <w:rsid w:val="00E72468"/>
    <w:rsid w:val="00E72479"/>
    <w:rsid w:val="00E7266D"/>
    <w:rsid w:val="00E7268A"/>
    <w:rsid w:val="00E729C1"/>
    <w:rsid w:val="00E72BA1"/>
    <w:rsid w:val="00E72BB5"/>
    <w:rsid w:val="00E72CBB"/>
    <w:rsid w:val="00E72DE8"/>
    <w:rsid w:val="00E72E0C"/>
    <w:rsid w:val="00E72E44"/>
    <w:rsid w:val="00E72F3E"/>
    <w:rsid w:val="00E72F61"/>
    <w:rsid w:val="00E73279"/>
    <w:rsid w:val="00E73302"/>
    <w:rsid w:val="00E7341B"/>
    <w:rsid w:val="00E73469"/>
    <w:rsid w:val="00E73524"/>
    <w:rsid w:val="00E735BF"/>
    <w:rsid w:val="00E735CA"/>
    <w:rsid w:val="00E735E0"/>
    <w:rsid w:val="00E737DC"/>
    <w:rsid w:val="00E73868"/>
    <w:rsid w:val="00E739CC"/>
    <w:rsid w:val="00E73A90"/>
    <w:rsid w:val="00E73D56"/>
    <w:rsid w:val="00E73D6B"/>
    <w:rsid w:val="00E744DA"/>
    <w:rsid w:val="00E74950"/>
    <w:rsid w:val="00E74AD8"/>
    <w:rsid w:val="00E7532A"/>
    <w:rsid w:val="00E753EC"/>
    <w:rsid w:val="00E75572"/>
    <w:rsid w:val="00E75660"/>
    <w:rsid w:val="00E75786"/>
    <w:rsid w:val="00E75792"/>
    <w:rsid w:val="00E757EC"/>
    <w:rsid w:val="00E7584E"/>
    <w:rsid w:val="00E758D5"/>
    <w:rsid w:val="00E75956"/>
    <w:rsid w:val="00E75A7C"/>
    <w:rsid w:val="00E75AF1"/>
    <w:rsid w:val="00E75B47"/>
    <w:rsid w:val="00E75C31"/>
    <w:rsid w:val="00E75CD8"/>
    <w:rsid w:val="00E75D50"/>
    <w:rsid w:val="00E75DF2"/>
    <w:rsid w:val="00E75E87"/>
    <w:rsid w:val="00E75FB5"/>
    <w:rsid w:val="00E7619C"/>
    <w:rsid w:val="00E7638E"/>
    <w:rsid w:val="00E765F1"/>
    <w:rsid w:val="00E76768"/>
    <w:rsid w:val="00E767AC"/>
    <w:rsid w:val="00E767BE"/>
    <w:rsid w:val="00E76892"/>
    <w:rsid w:val="00E76937"/>
    <w:rsid w:val="00E76B04"/>
    <w:rsid w:val="00E76BBB"/>
    <w:rsid w:val="00E76BDF"/>
    <w:rsid w:val="00E76D64"/>
    <w:rsid w:val="00E76DC4"/>
    <w:rsid w:val="00E772A7"/>
    <w:rsid w:val="00E772C5"/>
    <w:rsid w:val="00E7730A"/>
    <w:rsid w:val="00E77311"/>
    <w:rsid w:val="00E773F6"/>
    <w:rsid w:val="00E776C6"/>
    <w:rsid w:val="00E7775B"/>
    <w:rsid w:val="00E77861"/>
    <w:rsid w:val="00E77AE3"/>
    <w:rsid w:val="00E77B22"/>
    <w:rsid w:val="00E77E5C"/>
    <w:rsid w:val="00E77F88"/>
    <w:rsid w:val="00E80038"/>
    <w:rsid w:val="00E8016B"/>
    <w:rsid w:val="00E801BF"/>
    <w:rsid w:val="00E802FC"/>
    <w:rsid w:val="00E80380"/>
    <w:rsid w:val="00E80425"/>
    <w:rsid w:val="00E804E7"/>
    <w:rsid w:val="00E808A6"/>
    <w:rsid w:val="00E80965"/>
    <w:rsid w:val="00E80A73"/>
    <w:rsid w:val="00E80AD9"/>
    <w:rsid w:val="00E80B90"/>
    <w:rsid w:val="00E80BE9"/>
    <w:rsid w:val="00E8104E"/>
    <w:rsid w:val="00E811C5"/>
    <w:rsid w:val="00E812CC"/>
    <w:rsid w:val="00E81404"/>
    <w:rsid w:val="00E81441"/>
    <w:rsid w:val="00E81839"/>
    <w:rsid w:val="00E81CD0"/>
    <w:rsid w:val="00E81D06"/>
    <w:rsid w:val="00E81D3F"/>
    <w:rsid w:val="00E81DB0"/>
    <w:rsid w:val="00E81DC4"/>
    <w:rsid w:val="00E82408"/>
    <w:rsid w:val="00E825FB"/>
    <w:rsid w:val="00E82718"/>
    <w:rsid w:val="00E82B58"/>
    <w:rsid w:val="00E82CE2"/>
    <w:rsid w:val="00E82D33"/>
    <w:rsid w:val="00E82E87"/>
    <w:rsid w:val="00E82F63"/>
    <w:rsid w:val="00E82FA4"/>
    <w:rsid w:val="00E83011"/>
    <w:rsid w:val="00E8314D"/>
    <w:rsid w:val="00E832F1"/>
    <w:rsid w:val="00E833C7"/>
    <w:rsid w:val="00E83564"/>
    <w:rsid w:val="00E835D3"/>
    <w:rsid w:val="00E836A3"/>
    <w:rsid w:val="00E83896"/>
    <w:rsid w:val="00E83A81"/>
    <w:rsid w:val="00E83CB8"/>
    <w:rsid w:val="00E83CC2"/>
    <w:rsid w:val="00E83D93"/>
    <w:rsid w:val="00E83E32"/>
    <w:rsid w:val="00E84099"/>
    <w:rsid w:val="00E84409"/>
    <w:rsid w:val="00E84445"/>
    <w:rsid w:val="00E846BE"/>
    <w:rsid w:val="00E849B8"/>
    <w:rsid w:val="00E84CCA"/>
    <w:rsid w:val="00E84D99"/>
    <w:rsid w:val="00E850F0"/>
    <w:rsid w:val="00E85724"/>
    <w:rsid w:val="00E85848"/>
    <w:rsid w:val="00E8595A"/>
    <w:rsid w:val="00E85986"/>
    <w:rsid w:val="00E85B46"/>
    <w:rsid w:val="00E85BA4"/>
    <w:rsid w:val="00E85FC8"/>
    <w:rsid w:val="00E85FE3"/>
    <w:rsid w:val="00E86119"/>
    <w:rsid w:val="00E86145"/>
    <w:rsid w:val="00E86253"/>
    <w:rsid w:val="00E86317"/>
    <w:rsid w:val="00E865BB"/>
    <w:rsid w:val="00E86693"/>
    <w:rsid w:val="00E86843"/>
    <w:rsid w:val="00E8684F"/>
    <w:rsid w:val="00E86A60"/>
    <w:rsid w:val="00E86A79"/>
    <w:rsid w:val="00E86C31"/>
    <w:rsid w:val="00E86D20"/>
    <w:rsid w:val="00E86D6D"/>
    <w:rsid w:val="00E86DA2"/>
    <w:rsid w:val="00E86E41"/>
    <w:rsid w:val="00E86E52"/>
    <w:rsid w:val="00E870BB"/>
    <w:rsid w:val="00E873A5"/>
    <w:rsid w:val="00E873AC"/>
    <w:rsid w:val="00E873F2"/>
    <w:rsid w:val="00E876B5"/>
    <w:rsid w:val="00E8777A"/>
    <w:rsid w:val="00E878AF"/>
    <w:rsid w:val="00E8792B"/>
    <w:rsid w:val="00E87981"/>
    <w:rsid w:val="00E87AB4"/>
    <w:rsid w:val="00E87B30"/>
    <w:rsid w:val="00E87C25"/>
    <w:rsid w:val="00E87E6B"/>
    <w:rsid w:val="00E87F7C"/>
    <w:rsid w:val="00E87FDD"/>
    <w:rsid w:val="00E90018"/>
    <w:rsid w:val="00E9004F"/>
    <w:rsid w:val="00E9016D"/>
    <w:rsid w:val="00E9055E"/>
    <w:rsid w:val="00E9060C"/>
    <w:rsid w:val="00E90726"/>
    <w:rsid w:val="00E90742"/>
    <w:rsid w:val="00E90744"/>
    <w:rsid w:val="00E907A2"/>
    <w:rsid w:val="00E90871"/>
    <w:rsid w:val="00E909A7"/>
    <w:rsid w:val="00E90B0B"/>
    <w:rsid w:val="00E90C6C"/>
    <w:rsid w:val="00E90D3C"/>
    <w:rsid w:val="00E90E8F"/>
    <w:rsid w:val="00E90EBA"/>
    <w:rsid w:val="00E90FB0"/>
    <w:rsid w:val="00E91344"/>
    <w:rsid w:val="00E91557"/>
    <w:rsid w:val="00E91D3B"/>
    <w:rsid w:val="00E91F6F"/>
    <w:rsid w:val="00E91F9D"/>
    <w:rsid w:val="00E9203B"/>
    <w:rsid w:val="00E9203C"/>
    <w:rsid w:val="00E9217A"/>
    <w:rsid w:val="00E9217E"/>
    <w:rsid w:val="00E9273A"/>
    <w:rsid w:val="00E928A0"/>
    <w:rsid w:val="00E92A0A"/>
    <w:rsid w:val="00E92BE7"/>
    <w:rsid w:val="00E92FEE"/>
    <w:rsid w:val="00E93562"/>
    <w:rsid w:val="00E9367D"/>
    <w:rsid w:val="00E936D6"/>
    <w:rsid w:val="00E93748"/>
    <w:rsid w:val="00E937A1"/>
    <w:rsid w:val="00E938FC"/>
    <w:rsid w:val="00E93973"/>
    <w:rsid w:val="00E93AA2"/>
    <w:rsid w:val="00E93B41"/>
    <w:rsid w:val="00E93E83"/>
    <w:rsid w:val="00E93F3B"/>
    <w:rsid w:val="00E93F90"/>
    <w:rsid w:val="00E940E7"/>
    <w:rsid w:val="00E94100"/>
    <w:rsid w:val="00E942FC"/>
    <w:rsid w:val="00E9447A"/>
    <w:rsid w:val="00E946AD"/>
    <w:rsid w:val="00E94A15"/>
    <w:rsid w:val="00E94FA4"/>
    <w:rsid w:val="00E95255"/>
    <w:rsid w:val="00E9543B"/>
    <w:rsid w:val="00E9543E"/>
    <w:rsid w:val="00E95661"/>
    <w:rsid w:val="00E95855"/>
    <w:rsid w:val="00E959EA"/>
    <w:rsid w:val="00E95ADB"/>
    <w:rsid w:val="00E95B89"/>
    <w:rsid w:val="00E95BB0"/>
    <w:rsid w:val="00E95CF8"/>
    <w:rsid w:val="00E95CFB"/>
    <w:rsid w:val="00E95DA1"/>
    <w:rsid w:val="00E95EE4"/>
    <w:rsid w:val="00E95F4D"/>
    <w:rsid w:val="00E95FFA"/>
    <w:rsid w:val="00E962AC"/>
    <w:rsid w:val="00E964AE"/>
    <w:rsid w:val="00E9671B"/>
    <w:rsid w:val="00E9678B"/>
    <w:rsid w:val="00E9679A"/>
    <w:rsid w:val="00E969E2"/>
    <w:rsid w:val="00E96A3C"/>
    <w:rsid w:val="00E96AA6"/>
    <w:rsid w:val="00E96B6F"/>
    <w:rsid w:val="00E96B98"/>
    <w:rsid w:val="00E96D8D"/>
    <w:rsid w:val="00E96D91"/>
    <w:rsid w:val="00E96E96"/>
    <w:rsid w:val="00E96EAA"/>
    <w:rsid w:val="00E96EE2"/>
    <w:rsid w:val="00E96FDA"/>
    <w:rsid w:val="00E96FEC"/>
    <w:rsid w:val="00E97062"/>
    <w:rsid w:val="00E971BF"/>
    <w:rsid w:val="00E97256"/>
    <w:rsid w:val="00E97DD1"/>
    <w:rsid w:val="00E97F7E"/>
    <w:rsid w:val="00EA04BA"/>
    <w:rsid w:val="00EA064D"/>
    <w:rsid w:val="00EA06D6"/>
    <w:rsid w:val="00EA0A5C"/>
    <w:rsid w:val="00EA0AE3"/>
    <w:rsid w:val="00EA0BDE"/>
    <w:rsid w:val="00EA0C14"/>
    <w:rsid w:val="00EA0E0E"/>
    <w:rsid w:val="00EA0FBB"/>
    <w:rsid w:val="00EA1026"/>
    <w:rsid w:val="00EA10BB"/>
    <w:rsid w:val="00EA1233"/>
    <w:rsid w:val="00EA133C"/>
    <w:rsid w:val="00EA16F0"/>
    <w:rsid w:val="00EA199C"/>
    <w:rsid w:val="00EA1BE1"/>
    <w:rsid w:val="00EA1EC6"/>
    <w:rsid w:val="00EA21C3"/>
    <w:rsid w:val="00EA22B2"/>
    <w:rsid w:val="00EA26D6"/>
    <w:rsid w:val="00EA2761"/>
    <w:rsid w:val="00EA278B"/>
    <w:rsid w:val="00EA2C18"/>
    <w:rsid w:val="00EA2D3A"/>
    <w:rsid w:val="00EA2E5E"/>
    <w:rsid w:val="00EA2F20"/>
    <w:rsid w:val="00EA2F73"/>
    <w:rsid w:val="00EA2FA0"/>
    <w:rsid w:val="00EA316E"/>
    <w:rsid w:val="00EA345A"/>
    <w:rsid w:val="00EA3804"/>
    <w:rsid w:val="00EA3A64"/>
    <w:rsid w:val="00EA3AEB"/>
    <w:rsid w:val="00EA3B15"/>
    <w:rsid w:val="00EA3F63"/>
    <w:rsid w:val="00EA4008"/>
    <w:rsid w:val="00EA4080"/>
    <w:rsid w:val="00EA408C"/>
    <w:rsid w:val="00EA411D"/>
    <w:rsid w:val="00EA41BD"/>
    <w:rsid w:val="00EA43BB"/>
    <w:rsid w:val="00EA44F0"/>
    <w:rsid w:val="00EA466F"/>
    <w:rsid w:val="00EA46BB"/>
    <w:rsid w:val="00EA47B8"/>
    <w:rsid w:val="00EA48B4"/>
    <w:rsid w:val="00EA492D"/>
    <w:rsid w:val="00EA4B9E"/>
    <w:rsid w:val="00EA4F41"/>
    <w:rsid w:val="00EA4F5B"/>
    <w:rsid w:val="00EA528D"/>
    <w:rsid w:val="00EA536C"/>
    <w:rsid w:val="00EA554E"/>
    <w:rsid w:val="00EA5660"/>
    <w:rsid w:val="00EA57CB"/>
    <w:rsid w:val="00EA5853"/>
    <w:rsid w:val="00EA5886"/>
    <w:rsid w:val="00EA58B9"/>
    <w:rsid w:val="00EA597D"/>
    <w:rsid w:val="00EA59A3"/>
    <w:rsid w:val="00EA5B81"/>
    <w:rsid w:val="00EA5C0A"/>
    <w:rsid w:val="00EA5CC2"/>
    <w:rsid w:val="00EA6009"/>
    <w:rsid w:val="00EA603A"/>
    <w:rsid w:val="00EA6058"/>
    <w:rsid w:val="00EA641B"/>
    <w:rsid w:val="00EA6523"/>
    <w:rsid w:val="00EA65C7"/>
    <w:rsid w:val="00EA65F0"/>
    <w:rsid w:val="00EA6774"/>
    <w:rsid w:val="00EA68AE"/>
    <w:rsid w:val="00EA6927"/>
    <w:rsid w:val="00EA692A"/>
    <w:rsid w:val="00EA6A81"/>
    <w:rsid w:val="00EA6B99"/>
    <w:rsid w:val="00EA6C7F"/>
    <w:rsid w:val="00EA6EE4"/>
    <w:rsid w:val="00EA6EF0"/>
    <w:rsid w:val="00EA6EF7"/>
    <w:rsid w:val="00EA6F29"/>
    <w:rsid w:val="00EA6FC6"/>
    <w:rsid w:val="00EA7074"/>
    <w:rsid w:val="00EA70AF"/>
    <w:rsid w:val="00EA70DF"/>
    <w:rsid w:val="00EA71CE"/>
    <w:rsid w:val="00EA7496"/>
    <w:rsid w:val="00EA769F"/>
    <w:rsid w:val="00EA7AD6"/>
    <w:rsid w:val="00EA7B9E"/>
    <w:rsid w:val="00EA7C65"/>
    <w:rsid w:val="00EA7E1E"/>
    <w:rsid w:val="00EB0142"/>
    <w:rsid w:val="00EB0155"/>
    <w:rsid w:val="00EB0582"/>
    <w:rsid w:val="00EB05F4"/>
    <w:rsid w:val="00EB0776"/>
    <w:rsid w:val="00EB09CA"/>
    <w:rsid w:val="00EB0BB0"/>
    <w:rsid w:val="00EB0C32"/>
    <w:rsid w:val="00EB0DC5"/>
    <w:rsid w:val="00EB0EFC"/>
    <w:rsid w:val="00EB121D"/>
    <w:rsid w:val="00EB1236"/>
    <w:rsid w:val="00EB1476"/>
    <w:rsid w:val="00EB1567"/>
    <w:rsid w:val="00EB15D2"/>
    <w:rsid w:val="00EB17DB"/>
    <w:rsid w:val="00EB1AB3"/>
    <w:rsid w:val="00EB1C9C"/>
    <w:rsid w:val="00EB1E11"/>
    <w:rsid w:val="00EB1E2C"/>
    <w:rsid w:val="00EB22C6"/>
    <w:rsid w:val="00EB25F8"/>
    <w:rsid w:val="00EB2876"/>
    <w:rsid w:val="00EB2ED8"/>
    <w:rsid w:val="00EB3152"/>
    <w:rsid w:val="00EB31F2"/>
    <w:rsid w:val="00EB3748"/>
    <w:rsid w:val="00EB385E"/>
    <w:rsid w:val="00EB3961"/>
    <w:rsid w:val="00EB396F"/>
    <w:rsid w:val="00EB39D5"/>
    <w:rsid w:val="00EB3C00"/>
    <w:rsid w:val="00EB3CB4"/>
    <w:rsid w:val="00EB3EEA"/>
    <w:rsid w:val="00EB3FEF"/>
    <w:rsid w:val="00EB415A"/>
    <w:rsid w:val="00EB4258"/>
    <w:rsid w:val="00EB445B"/>
    <w:rsid w:val="00EB4559"/>
    <w:rsid w:val="00EB4771"/>
    <w:rsid w:val="00EB4A4B"/>
    <w:rsid w:val="00EB4A85"/>
    <w:rsid w:val="00EB4C42"/>
    <w:rsid w:val="00EB4D6C"/>
    <w:rsid w:val="00EB5170"/>
    <w:rsid w:val="00EB534E"/>
    <w:rsid w:val="00EB554C"/>
    <w:rsid w:val="00EB555E"/>
    <w:rsid w:val="00EB5587"/>
    <w:rsid w:val="00EB56F1"/>
    <w:rsid w:val="00EB57B0"/>
    <w:rsid w:val="00EB57FC"/>
    <w:rsid w:val="00EB591E"/>
    <w:rsid w:val="00EB5976"/>
    <w:rsid w:val="00EB5A00"/>
    <w:rsid w:val="00EB5A29"/>
    <w:rsid w:val="00EB5C80"/>
    <w:rsid w:val="00EB6082"/>
    <w:rsid w:val="00EB6287"/>
    <w:rsid w:val="00EB640B"/>
    <w:rsid w:val="00EB64CC"/>
    <w:rsid w:val="00EB65AA"/>
    <w:rsid w:val="00EB65F9"/>
    <w:rsid w:val="00EB6BB1"/>
    <w:rsid w:val="00EB6DC1"/>
    <w:rsid w:val="00EB6E0E"/>
    <w:rsid w:val="00EB715A"/>
    <w:rsid w:val="00EB723D"/>
    <w:rsid w:val="00EB765D"/>
    <w:rsid w:val="00EB76B6"/>
    <w:rsid w:val="00EB76FF"/>
    <w:rsid w:val="00EB778E"/>
    <w:rsid w:val="00EB7799"/>
    <w:rsid w:val="00EB786B"/>
    <w:rsid w:val="00EB7888"/>
    <w:rsid w:val="00EB79C7"/>
    <w:rsid w:val="00EB7C4D"/>
    <w:rsid w:val="00EB7EBF"/>
    <w:rsid w:val="00EC0348"/>
    <w:rsid w:val="00EC0390"/>
    <w:rsid w:val="00EC093B"/>
    <w:rsid w:val="00EC09EB"/>
    <w:rsid w:val="00EC0A6F"/>
    <w:rsid w:val="00EC0B92"/>
    <w:rsid w:val="00EC0B9B"/>
    <w:rsid w:val="00EC0EAD"/>
    <w:rsid w:val="00EC0EF4"/>
    <w:rsid w:val="00EC0FDF"/>
    <w:rsid w:val="00EC100A"/>
    <w:rsid w:val="00EC10DF"/>
    <w:rsid w:val="00EC11F9"/>
    <w:rsid w:val="00EC12C0"/>
    <w:rsid w:val="00EC1419"/>
    <w:rsid w:val="00EC147B"/>
    <w:rsid w:val="00EC1496"/>
    <w:rsid w:val="00EC1500"/>
    <w:rsid w:val="00EC1534"/>
    <w:rsid w:val="00EC154C"/>
    <w:rsid w:val="00EC15A6"/>
    <w:rsid w:val="00EC15B1"/>
    <w:rsid w:val="00EC15E9"/>
    <w:rsid w:val="00EC16D7"/>
    <w:rsid w:val="00EC1945"/>
    <w:rsid w:val="00EC197F"/>
    <w:rsid w:val="00EC1992"/>
    <w:rsid w:val="00EC1A96"/>
    <w:rsid w:val="00EC1C7E"/>
    <w:rsid w:val="00EC1D7E"/>
    <w:rsid w:val="00EC1FAF"/>
    <w:rsid w:val="00EC1FD4"/>
    <w:rsid w:val="00EC2274"/>
    <w:rsid w:val="00EC2280"/>
    <w:rsid w:val="00EC2438"/>
    <w:rsid w:val="00EC248A"/>
    <w:rsid w:val="00EC26F9"/>
    <w:rsid w:val="00EC27CD"/>
    <w:rsid w:val="00EC299B"/>
    <w:rsid w:val="00EC2BFA"/>
    <w:rsid w:val="00EC2C9B"/>
    <w:rsid w:val="00EC2CFC"/>
    <w:rsid w:val="00EC2F30"/>
    <w:rsid w:val="00EC2FE4"/>
    <w:rsid w:val="00EC324E"/>
    <w:rsid w:val="00EC349D"/>
    <w:rsid w:val="00EC34F9"/>
    <w:rsid w:val="00EC3668"/>
    <w:rsid w:val="00EC3763"/>
    <w:rsid w:val="00EC38A4"/>
    <w:rsid w:val="00EC39F6"/>
    <w:rsid w:val="00EC3A5E"/>
    <w:rsid w:val="00EC3A87"/>
    <w:rsid w:val="00EC3B3F"/>
    <w:rsid w:val="00EC401F"/>
    <w:rsid w:val="00EC4176"/>
    <w:rsid w:val="00EC41A5"/>
    <w:rsid w:val="00EC42B3"/>
    <w:rsid w:val="00EC42CD"/>
    <w:rsid w:val="00EC44C1"/>
    <w:rsid w:val="00EC4820"/>
    <w:rsid w:val="00EC48C8"/>
    <w:rsid w:val="00EC4A04"/>
    <w:rsid w:val="00EC4AC0"/>
    <w:rsid w:val="00EC4B40"/>
    <w:rsid w:val="00EC4C2D"/>
    <w:rsid w:val="00EC4F5D"/>
    <w:rsid w:val="00EC5171"/>
    <w:rsid w:val="00EC51B7"/>
    <w:rsid w:val="00EC5302"/>
    <w:rsid w:val="00EC53B3"/>
    <w:rsid w:val="00EC53DA"/>
    <w:rsid w:val="00EC5463"/>
    <w:rsid w:val="00EC54C4"/>
    <w:rsid w:val="00EC5895"/>
    <w:rsid w:val="00EC5918"/>
    <w:rsid w:val="00EC5AAA"/>
    <w:rsid w:val="00EC5BBD"/>
    <w:rsid w:val="00EC5C2F"/>
    <w:rsid w:val="00EC5E9E"/>
    <w:rsid w:val="00EC5F05"/>
    <w:rsid w:val="00EC602E"/>
    <w:rsid w:val="00EC617A"/>
    <w:rsid w:val="00EC6350"/>
    <w:rsid w:val="00EC63A0"/>
    <w:rsid w:val="00EC63D9"/>
    <w:rsid w:val="00EC6418"/>
    <w:rsid w:val="00EC6469"/>
    <w:rsid w:val="00EC657D"/>
    <w:rsid w:val="00EC6724"/>
    <w:rsid w:val="00EC6804"/>
    <w:rsid w:val="00EC6DCB"/>
    <w:rsid w:val="00EC6E25"/>
    <w:rsid w:val="00EC6F36"/>
    <w:rsid w:val="00EC7173"/>
    <w:rsid w:val="00EC74E8"/>
    <w:rsid w:val="00EC755F"/>
    <w:rsid w:val="00EC75E7"/>
    <w:rsid w:val="00EC763A"/>
    <w:rsid w:val="00EC7936"/>
    <w:rsid w:val="00EC793C"/>
    <w:rsid w:val="00EC7A20"/>
    <w:rsid w:val="00EC7A3A"/>
    <w:rsid w:val="00EC7A72"/>
    <w:rsid w:val="00EC7C1E"/>
    <w:rsid w:val="00EC7CF9"/>
    <w:rsid w:val="00EC7D1E"/>
    <w:rsid w:val="00EC7ED2"/>
    <w:rsid w:val="00ED020F"/>
    <w:rsid w:val="00ED0257"/>
    <w:rsid w:val="00ED0281"/>
    <w:rsid w:val="00ED0346"/>
    <w:rsid w:val="00ED0363"/>
    <w:rsid w:val="00ED04A7"/>
    <w:rsid w:val="00ED051D"/>
    <w:rsid w:val="00ED05D7"/>
    <w:rsid w:val="00ED065C"/>
    <w:rsid w:val="00ED06DF"/>
    <w:rsid w:val="00ED090A"/>
    <w:rsid w:val="00ED0B57"/>
    <w:rsid w:val="00ED0C7C"/>
    <w:rsid w:val="00ED0CCD"/>
    <w:rsid w:val="00ED0E4F"/>
    <w:rsid w:val="00ED0E7A"/>
    <w:rsid w:val="00ED1020"/>
    <w:rsid w:val="00ED105E"/>
    <w:rsid w:val="00ED10B0"/>
    <w:rsid w:val="00ED127C"/>
    <w:rsid w:val="00ED13CF"/>
    <w:rsid w:val="00ED13DA"/>
    <w:rsid w:val="00ED145A"/>
    <w:rsid w:val="00ED17DB"/>
    <w:rsid w:val="00ED1823"/>
    <w:rsid w:val="00ED1855"/>
    <w:rsid w:val="00ED1954"/>
    <w:rsid w:val="00ED1B8A"/>
    <w:rsid w:val="00ED1D9D"/>
    <w:rsid w:val="00ED1DE2"/>
    <w:rsid w:val="00ED211D"/>
    <w:rsid w:val="00ED21C9"/>
    <w:rsid w:val="00ED2400"/>
    <w:rsid w:val="00ED240A"/>
    <w:rsid w:val="00ED25C6"/>
    <w:rsid w:val="00ED25EE"/>
    <w:rsid w:val="00ED26D0"/>
    <w:rsid w:val="00ED26D3"/>
    <w:rsid w:val="00ED2710"/>
    <w:rsid w:val="00ED27A7"/>
    <w:rsid w:val="00ED2817"/>
    <w:rsid w:val="00ED28A7"/>
    <w:rsid w:val="00ED2C57"/>
    <w:rsid w:val="00ED2F9C"/>
    <w:rsid w:val="00ED3037"/>
    <w:rsid w:val="00ED3071"/>
    <w:rsid w:val="00ED3408"/>
    <w:rsid w:val="00ED3840"/>
    <w:rsid w:val="00ED38E6"/>
    <w:rsid w:val="00ED3959"/>
    <w:rsid w:val="00ED39F1"/>
    <w:rsid w:val="00ED3B2C"/>
    <w:rsid w:val="00ED3B32"/>
    <w:rsid w:val="00ED3B43"/>
    <w:rsid w:val="00ED3ECB"/>
    <w:rsid w:val="00ED4089"/>
    <w:rsid w:val="00ED433B"/>
    <w:rsid w:val="00ED44D7"/>
    <w:rsid w:val="00ED47B5"/>
    <w:rsid w:val="00ED49AB"/>
    <w:rsid w:val="00ED4C17"/>
    <w:rsid w:val="00ED4E0A"/>
    <w:rsid w:val="00ED4E7E"/>
    <w:rsid w:val="00ED4F89"/>
    <w:rsid w:val="00ED4F9A"/>
    <w:rsid w:val="00ED536D"/>
    <w:rsid w:val="00ED53B1"/>
    <w:rsid w:val="00ED55A0"/>
    <w:rsid w:val="00ED570A"/>
    <w:rsid w:val="00ED592F"/>
    <w:rsid w:val="00ED5A78"/>
    <w:rsid w:val="00ED5C58"/>
    <w:rsid w:val="00ED5CCA"/>
    <w:rsid w:val="00ED5D3D"/>
    <w:rsid w:val="00ED5D67"/>
    <w:rsid w:val="00ED5DAC"/>
    <w:rsid w:val="00ED5F4E"/>
    <w:rsid w:val="00ED6125"/>
    <w:rsid w:val="00ED61FE"/>
    <w:rsid w:val="00ED62E8"/>
    <w:rsid w:val="00ED64F9"/>
    <w:rsid w:val="00ED651A"/>
    <w:rsid w:val="00ED66B2"/>
    <w:rsid w:val="00ED680D"/>
    <w:rsid w:val="00ED696C"/>
    <w:rsid w:val="00ED6974"/>
    <w:rsid w:val="00ED69E5"/>
    <w:rsid w:val="00ED6D0D"/>
    <w:rsid w:val="00ED6F69"/>
    <w:rsid w:val="00ED6FBF"/>
    <w:rsid w:val="00ED704C"/>
    <w:rsid w:val="00ED709F"/>
    <w:rsid w:val="00ED70A3"/>
    <w:rsid w:val="00ED70E2"/>
    <w:rsid w:val="00ED71B8"/>
    <w:rsid w:val="00ED726A"/>
    <w:rsid w:val="00ED749C"/>
    <w:rsid w:val="00ED773B"/>
    <w:rsid w:val="00ED79B1"/>
    <w:rsid w:val="00ED79C1"/>
    <w:rsid w:val="00ED7B1F"/>
    <w:rsid w:val="00ED7D8B"/>
    <w:rsid w:val="00EE006C"/>
    <w:rsid w:val="00EE012E"/>
    <w:rsid w:val="00EE047B"/>
    <w:rsid w:val="00EE0550"/>
    <w:rsid w:val="00EE065C"/>
    <w:rsid w:val="00EE0702"/>
    <w:rsid w:val="00EE0721"/>
    <w:rsid w:val="00EE0880"/>
    <w:rsid w:val="00EE09B0"/>
    <w:rsid w:val="00EE0C54"/>
    <w:rsid w:val="00EE0E70"/>
    <w:rsid w:val="00EE0E7B"/>
    <w:rsid w:val="00EE0EDC"/>
    <w:rsid w:val="00EE0F86"/>
    <w:rsid w:val="00EE1076"/>
    <w:rsid w:val="00EE1165"/>
    <w:rsid w:val="00EE1546"/>
    <w:rsid w:val="00EE15A9"/>
    <w:rsid w:val="00EE1708"/>
    <w:rsid w:val="00EE1763"/>
    <w:rsid w:val="00EE1781"/>
    <w:rsid w:val="00EE17B4"/>
    <w:rsid w:val="00EE1AD4"/>
    <w:rsid w:val="00EE1AF5"/>
    <w:rsid w:val="00EE1C86"/>
    <w:rsid w:val="00EE1D03"/>
    <w:rsid w:val="00EE1D90"/>
    <w:rsid w:val="00EE1E22"/>
    <w:rsid w:val="00EE1E39"/>
    <w:rsid w:val="00EE1E64"/>
    <w:rsid w:val="00EE1F0C"/>
    <w:rsid w:val="00EE1F59"/>
    <w:rsid w:val="00EE228E"/>
    <w:rsid w:val="00EE2297"/>
    <w:rsid w:val="00EE22ED"/>
    <w:rsid w:val="00EE26E9"/>
    <w:rsid w:val="00EE2752"/>
    <w:rsid w:val="00EE279D"/>
    <w:rsid w:val="00EE289E"/>
    <w:rsid w:val="00EE28C5"/>
    <w:rsid w:val="00EE29E0"/>
    <w:rsid w:val="00EE2A88"/>
    <w:rsid w:val="00EE2BCF"/>
    <w:rsid w:val="00EE2E68"/>
    <w:rsid w:val="00EE3051"/>
    <w:rsid w:val="00EE3070"/>
    <w:rsid w:val="00EE30D8"/>
    <w:rsid w:val="00EE3430"/>
    <w:rsid w:val="00EE35BC"/>
    <w:rsid w:val="00EE3744"/>
    <w:rsid w:val="00EE39EF"/>
    <w:rsid w:val="00EE3B7D"/>
    <w:rsid w:val="00EE40F9"/>
    <w:rsid w:val="00EE412A"/>
    <w:rsid w:val="00EE4239"/>
    <w:rsid w:val="00EE4605"/>
    <w:rsid w:val="00EE465B"/>
    <w:rsid w:val="00EE481A"/>
    <w:rsid w:val="00EE4916"/>
    <w:rsid w:val="00EE4AC5"/>
    <w:rsid w:val="00EE4BB3"/>
    <w:rsid w:val="00EE4C57"/>
    <w:rsid w:val="00EE4D5F"/>
    <w:rsid w:val="00EE4D85"/>
    <w:rsid w:val="00EE4E92"/>
    <w:rsid w:val="00EE4FA0"/>
    <w:rsid w:val="00EE52A4"/>
    <w:rsid w:val="00EE5312"/>
    <w:rsid w:val="00EE55C4"/>
    <w:rsid w:val="00EE58E8"/>
    <w:rsid w:val="00EE5AD1"/>
    <w:rsid w:val="00EE5CAC"/>
    <w:rsid w:val="00EE5CCD"/>
    <w:rsid w:val="00EE5D82"/>
    <w:rsid w:val="00EE5D98"/>
    <w:rsid w:val="00EE5E4D"/>
    <w:rsid w:val="00EE6084"/>
    <w:rsid w:val="00EE617E"/>
    <w:rsid w:val="00EE6362"/>
    <w:rsid w:val="00EE6368"/>
    <w:rsid w:val="00EE6967"/>
    <w:rsid w:val="00EE6987"/>
    <w:rsid w:val="00EE6A11"/>
    <w:rsid w:val="00EE6DA6"/>
    <w:rsid w:val="00EE6E92"/>
    <w:rsid w:val="00EE6EEB"/>
    <w:rsid w:val="00EE6FF9"/>
    <w:rsid w:val="00EE71C4"/>
    <w:rsid w:val="00EE71D7"/>
    <w:rsid w:val="00EE7219"/>
    <w:rsid w:val="00EE7301"/>
    <w:rsid w:val="00EE739B"/>
    <w:rsid w:val="00EE73C6"/>
    <w:rsid w:val="00EE74FB"/>
    <w:rsid w:val="00EE7641"/>
    <w:rsid w:val="00EE76E0"/>
    <w:rsid w:val="00EE777E"/>
    <w:rsid w:val="00EE7B8C"/>
    <w:rsid w:val="00EE7C39"/>
    <w:rsid w:val="00EE7DA5"/>
    <w:rsid w:val="00EF0162"/>
    <w:rsid w:val="00EF026A"/>
    <w:rsid w:val="00EF0471"/>
    <w:rsid w:val="00EF0541"/>
    <w:rsid w:val="00EF054C"/>
    <w:rsid w:val="00EF076E"/>
    <w:rsid w:val="00EF0776"/>
    <w:rsid w:val="00EF092D"/>
    <w:rsid w:val="00EF0983"/>
    <w:rsid w:val="00EF09A7"/>
    <w:rsid w:val="00EF0BBB"/>
    <w:rsid w:val="00EF0CB3"/>
    <w:rsid w:val="00EF1068"/>
    <w:rsid w:val="00EF10B7"/>
    <w:rsid w:val="00EF112A"/>
    <w:rsid w:val="00EF14BF"/>
    <w:rsid w:val="00EF162C"/>
    <w:rsid w:val="00EF167D"/>
    <w:rsid w:val="00EF169F"/>
    <w:rsid w:val="00EF16DF"/>
    <w:rsid w:val="00EF188E"/>
    <w:rsid w:val="00EF1929"/>
    <w:rsid w:val="00EF19A0"/>
    <w:rsid w:val="00EF1B8E"/>
    <w:rsid w:val="00EF1BFF"/>
    <w:rsid w:val="00EF1C01"/>
    <w:rsid w:val="00EF1DB6"/>
    <w:rsid w:val="00EF2135"/>
    <w:rsid w:val="00EF224D"/>
    <w:rsid w:val="00EF23AA"/>
    <w:rsid w:val="00EF246C"/>
    <w:rsid w:val="00EF25C1"/>
    <w:rsid w:val="00EF2784"/>
    <w:rsid w:val="00EF290D"/>
    <w:rsid w:val="00EF2A3D"/>
    <w:rsid w:val="00EF2A46"/>
    <w:rsid w:val="00EF2A52"/>
    <w:rsid w:val="00EF2A94"/>
    <w:rsid w:val="00EF2F93"/>
    <w:rsid w:val="00EF30FC"/>
    <w:rsid w:val="00EF3726"/>
    <w:rsid w:val="00EF3A03"/>
    <w:rsid w:val="00EF3A7A"/>
    <w:rsid w:val="00EF3AEF"/>
    <w:rsid w:val="00EF3D37"/>
    <w:rsid w:val="00EF421A"/>
    <w:rsid w:val="00EF4264"/>
    <w:rsid w:val="00EF44C3"/>
    <w:rsid w:val="00EF4510"/>
    <w:rsid w:val="00EF46E5"/>
    <w:rsid w:val="00EF4971"/>
    <w:rsid w:val="00EF4E3D"/>
    <w:rsid w:val="00EF4F4D"/>
    <w:rsid w:val="00EF4F59"/>
    <w:rsid w:val="00EF500B"/>
    <w:rsid w:val="00EF5109"/>
    <w:rsid w:val="00EF5185"/>
    <w:rsid w:val="00EF51C8"/>
    <w:rsid w:val="00EF51CC"/>
    <w:rsid w:val="00EF56FA"/>
    <w:rsid w:val="00EF592F"/>
    <w:rsid w:val="00EF5A22"/>
    <w:rsid w:val="00EF5AB5"/>
    <w:rsid w:val="00EF5EAC"/>
    <w:rsid w:val="00EF6012"/>
    <w:rsid w:val="00EF608A"/>
    <w:rsid w:val="00EF60B2"/>
    <w:rsid w:val="00EF6251"/>
    <w:rsid w:val="00EF62DC"/>
    <w:rsid w:val="00EF633A"/>
    <w:rsid w:val="00EF653A"/>
    <w:rsid w:val="00EF658D"/>
    <w:rsid w:val="00EF66DA"/>
    <w:rsid w:val="00EF6887"/>
    <w:rsid w:val="00EF6A38"/>
    <w:rsid w:val="00EF6A9D"/>
    <w:rsid w:val="00EF6BD0"/>
    <w:rsid w:val="00EF6D0E"/>
    <w:rsid w:val="00EF6D4D"/>
    <w:rsid w:val="00EF6DA5"/>
    <w:rsid w:val="00EF7019"/>
    <w:rsid w:val="00EF712C"/>
    <w:rsid w:val="00EF724F"/>
    <w:rsid w:val="00EF743C"/>
    <w:rsid w:val="00EF76C1"/>
    <w:rsid w:val="00EF7823"/>
    <w:rsid w:val="00EF7866"/>
    <w:rsid w:val="00EF7878"/>
    <w:rsid w:val="00EF7E64"/>
    <w:rsid w:val="00EF7E65"/>
    <w:rsid w:val="00EF7EE2"/>
    <w:rsid w:val="00EF7F5F"/>
    <w:rsid w:val="00F0010C"/>
    <w:rsid w:val="00F0045B"/>
    <w:rsid w:val="00F0056E"/>
    <w:rsid w:val="00F00589"/>
    <w:rsid w:val="00F007A5"/>
    <w:rsid w:val="00F00814"/>
    <w:rsid w:val="00F00979"/>
    <w:rsid w:val="00F009FC"/>
    <w:rsid w:val="00F00E56"/>
    <w:rsid w:val="00F0123F"/>
    <w:rsid w:val="00F012A6"/>
    <w:rsid w:val="00F019EA"/>
    <w:rsid w:val="00F01D23"/>
    <w:rsid w:val="00F01E83"/>
    <w:rsid w:val="00F01EDA"/>
    <w:rsid w:val="00F022D2"/>
    <w:rsid w:val="00F02730"/>
    <w:rsid w:val="00F02845"/>
    <w:rsid w:val="00F0286C"/>
    <w:rsid w:val="00F02A22"/>
    <w:rsid w:val="00F02B9B"/>
    <w:rsid w:val="00F02C9E"/>
    <w:rsid w:val="00F02DFD"/>
    <w:rsid w:val="00F032C6"/>
    <w:rsid w:val="00F0333A"/>
    <w:rsid w:val="00F03385"/>
    <w:rsid w:val="00F0372D"/>
    <w:rsid w:val="00F03857"/>
    <w:rsid w:val="00F0389D"/>
    <w:rsid w:val="00F0397D"/>
    <w:rsid w:val="00F03B91"/>
    <w:rsid w:val="00F03C89"/>
    <w:rsid w:val="00F04015"/>
    <w:rsid w:val="00F0404A"/>
    <w:rsid w:val="00F0421E"/>
    <w:rsid w:val="00F04236"/>
    <w:rsid w:val="00F04930"/>
    <w:rsid w:val="00F049E3"/>
    <w:rsid w:val="00F04A82"/>
    <w:rsid w:val="00F04BD5"/>
    <w:rsid w:val="00F04F8F"/>
    <w:rsid w:val="00F05039"/>
    <w:rsid w:val="00F0542A"/>
    <w:rsid w:val="00F05972"/>
    <w:rsid w:val="00F059E7"/>
    <w:rsid w:val="00F05A93"/>
    <w:rsid w:val="00F05B17"/>
    <w:rsid w:val="00F05BB7"/>
    <w:rsid w:val="00F05CBA"/>
    <w:rsid w:val="00F05D52"/>
    <w:rsid w:val="00F06235"/>
    <w:rsid w:val="00F06389"/>
    <w:rsid w:val="00F0669C"/>
    <w:rsid w:val="00F066C4"/>
    <w:rsid w:val="00F0686D"/>
    <w:rsid w:val="00F068AB"/>
    <w:rsid w:val="00F06AE1"/>
    <w:rsid w:val="00F06E6B"/>
    <w:rsid w:val="00F06F79"/>
    <w:rsid w:val="00F0725B"/>
    <w:rsid w:val="00F0738F"/>
    <w:rsid w:val="00F073F5"/>
    <w:rsid w:val="00F07570"/>
    <w:rsid w:val="00F07757"/>
    <w:rsid w:val="00F077F6"/>
    <w:rsid w:val="00F07A82"/>
    <w:rsid w:val="00F07C14"/>
    <w:rsid w:val="00F07C4D"/>
    <w:rsid w:val="00F07DB8"/>
    <w:rsid w:val="00F07DEF"/>
    <w:rsid w:val="00F07F6D"/>
    <w:rsid w:val="00F07F98"/>
    <w:rsid w:val="00F1003A"/>
    <w:rsid w:val="00F10221"/>
    <w:rsid w:val="00F10487"/>
    <w:rsid w:val="00F10729"/>
    <w:rsid w:val="00F107C4"/>
    <w:rsid w:val="00F107D3"/>
    <w:rsid w:val="00F1080D"/>
    <w:rsid w:val="00F1094F"/>
    <w:rsid w:val="00F10DF4"/>
    <w:rsid w:val="00F10EA6"/>
    <w:rsid w:val="00F10FF9"/>
    <w:rsid w:val="00F11019"/>
    <w:rsid w:val="00F11147"/>
    <w:rsid w:val="00F11175"/>
    <w:rsid w:val="00F113B2"/>
    <w:rsid w:val="00F11424"/>
    <w:rsid w:val="00F116C9"/>
    <w:rsid w:val="00F117E7"/>
    <w:rsid w:val="00F118DB"/>
    <w:rsid w:val="00F119AA"/>
    <w:rsid w:val="00F119B8"/>
    <w:rsid w:val="00F11D99"/>
    <w:rsid w:val="00F11E95"/>
    <w:rsid w:val="00F11FF4"/>
    <w:rsid w:val="00F12198"/>
    <w:rsid w:val="00F122BE"/>
    <w:rsid w:val="00F12313"/>
    <w:rsid w:val="00F12367"/>
    <w:rsid w:val="00F1250B"/>
    <w:rsid w:val="00F12776"/>
    <w:rsid w:val="00F12785"/>
    <w:rsid w:val="00F1285E"/>
    <w:rsid w:val="00F12B62"/>
    <w:rsid w:val="00F12CEE"/>
    <w:rsid w:val="00F12D2A"/>
    <w:rsid w:val="00F13270"/>
    <w:rsid w:val="00F1327E"/>
    <w:rsid w:val="00F132A0"/>
    <w:rsid w:val="00F139E6"/>
    <w:rsid w:val="00F13A47"/>
    <w:rsid w:val="00F13A48"/>
    <w:rsid w:val="00F13F30"/>
    <w:rsid w:val="00F13FFE"/>
    <w:rsid w:val="00F1423E"/>
    <w:rsid w:val="00F14599"/>
    <w:rsid w:val="00F14688"/>
    <w:rsid w:val="00F14769"/>
    <w:rsid w:val="00F14971"/>
    <w:rsid w:val="00F14980"/>
    <w:rsid w:val="00F14A4F"/>
    <w:rsid w:val="00F14A64"/>
    <w:rsid w:val="00F14C9A"/>
    <w:rsid w:val="00F14EF6"/>
    <w:rsid w:val="00F1506F"/>
    <w:rsid w:val="00F15143"/>
    <w:rsid w:val="00F15260"/>
    <w:rsid w:val="00F15569"/>
    <w:rsid w:val="00F1568C"/>
    <w:rsid w:val="00F156BF"/>
    <w:rsid w:val="00F1590D"/>
    <w:rsid w:val="00F159B3"/>
    <w:rsid w:val="00F15CC2"/>
    <w:rsid w:val="00F15DFA"/>
    <w:rsid w:val="00F16333"/>
    <w:rsid w:val="00F16342"/>
    <w:rsid w:val="00F1651E"/>
    <w:rsid w:val="00F16788"/>
    <w:rsid w:val="00F16796"/>
    <w:rsid w:val="00F16850"/>
    <w:rsid w:val="00F16910"/>
    <w:rsid w:val="00F169D0"/>
    <w:rsid w:val="00F16B0D"/>
    <w:rsid w:val="00F16B6F"/>
    <w:rsid w:val="00F16DFD"/>
    <w:rsid w:val="00F16E42"/>
    <w:rsid w:val="00F170C5"/>
    <w:rsid w:val="00F170D6"/>
    <w:rsid w:val="00F17125"/>
    <w:rsid w:val="00F1724A"/>
    <w:rsid w:val="00F17558"/>
    <w:rsid w:val="00F175D0"/>
    <w:rsid w:val="00F1763D"/>
    <w:rsid w:val="00F176A3"/>
    <w:rsid w:val="00F17922"/>
    <w:rsid w:val="00F179B7"/>
    <w:rsid w:val="00F17BA5"/>
    <w:rsid w:val="00F17C4D"/>
    <w:rsid w:val="00F17D7F"/>
    <w:rsid w:val="00F2010B"/>
    <w:rsid w:val="00F2011C"/>
    <w:rsid w:val="00F201D3"/>
    <w:rsid w:val="00F202C7"/>
    <w:rsid w:val="00F2037D"/>
    <w:rsid w:val="00F20487"/>
    <w:rsid w:val="00F204A7"/>
    <w:rsid w:val="00F204F7"/>
    <w:rsid w:val="00F20913"/>
    <w:rsid w:val="00F2093D"/>
    <w:rsid w:val="00F20B8F"/>
    <w:rsid w:val="00F20BE2"/>
    <w:rsid w:val="00F20FB4"/>
    <w:rsid w:val="00F21066"/>
    <w:rsid w:val="00F21096"/>
    <w:rsid w:val="00F21420"/>
    <w:rsid w:val="00F21449"/>
    <w:rsid w:val="00F2146F"/>
    <w:rsid w:val="00F2167E"/>
    <w:rsid w:val="00F21685"/>
    <w:rsid w:val="00F218C5"/>
    <w:rsid w:val="00F21A00"/>
    <w:rsid w:val="00F21BA6"/>
    <w:rsid w:val="00F2203A"/>
    <w:rsid w:val="00F22182"/>
    <w:rsid w:val="00F221AF"/>
    <w:rsid w:val="00F22296"/>
    <w:rsid w:val="00F222D1"/>
    <w:rsid w:val="00F223AC"/>
    <w:rsid w:val="00F223FE"/>
    <w:rsid w:val="00F22537"/>
    <w:rsid w:val="00F22877"/>
    <w:rsid w:val="00F22891"/>
    <w:rsid w:val="00F22993"/>
    <w:rsid w:val="00F22B96"/>
    <w:rsid w:val="00F22C47"/>
    <w:rsid w:val="00F22CE5"/>
    <w:rsid w:val="00F22E49"/>
    <w:rsid w:val="00F230A5"/>
    <w:rsid w:val="00F231B7"/>
    <w:rsid w:val="00F2336C"/>
    <w:rsid w:val="00F236CF"/>
    <w:rsid w:val="00F23773"/>
    <w:rsid w:val="00F23B3B"/>
    <w:rsid w:val="00F23BDD"/>
    <w:rsid w:val="00F23BE8"/>
    <w:rsid w:val="00F23E23"/>
    <w:rsid w:val="00F23E2E"/>
    <w:rsid w:val="00F245F7"/>
    <w:rsid w:val="00F24689"/>
    <w:rsid w:val="00F24718"/>
    <w:rsid w:val="00F24829"/>
    <w:rsid w:val="00F24846"/>
    <w:rsid w:val="00F24AC2"/>
    <w:rsid w:val="00F24BD3"/>
    <w:rsid w:val="00F24C2E"/>
    <w:rsid w:val="00F24D51"/>
    <w:rsid w:val="00F24E88"/>
    <w:rsid w:val="00F24E8E"/>
    <w:rsid w:val="00F25054"/>
    <w:rsid w:val="00F2518C"/>
    <w:rsid w:val="00F251C0"/>
    <w:rsid w:val="00F251FB"/>
    <w:rsid w:val="00F25239"/>
    <w:rsid w:val="00F25319"/>
    <w:rsid w:val="00F2544F"/>
    <w:rsid w:val="00F254C3"/>
    <w:rsid w:val="00F255C9"/>
    <w:rsid w:val="00F257C8"/>
    <w:rsid w:val="00F25E6F"/>
    <w:rsid w:val="00F26143"/>
    <w:rsid w:val="00F2614E"/>
    <w:rsid w:val="00F26458"/>
    <w:rsid w:val="00F2667E"/>
    <w:rsid w:val="00F266D8"/>
    <w:rsid w:val="00F26726"/>
    <w:rsid w:val="00F26775"/>
    <w:rsid w:val="00F267D8"/>
    <w:rsid w:val="00F26871"/>
    <w:rsid w:val="00F269BB"/>
    <w:rsid w:val="00F269F6"/>
    <w:rsid w:val="00F26ABF"/>
    <w:rsid w:val="00F26D27"/>
    <w:rsid w:val="00F26DA0"/>
    <w:rsid w:val="00F26E83"/>
    <w:rsid w:val="00F26F37"/>
    <w:rsid w:val="00F26F9A"/>
    <w:rsid w:val="00F27053"/>
    <w:rsid w:val="00F2706D"/>
    <w:rsid w:val="00F274F1"/>
    <w:rsid w:val="00F278E7"/>
    <w:rsid w:val="00F27938"/>
    <w:rsid w:val="00F279E0"/>
    <w:rsid w:val="00F27A8D"/>
    <w:rsid w:val="00F27B25"/>
    <w:rsid w:val="00F27C75"/>
    <w:rsid w:val="00F27F0E"/>
    <w:rsid w:val="00F27F1E"/>
    <w:rsid w:val="00F27FB1"/>
    <w:rsid w:val="00F27FD6"/>
    <w:rsid w:val="00F3034C"/>
    <w:rsid w:val="00F30390"/>
    <w:rsid w:val="00F30408"/>
    <w:rsid w:val="00F3061B"/>
    <w:rsid w:val="00F3062A"/>
    <w:rsid w:val="00F30773"/>
    <w:rsid w:val="00F3079B"/>
    <w:rsid w:val="00F308BF"/>
    <w:rsid w:val="00F30C12"/>
    <w:rsid w:val="00F30D55"/>
    <w:rsid w:val="00F30FFB"/>
    <w:rsid w:val="00F31481"/>
    <w:rsid w:val="00F316F2"/>
    <w:rsid w:val="00F31995"/>
    <w:rsid w:val="00F31ACA"/>
    <w:rsid w:val="00F31DC9"/>
    <w:rsid w:val="00F32213"/>
    <w:rsid w:val="00F327A1"/>
    <w:rsid w:val="00F32849"/>
    <w:rsid w:val="00F32999"/>
    <w:rsid w:val="00F32B6F"/>
    <w:rsid w:val="00F32BDF"/>
    <w:rsid w:val="00F32BE1"/>
    <w:rsid w:val="00F32BEA"/>
    <w:rsid w:val="00F32C11"/>
    <w:rsid w:val="00F32C5A"/>
    <w:rsid w:val="00F32CB9"/>
    <w:rsid w:val="00F32CBC"/>
    <w:rsid w:val="00F32D6C"/>
    <w:rsid w:val="00F32F56"/>
    <w:rsid w:val="00F330D6"/>
    <w:rsid w:val="00F33181"/>
    <w:rsid w:val="00F332BA"/>
    <w:rsid w:val="00F3331A"/>
    <w:rsid w:val="00F33547"/>
    <w:rsid w:val="00F3358C"/>
    <w:rsid w:val="00F3366C"/>
    <w:rsid w:val="00F336E3"/>
    <w:rsid w:val="00F33AC8"/>
    <w:rsid w:val="00F33D13"/>
    <w:rsid w:val="00F33D2E"/>
    <w:rsid w:val="00F33FBC"/>
    <w:rsid w:val="00F33FC9"/>
    <w:rsid w:val="00F3402A"/>
    <w:rsid w:val="00F34187"/>
    <w:rsid w:val="00F341C4"/>
    <w:rsid w:val="00F34255"/>
    <w:rsid w:val="00F34271"/>
    <w:rsid w:val="00F3458E"/>
    <w:rsid w:val="00F345A9"/>
    <w:rsid w:val="00F34695"/>
    <w:rsid w:val="00F347B1"/>
    <w:rsid w:val="00F347CB"/>
    <w:rsid w:val="00F34856"/>
    <w:rsid w:val="00F34B5C"/>
    <w:rsid w:val="00F34CD9"/>
    <w:rsid w:val="00F34F8F"/>
    <w:rsid w:val="00F352A6"/>
    <w:rsid w:val="00F352DB"/>
    <w:rsid w:val="00F35425"/>
    <w:rsid w:val="00F3574E"/>
    <w:rsid w:val="00F357A2"/>
    <w:rsid w:val="00F3586F"/>
    <w:rsid w:val="00F35C5A"/>
    <w:rsid w:val="00F35CBE"/>
    <w:rsid w:val="00F35D35"/>
    <w:rsid w:val="00F35F0C"/>
    <w:rsid w:val="00F35FBD"/>
    <w:rsid w:val="00F361B1"/>
    <w:rsid w:val="00F36292"/>
    <w:rsid w:val="00F36449"/>
    <w:rsid w:val="00F366CE"/>
    <w:rsid w:val="00F3670E"/>
    <w:rsid w:val="00F3684A"/>
    <w:rsid w:val="00F3697D"/>
    <w:rsid w:val="00F369E2"/>
    <w:rsid w:val="00F36A0D"/>
    <w:rsid w:val="00F36A57"/>
    <w:rsid w:val="00F36B49"/>
    <w:rsid w:val="00F36DB2"/>
    <w:rsid w:val="00F36DD4"/>
    <w:rsid w:val="00F36E72"/>
    <w:rsid w:val="00F36EA0"/>
    <w:rsid w:val="00F37415"/>
    <w:rsid w:val="00F374B0"/>
    <w:rsid w:val="00F374D8"/>
    <w:rsid w:val="00F37833"/>
    <w:rsid w:val="00F378D5"/>
    <w:rsid w:val="00F37D3F"/>
    <w:rsid w:val="00F37D6C"/>
    <w:rsid w:val="00F37E4A"/>
    <w:rsid w:val="00F400A3"/>
    <w:rsid w:val="00F40126"/>
    <w:rsid w:val="00F40368"/>
    <w:rsid w:val="00F40400"/>
    <w:rsid w:val="00F40413"/>
    <w:rsid w:val="00F404AD"/>
    <w:rsid w:val="00F404EB"/>
    <w:rsid w:val="00F40B04"/>
    <w:rsid w:val="00F40BD4"/>
    <w:rsid w:val="00F40D86"/>
    <w:rsid w:val="00F410E2"/>
    <w:rsid w:val="00F4142E"/>
    <w:rsid w:val="00F41BB7"/>
    <w:rsid w:val="00F41C19"/>
    <w:rsid w:val="00F41D54"/>
    <w:rsid w:val="00F41EE9"/>
    <w:rsid w:val="00F420E0"/>
    <w:rsid w:val="00F420EB"/>
    <w:rsid w:val="00F421BF"/>
    <w:rsid w:val="00F42782"/>
    <w:rsid w:val="00F42B63"/>
    <w:rsid w:val="00F42C01"/>
    <w:rsid w:val="00F42C7D"/>
    <w:rsid w:val="00F42C9A"/>
    <w:rsid w:val="00F42DE9"/>
    <w:rsid w:val="00F42E6D"/>
    <w:rsid w:val="00F42E7D"/>
    <w:rsid w:val="00F4305A"/>
    <w:rsid w:val="00F43061"/>
    <w:rsid w:val="00F43098"/>
    <w:rsid w:val="00F4335C"/>
    <w:rsid w:val="00F43420"/>
    <w:rsid w:val="00F4349F"/>
    <w:rsid w:val="00F434CA"/>
    <w:rsid w:val="00F434FD"/>
    <w:rsid w:val="00F4370C"/>
    <w:rsid w:val="00F4374C"/>
    <w:rsid w:val="00F43AA8"/>
    <w:rsid w:val="00F43B28"/>
    <w:rsid w:val="00F44288"/>
    <w:rsid w:val="00F44552"/>
    <w:rsid w:val="00F44618"/>
    <w:rsid w:val="00F44642"/>
    <w:rsid w:val="00F44679"/>
    <w:rsid w:val="00F44766"/>
    <w:rsid w:val="00F447E2"/>
    <w:rsid w:val="00F44841"/>
    <w:rsid w:val="00F44C48"/>
    <w:rsid w:val="00F44DA8"/>
    <w:rsid w:val="00F45287"/>
    <w:rsid w:val="00F45678"/>
    <w:rsid w:val="00F45717"/>
    <w:rsid w:val="00F4579F"/>
    <w:rsid w:val="00F457B9"/>
    <w:rsid w:val="00F4583C"/>
    <w:rsid w:val="00F45C39"/>
    <w:rsid w:val="00F45D2A"/>
    <w:rsid w:val="00F45DA5"/>
    <w:rsid w:val="00F45F01"/>
    <w:rsid w:val="00F46212"/>
    <w:rsid w:val="00F467AA"/>
    <w:rsid w:val="00F469DD"/>
    <w:rsid w:val="00F46A51"/>
    <w:rsid w:val="00F46A65"/>
    <w:rsid w:val="00F46D8F"/>
    <w:rsid w:val="00F46E38"/>
    <w:rsid w:val="00F46F2D"/>
    <w:rsid w:val="00F4705F"/>
    <w:rsid w:val="00F474F8"/>
    <w:rsid w:val="00F478B9"/>
    <w:rsid w:val="00F479CB"/>
    <w:rsid w:val="00F47BCF"/>
    <w:rsid w:val="00F47BE4"/>
    <w:rsid w:val="00F47D5C"/>
    <w:rsid w:val="00F47E1D"/>
    <w:rsid w:val="00F47F25"/>
    <w:rsid w:val="00F50024"/>
    <w:rsid w:val="00F5003E"/>
    <w:rsid w:val="00F5013F"/>
    <w:rsid w:val="00F50278"/>
    <w:rsid w:val="00F503B1"/>
    <w:rsid w:val="00F504AE"/>
    <w:rsid w:val="00F50697"/>
    <w:rsid w:val="00F50879"/>
    <w:rsid w:val="00F508AC"/>
    <w:rsid w:val="00F50AB3"/>
    <w:rsid w:val="00F50C58"/>
    <w:rsid w:val="00F50C7D"/>
    <w:rsid w:val="00F50CAC"/>
    <w:rsid w:val="00F510B1"/>
    <w:rsid w:val="00F511EE"/>
    <w:rsid w:val="00F51306"/>
    <w:rsid w:val="00F515C3"/>
    <w:rsid w:val="00F51707"/>
    <w:rsid w:val="00F5172B"/>
    <w:rsid w:val="00F518A5"/>
    <w:rsid w:val="00F518DB"/>
    <w:rsid w:val="00F51940"/>
    <w:rsid w:val="00F51A25"/>
    <w:rsid w:val="00F51C75"/>
    <w:rsid w:val="00F51CA8"/>
    <w:rsid w:val="00F51F09"/>
    <w:rsid w:val="00F521B2"/>
    <w:rsid w:val="00F5245E"/>
    <w:rsid w:val="00F5256C"/>
    <w:rsid w:val="00F52696"/>
    <w:rsid w:val="00F52972"/>
    <w:rsid w:val="00F52A25"/>
    <w:rsid w:val="00F52B87"/>
    <w:rsid w:val="00F52C20"/>
    <w:rsid w:val="00F52F53"/>
    <w:rsid w:val="00F532E9"/>
    <w:rsid w:val="00F535FF"/>
    <w:rsid w:val="00F537C1"/>
    <w:rsid w:val="00F5385C"/>
    <w:rsid w:val="00F53B9F"/>
    <w:rsid w:val="00F53CD7"/>
    <w:rsid w:val="00F53D0F"/>
    <w:rsid w:val="00F541B7"/>
    <w:rsid w:val="00F541BF"/>
    <w:rsid w:val="00F541F3"/>
    <w:rsid w:val="00F54396"/>
    <w:rsid w:val="00F5443E"/>
    <w:rsid w:val="00F5444E"/>
    <w:rsid w:val="00F54481"/>
    <w:rsid w:val="00F54597"/>
    <w:rsid w:val="00F54766"/>
    <w:rsid w:val="00F547A8"/>
    <w:rsid w:val="00F54A1E"/>
    <w:rsid w:val="00F54AFE"/>
    <w:rsid w:val="00F54C2F"/>
    <w:rsid w:val="00F54EAE"/>
    <w:rsid w:val="00F54FF3"/>
    <w:rsid w:val="00F55132"/>
    <w:rsid w:val="00F551D3"/>
    <w:rsid w:val="00F5523D"/>
    <w:rsid w:val="00F5564B"/>
    <w:rsid w:val="00F556D7"/>
    <w:rsid w:val="00F557DA"/>
    <w:rsid w:val="00F557FE"/>
    <w:rsid w:val="00F558CC"/>
    <w:rsid w:val="00F55F52"/>
    <w:rsid w:val="00F55F55"/>
    <w:rsid w:val="00F56131"/>
    <w:rsid w:val="00F561D3"/>
    <w:rsid w:val="00F563A7"/>
    <w:rsid w:val="00F56977"/>
    <w:rsid w:val="00F56B50"/>
    <w:rsid w:val="00F56DE1"/>
    <w:rsid w:val="00F56E5A"/>
    <w:rsid w:val="00F56F35"/>
    <w:rsid w:val="00F570AC"/>
    <w:rsid w:val="00F571B3"/>
    <w:rsid w:val="00F57505"/>
    <w:rsid w:val="00F57758"/>
    <w:rsid w:val="00F578A6"/>
    <w:rsid w:val="00F57915"/>
    <w:rsid w:val="00F57A7B"/>
    <w:rsid w:val="00F57AC7"/>
    <w:rsid w:val="00F57C7A"/>
    <w:rsid w:val="00F57C91"/>
    <w:rsid w:val="00F600B2"/>
    <w:rsid w:val="00F60135"/>
    <w:rsid w:val="00F60451"/>
    <w:rsid w:val="00F60520"/>
    <w:rsid w:val="00F60604"/>
    <w:rsid w:val="00F60673"/>
    <w:rsid w:val="00F60703"/>
    <w:rsid w:val="00F60855"/>
    <w:rsid w:val="00F6085D"/>
    <w:rsid w:val="00F60955"/>
    <w:rsid w:val="00F60991"/>
    <w:rsid w:val="00F60D8E"/>
    <w:rsid w:val="00F60F87"/>
    <w:rsid w:val="00F6105D"/>
    <w:rsid w:val="00F614C2"/>
    <w:rsid w:val="00F6157D"/>
    <w:rsid w:val="00F6177D"/>
    <w:rsid w:val="00F61A6B"/>
    <w:rsid w:val="00F61A6C"/>
    <w:rsid w:val="00F61A89"/>
    <w:rsid w:val="00F61AD7"/>
    <w:rsid w:val="00F61BA3"/>
    <w:rsid w:val="00F61EB7"/>
    <w:rsid w:val="00F62215"/>
    <w:rsid w:val="00F62625"/>
    <w:rsid w:val="00F628CE"/>
    <w:rsid w:val="00F628F4"/>
    <w:rsid w:val="00F62A91"/>
    <w:rsid w:val="00F62D3F"/>
    <w:rsid w:val="00F630BB"/>
    <w:rsid w:val="00F630EC"/>
    <w:rsid w:val="00F63105"/>
    <w:rsid w:val="00F63139"/>
    <w:rsid w:val="00F635FD"/>
    <w:rsid w:val="00F637A2"/>
    <w:rsid w:val="00F637CB"/>
    <w:rsid w:val="00F639A9"/>
    <w:rsid w:val="00F63A38"/>
    <w:rsid w:val="00F63BF9"/>
    <w:rsid w:val="00F63F04"/>
    <w:rsid w:val="00F6407F"/>
    <w:rsid w:val="00F6431C"/>
    <w:rsid w:val="00F6434F"/>
    <w:rsid w:val="00F6438C"/>
    <w:rsid w:val="00F64429"/>
    <w:rsid w:val="00F644DA"/>
    <w:rsid w:val="00F644FA"/>
    <w:rsid w:val="00F64540"/>
    <w:rsid w:val="00F645DD"/>
    <w:rsid w:val="00F646C9"/>
    <w:rsid w:val="00F64AA8"/>
    <w:rsid w:val="00F64D34"/>
    <w:rsid w:val="00F65130"/>
    <w:rsid w:val="00F6558F"/>
    <w:rsid w:val="00F656D7"/>
    <w:rsid w:val="00F65ACC"/>
    <w:rsid w:val="00F65AE2"/>
    <w:rsid w:val="00F65B86"/>
    <w:rsid w:val="00F65BCC"/>
    <w:rsid w:val="00F65C66"/>
    <w:rsid w:val="00F65FE2"/>
    <w:rsid w:val="00F6600D"/>
    <w:rsid w:val="00F6639C"/>
    <w:rsid w:val="00F664D8"/>
    <w:rsid w:val="00F66531"/>
    <w:rsid w:val="00F66741"/>
    <w:rsid w:val="00F66839"/>
    <w:rsid w:val="00F668C4"/>
    <w:rsid w:val="00F668E8"/>
    <w:rsid w:val="00F66AFB"/>
    <w:rsid w:val="00F66C99"/>
    <w:rsid w:val="00F66C9B"/>
    <w:rsid w:val="00F66CE6"/>
    <w:rsid w:val="00F66DF6"/>
    <w:rsid w:val="00F66E41"/>
    <w:rsid w:val="00F66F9E"/>
    <w:rsid w:val="00F6712E"/>
    <w:rsid w:val="00F672D8"/>
    <w:rsid w:val="00F6739C"/>
    <w:rsid w:val="00F673F2"/>
    <w:rsid w:val="00F67477"/>
    <w:rsid w:val="00F67691"/>
    <w:rsid w:val="00F676A5"/>
    <w:rsid w:val="00F6773E"/>
    <w:rsid w:val="00F6795B"/>
    <w:rsid w:val="00F679AB"/>
    <w:rsid w:val="00F67A9F"/>
    <w:rsid w:val="00F67B29"/>
    <w:rsid w:val="00F67BFB"/>
    <w:rsid w:val="00F67F2A"/>
    <w:rsid w:val="00F7000B"/>
    <w:rsid w:val="00F703CD"/>
    <w:rsid w:val="00F704A0"/>
    <w:rsid w:val="00F70503"/>
    <w:rsid w:val="00F70592"/>
    <w:rsid w:val="00F705F0"/>
    <w:rsid w:val="00F70683"/>
    <w:rsid w:val="00F70742"/>
    <w:rsid w:val="00F70925"/>
    <w:rsid w:val="00F70A49"/>
    <w:rsid w:val="00F70A5A"/>
    <w:rsid w:val="00F70B46"/>
    <w:rsid w:val="00F70B6E"/>
    <w:rsid w:val="00F70BE0"/>
    <w:rsid w:val="00F70D7E"/>
    <w:rsid w:val="00F70DB6"/>
    <w:rsid w:val="00F70EDA"/>
    <w:rsid w:val="00F71164"/>
    <w:rsid w:val="00F712F7"/>
    <w:rsid w:val="00F7152D"/>
    <w:rsid w:val="00F718E1"/>
    <w:rsid w:val="00F71A2F"/>
    <w:rsid w:val="00F71B18"/>
    <w:rsid w:val="00F71B66"/>
    <w:rsid w:val="00F71BB4"/>
    <w:rsid w:val="00F71BCB"/>
    <w:rsid w:val="00F71C45"/>
    <w:rsid w:val="00F71D96"/>
    <w:rsid w:val="00F71F1B"/>
    <w:rsid w:val="00F72015"/>
    <w:rsid w:val="00F7227A"/>
    <w:rsid w:val="00F72539"/>
    <w:rsid w:val="00F725E5"/>
    <w:rsid w:val="00F72802"/>
    <w:rsid w:val="00F72869"/>
    <w:rsid w:val="00F72895"/>
    <w:rsid w:val="00F72960"/>
    <w:rsid w:val="00F72C30"/>
    <w:rsid w:val="00F72CB5"/>
    <w:rsid w:val="00F72D0D"/>
    <w:rsid w:val="00F73119"/>
    <w:rsid w:val="00F7350A"/>
    <w:rsid w:val="00F7359A"/>
    <w:rsid w:val="00F73602"/>
    <w:rsid w:val="00F7396F"/>
    <w:rsid w:val="00F73979"/>
    <w:rsid w:val="00F73A41"/>
    <w:rsid w:val="00F73DDC"/>
    <w:rsid w:val="00F73EE1"/>
    <w:rsid w:val="00F73F6F"/>
    <w:rsid w:val="00F742ED"/>
    <w:rsid w:val="00F74362"/>
    <w:rsid w:val="00F74420"/>
    <w:rsid w:val="00F745AD"/>
    <w:rsid w:val="00F74738"/>
    <w:rsid w:val="00F74761"/>
    <w:rsid w:val="00F7477E"/>
    <w:rsid w:val="00F7489C"/>
    <w:rsid w:val="00F7491E"/>
    <w:rsid w:val="00F74AF5"/>
    <w:rsid w:val="00F74B60"/>
    <w:rsid w:val="00F74B89"/>
    <w:rsid w:val="00F74F3F"/>
    <w:rsid w:val="00F75080"/>
    <w:rsid w:val="00F750E2"/>
    <w:rsid w:val="00F750FE"/>
    <w:rsid w:val="00F7510F"/>
    <w:rsid w:val="00F75191"/>
    <w:rsid w:val="00F75254"/>
    <w:rsid w:val="00F75456"/>
    <w:rsid w:val="00F754C9"/>
    <w:rsid w:val="00F75538"/>
    <w:rsid w:val="00F75773"/>
    <w:rsid w:val="00F757F9"/>
    <w:rsid w:val="00F758DA"/>
    <w:rsid w:val="00F75D8F"/>
    <w:rsid w:val="00F75EF3"/>
    <w:rsid w:val="00F7628C"/>
    <w:rsid w:val="00F76406"/>
    <w:rsid w:val="00F766B9"/>
    <w:rsid w:val="00F76751"/>
    <w:rsid w:val="00F76A21"/>
    <w:rsid w:val="00F76ABB"/>
    <w:rsid w:val="00F76C6C"/>
    <w:rsid w:val="00F76CBF"/>
    <w:rsid w:val="00F76E8B"/>
    <w:rsid w:val="00F76EA5"/>
    <w:rsid w:val="00F77104"/>
    <w:rsid w:val="00F77214"/>
    <w:rsid w:val="00F77297"/>
    <w:rsid w:val="00F77489"/>
    <w:rsid w:val="00F7750D"/>
    <w:rsid w:val="00F776C1"/>
    <w:rsid w:val="00F77715"/>
    <w:rsid w:val="00F77A07"/>
    <w:rsid w:val="00F77B65"/>
    <w:rsid w:val="00F77E1D"/>
    <w:rsid w:val="00F80095"/>
    <w:rsid w:val="00F803D4"/>
    <w:rsid w:val="00F8085B"/>
    <w:rsid w:val="00F808DC"/>
    <w:rsid w:val="00F80904"/>
    <w:rsid w:val="00F80A2F"/>
    <w:rsid w:val="00F80A5E"/>
    <w:rsid w:val="00F80A8F"/>
    <w:rsid w:val="00F80C2E"/>
    <w:rsid w:val="00F80DC0"/>
    <w:rsid w:val="00F80E3A"/>
    <w:rsid w:val="00F8118B"/>
    <w:rsid w:val="00F81281"/>
    <w:rsid w:val="00F81293"/>
    <w:rsid w:val="00F813A1"/>
    <w:rsid w:val="00F813FC"/>
    <w:rsid w:val="00F819C7"/>
    <w:rsid w:val="00F81E21"/>
    <w:rsid w:val="00F81E7E"/>
    <w:rsid w:val="00F81EAF"/>
    <w:rsid w:val="00F81F68"/>
    <w:rsid w:val="00F82217"/>
    <w:rsid w:val="00F824B7"/>
    <w:rsid w:val="00F82579"/>
    <w:rsid w:val="00F82765"/>
    <w:rsid w:val="00F8277E"/>
    <w:rsid w:val="00F82D49"/>
    <w:rsid w:val="00F82D57"/>
    <w:rsid w:val="00F82F63"/>
    <w:rsid w:val="00F82FDA"/>
    <w:rsid w:val="00F8308C"/>
    <w:rsid w:val="00F830E3"/>
    <w:rsid w:val="00F83334"/>
    <w:rsid w:val="00F83460"/>
    <w:rsid w:val="00F83494"/>
    <w:rsid w:val="00F83665"/>
    <w:rsid w:val="00F83956"/>
    <w:rsid w:val="00F83A54"/>
    <w:rsid w:val="00F83B2B"/>
    <w:rsid w:val="00F83B8E"/>
    <w:rsid w:val="00F83D17"/>
    <w:rsid w:val="00F83EAE"/>
    <w:rsid w:val="00F83EEA"/>
    <w:rsid w:val="00F84209"/>
    <w:rsid w:val="00F84634"/>
    <w:rsid w:val="00F84B3D"/>
    <w:rsid w:val="00F84C88"/>
    <w:rsid w:val="00F84EBD"/>
    <w:rsid w:val="00F84F39"/>
    <w:rsid w:val="00F84FC7"/>
    <w:rsid w:val="00F85068"/>
    <w:rsid w:val="00F850C4"/>
    <w:rsid w:val="00F8517F"/>
    <w:rsid w:val="00F8520A"/>
    <w:rsid w:val="00F85276"/>
    <w:rsid w:val="00F853CE"/>
    <w:rsid w:val="00F85402"/>
    <w:rsid w:val="00F85468"/>
    <w:rsid w:val="00F85543"/>
    <w:rsid w:val="00F8572A"/>
    <w:rsid w:val="00F85788"/>
    <w:rsid w:val="00F8582E"/>
    <w:rsid w:val="00F8595D"/>
    <w:rsid w:val="00F85B2E"/>
    <w:rsid w:val="00F85D16"/>
    <w:rsid w:val="00F85D1C"/>
    <w:rsid w:val="00F85EC5"/>
    <w:rsid w:val="00F85EE4"/>
    <w:rsid w:val="00F85EF9"/>
    <w:rsid w:val="00F86090"/>
    <w:rsid w:val="00F862FD"/>
    <w:rsid w:val="00F865FB"/>
    <w:rsid w:val="00F8679E"/>
    <w:rsid w:val="00F867B4"/>
    <w:rsid w:val="00F867FE"/>
    <w:rsid w:val="00F8685F"/>
    <w:rsid w:val="00F86966"/>
    <w:rsid w:val="00F86995"/>
    <w:rsid w:val="00F86B01"/>
    <w:rsid w:val="00F86F15"/>
    <w:rsid w:val="00F87202"/>
    <w:rsid w:val="00F87370"/>
    <w:rsid w:val="00F873AC"/>
    <w:rsid w:val="00F8751A"/>
    <w:rsid w:val="00F87674"/>
    <w:rsid w:val="00F8770C"/>
    <w:rsid w:val="00F87840"/>
    <w:rsid w:val="00F879EC"/>
    <w:rsid w:val="00F87A42"/>
    <w:rsid w:val="00F87BA2"/>
    <w:rsid w:val="00F87C11"/>
    <w:rsid w:val="00F87C2E"/>
    <w:rsid w:val="00F87DEC"/>
    <w:rsid w:val="00F87E09"/>
    <w:rsid w:val="00F87F4C"/>
    <w:rsid w:val="00F87FF2"/>
    <w:rsid w:val="00F903FF"/>
    <w:rsid w:val="00F906C3"/>
    <w:rsid w:val="00F90920"/>
    <w:rsid w:val="00F9095E"/>
    <w:rsid w:val="00F90986"/>
    <w:rsid w:val="00F90A3C"/>
    <w:rsid w:val="00F90B1A"/>
    <w:rsid w:val="00F90D1E"/>
    <w:rsid w:val="00F90FD4"/>
    <w:rsid w:val="00F91261"/>
    <w:rsid w:val="00F912F4"/>
    <w:rsid w:val="00F914D6"/>
    <w:rsid w:val="00F915AC"/>
    <w:rsid w:val="00F91611"/>
    <w:rsid w:val="00F9162B"/>
    <w:rsid w:val="00F917AA"/>
    <w:rsid w:val="00F91CD4"/>
    <w:rsid w:val="00F91D32"/>
    <w:rsid w:val="00F91E2E"/>
    <w:rsid w:val="00F91E9A"/>
    <w:rsid w:val="00F920FD"/>
    <w:rsid w:val="00F9220A"/>
    <w:rsid w:val="00F92221"/>
    <w:rsid w:val="00F9225D"/>
    <w:rsid w:val="00F92382"/>
    <w:rsid w:val="00F926A7"/>
    <w:rsid w:val="00F9278E"/>
    <w:rsid w:val="00F9287B"/>
    <w:rsid w:val="00F92C44"/>
    <w:rsid w:val="00F92DF9"/>
    <w:rsid w:val="00F92EC4"/>
    <w:rsid w:val="00F9342A"/>
    <w:rsid w:val="00F93455"/>
    <w:rsid w:val="00F93580"/>
    <w:rsid w:val="00F9384B"/>
    <w:rsid w:val="00F93A93"/>
    <w:rsid w:val="00F93D41"/>
    <w:rsid w:val="00F93EDE"/>
    <w:rsid w:val="00F93F43"/>
    <w:rsid w:val="00F94276"/>
    <w:rsid w:val="00F94380"/>
    <w:rsid w:val="00F9444E"/>
    <w:rsid w:val="00F945E6"/>
    <w:rsid w:val="00F9466F"/>
    <w:rsid w:val="00F947E7"/>
    <w:rsid w:val="00F948D6"/>
    <w:rsid w:val="00F949EE"/>
    <w:rsid w:val="00F94B75"/>
    <w:rsid w:val="00F94C0F"/>
    <w:rsid w:val="00F94FD8"/>
    <w:rsid w:val="00F94FF6"/>
    <w:rsid w:val="00F9509C"/>
    <w:rsid w:val="00F950AF"/>
    <w:rsid w:val="00F9559E"/>
    <w:rsid w:val="00F95629"/>
    <w:rsid w:val="00F956CD"/>
    <w:rsid w:val="00F95876"/>
    <w:rsid w:val="00F958F1"/>
    <w:rsid w:val="00F95EF5"/>
    <w:rsid w:val="00F96060"/>
    <w:rsid w:val="00F960CA"/>
    <w:rsid w:val="00F962E0"/>
    <w:rsid w:val="00F96331"/>
    <w:rsid w:val="00F96493"/>
    <w:rsid w:val="00F9670E"/>
    <w:rsid w:val="00F969F0"/>
    <w:rsid w:val="00F96A58"/>
    <w:rsid w:val="00F96B0B"/>
    <w:rsid w:val="00F96B3E"/>
    <w:rsid w:val="00F96CE9"/>
    <w:rsid w:val="00F96DCA"/>
    <w:rsid w:val="00F96E68"/>
    <w:rsid w:val="00F96F70"/>
    <w:rsid w:val="00F96F7F"/>
    <w:rsid w:val="00F9704C"/>
    <w:rsid w:val="00F971C3"/>
    <w:rsid w:val="00F9722C"/>
    <w:rsid w:val="00F9725A"/>
    <w:rsid w:val="00F9740C"/>
    <w:rsid w:val="00F9762E"/>
    <w:rsid w:val="00F9778B"/>
    <w:rsid w:val="00F97B7C"/>
    <w:rsid w:val="00FA0099"/>
    <w:rsid w:val="00FA0394"/>
    <w:rsid w:val="00FA042A"/>
    <w:rsid w:val="00FA0454"/>
    <w:rsid w:val="00FA04BC"/>
    <w:rsid w:val="00FA06FB"/>
    <w:rsid w:val="00FA0D24"/>
    <w:rsid w:val="00FA0DEC"/>
    <w:rsid w:val="00FA0F70"/>
    <w:rsid w:val="00FA1158"/>
    <w:rsid w:val="00FA12AA"/>
    <w:rsid w:val="00FA1495"/>
    <w:rsid w:val="00FA1610"/>
    <w:rsid w:val="00FA16CD"/>
    <w:rsid w:val="00FA177E"/>
    <w:rsid w:val="00FA1A70"/>
    <w:rsid w:val="00FA1A8F"/>
    <w:rsid w:val="00FA1BCA"/>
    <w:rsid w:val="00FA1BD2"/>
    <w:rsid w:val="00FA1C21"/>
    <w:rsid w:val="00FA1CF4"/>
    <w:rsid w:val="00FA1DD0"/>
    <w:rsid w:val="00FA1DFE"/>
    <w:rsid w:val="00FA1E5D"/>
    <w:rsid w:val="00FA1F65"/>
    <w:rsid w:val="00FA1F73"/>
    <w:rsid w:val="00FA1FDF"/>
    <w:rsid w:val="00FA212E"/>
    <w:rsid w:val="00FA229A"/>
    <w:rsid w:val="00FA23DD"/>
    <w:rsid w:val="00FA2468"/>
    <w:rsid w:val="00FA24A7"/>
    <w:rsid w:val="00FA24EE"/>
    <w:rsid w:val="00FA2761"/>
    <w:rsid w:val="00FA2867"/>
    <w:rsid w:val="00FA298D"/>
    <w:rsid w:val="00FA34CF"/>
    <w:rsid w:val="00FA3649"/>
    <w:rsid w:val="00FA3676"/>
    <w:rsid w:val="00FA3972"/>
    <w:rsid w:val="00FA39BE"/>
    <w:rsid w:val="00FA3D5F"/>
    <w:rsid w:val="00FA3D75"/>
    <w:rsid w:val="00FA3D9C"/>
    <w:rsid w:val="00FA3DD0"/>
    <w:rsid w:val="00FA3F12"/>
    <w:rsid w:val="00FA3F58"/>
    <w:rsid w:val="00FA444C"/>
    <w:rsid w:val="00FA460A"/>
    <w:rsid w:val="00FA4967"/>
    <w:rsid w:val="00FA49A1"/>
    <w:rsid w:val="00FA49A6"/>
    <w:rsid w:val="00FA4ACF"/>
    <w:rsid w:val="00FA4BDB"/>
    <w:rsid w:val="00FA4BFE"/>
    <w:rsid w:val="00FA4D53"/>
    <w:rsid w:val="00FA4EE0"/>
    <w:rsid w:val="00FA4EF7"/>
    <w:rsid w:val="00FA5001"/>
    <w:rsid w:val="00FA5164"/>
    <w:rsid w:val="00FA5205"/>
    <w:rsid w:val="00FA539E"/>
    <w:rsid w:val="00FA5506"/>
    <w:rsid w:val="00FA5536"/>
    <w:rsid w:val="00FA56C5"/>
    <w:rsid w:val="00FA5779"/>
    <w:rsid w:val="00FA57A8"/>
    <w:rsid w:val="00FA580B"/>
    <w:rsid w:val="00FA586D"/>
    <w:rsid w:val="00FA58AE"/>
    <w:rsid w:val="00FA59F3"/>
    <w:rsid w:val="00FA5A5A"/>
    <w:rsid w:val="00FA5B85"/>
    <w:rsid w:val="00FA5D45"/>
    <w:rsid w:val="00FA5F93"/>
    <w:rsid w:val="00FA5FCA"/>
    <w:rsid w:val="00FA5FD9"/>
    <w:rsid w:val="00FA612A"/>
    <w:rsid w:val="00FA6359"/>
    <w:rsid w:val="00FA63A3"/>
    <w:rsid w:val="00FA6436"/>
    <w:rsid w:val="00FA6620"/>
    <w:rsid w:val="00FA666C"/>
    <w:rsid w:val="00FA687B"/>
    <w:rsid w:val="00FA68D2"/>
    <w:rsid w:val="00FA69A0"/>
    <w:rsid w:val="00FA69CC"/>
    <w:rsid w:val="00FA6BFA"/>
    <w:rsid w:val="00FA6CDF"/>
    <w:rsid w:val="00FA6E68"/>
    <w:rsid w:val="00FA70AD"/>
    <w:rsid w:val="00FA7281"/>
    <w:rsid w:val="00FA731A"/>
    <w:rsid w:val="00FA74C3"/>
    <w:rsid w:val="00FA74ED"/>
    <w:rsid w:val="00FA75A8"/>
    <w:rsid w:val="00FA768E"/>
    <w:rsid w:val="00FA76B6"/>
    <w:rsid w:val="00FA7816"/>
    <w:rsid w:val="00FA7952"/>
    <w:rsid w:val="00FA795E"/>
    <w:rsid w:val="00FA7C02"/>
    <w:rsid w:val="00FA7CBD"/>
    <w:rsid w:val="00FA7CCE"/>
    <w:rsid w:val="00FA7D61"/>
    <w:rsid w:val="00FA7EBF"/>
    <w:rsid w:val="00FA7ECC"/>
    <w:rsid w:val="00FB0304"/>
    <w:rsid w:val="00FB0399"/>
    <w:rsid w:val="00FB03D5"/>
    <w:rsid w:val="00FB0401"/>
    <w:rsid w:val="00FB0644"/>
    <w:rsid w:val="00FB06C9"/>
    <w:rsid w:val="00FB090E"/>
    <w:rsid w:val="00FB09A6"/>
    <w:rsid w:val="00FB09F8"/>
    <w:rsid w:val="00FB0A40"/>
    <w:rsid w:val="00FB0C17"/>
    <w:rsid w:val="00FB0D13"/>
    <w:rsid w:val="00FB0E49"/>
    <w:rsid w:val="00FB0F1A"/>
    <w:rsid w:val="00FB108D"/>
    <w:rsid w:val="00FB120F"/>
    <w:rsid w:val="00FB12EC"/>
    <w:rsid w:val="00FB137F"/>
    <w:rsid w:val="00FB159B"/>
    <w:rsid w:val="00FB1751"/>
    <w:rsid w:val="00FB1964"/>
    <w:rsid w:val="00FB1B81"/>
    <w:rsid w:val="00FB1B89"/>
    <w:rsid w:val="00FB1C23"/>
    <w:rsid w:val="00FB1EDD"/>
    <w:rsid w:val="00FB1EF7"/>
    <w:rsid w:val="00FB1F55"/>
    <w:rsid w:val="00FB1FD3"/>
    <w:rsid w:val="00FB2303"/>
    <w:rsid w:val="00FB26A1"/>
    <w:rsid w:val="00FB2772"/>
    <w:rsid w:val="00FB2791"/>
    <w:rsid w:val="00FB293E"/>
    <w:rsid w:val="00FB2957"/>
    <w:rsid w:val="00FB29BB"/>
    <w:rsid w:val="00FB2A5E"/>
    <w:rsid w:val="00FB2AAF"/>
    <w:rsid w:val="00FB2ADB"/>
    <w:rsid w:val="00FB2BFD"/>
    <w:rsid w:val="00FB2C48"/>
    <w:rsid w:val="00FB329F"/>
    <w:rsid w:val="00FB330F"/>
    <w:rsid w:val="00FB356F"/>
    <w:rsid w:val="00FB3798"/>
    <w:rsid w:val="00FB37FD"/>
    <w:rsid w:val="00FB39DC"/>
    <w:rsid w:val="00FB3C71"/>
    <w:rsid w:val="00FB3DB8"/>
    <w:rsid w:val="00FB3E09"/>
    <w:rsid w:val="00FB3FC7"/>
    <w:rsid w:val="00FB43E3"/>
    <w:rsid w:val="00FB440B"/>
    <w:rsid w:val="00FB45B2"/>
    <w:rsid w:val="00FB463E"/>
    <w:rsid w:val="00FB46B9"/>
    <w:rsid w:val="00FB47A9"/>
    <w:rsid w:val="00FB4819"/>
    <w:rsid w:val="00FB4B7A"/>
    <w:rsid w:val="00FB4B8D"/>
    <w:rsid w:val="00FB4D7C"/>
    <w:rsid w:val="00FB4E5B"/>
    <w:rsid w:val="00FB4ED8"/>
    <w:rsid w:val="00FB4F8D"/>
    <w:rsid w:val="00FB51A5"/>
    <w:rsid w:val="00FB5360"/>
    <w:rsid w:val="00FB547B"/>
    <w:rsid w:val="00FB5C09"/>
    <w:rsid w:val="00FB5D96"/>
    <w:rsid w:val="00FB5D98"/>
    <w:rsid w:val="00FB5E54"/>
    <w:rsid w:val="00FB5EE3"/>
    <w:rsid w:val="00FB6120"/>
    <w:rsid w:val="00FB61E0"/>
    <w:rsid w:val="00FB6269"/>
    <w:rsid w:val="00FB62FC"/>
    <w:rsid w:val="00FB63DD"/>
    <w:rsid w:val="00FB63E4"/>
    <w:rsid w:val="00FB654C"/>
    <w:rsid w:val="00FB6689"/>
    <w:rsid w:val="00FB68A5"/>
    <w:rsid w:val="00FB68E0"/>
    <w:rsid w:val="00FB6C17"/>
    <w:rsid w:val="00FB6C55"/>
    <w:rsid w:val="00FB6CE6"/>
    <w:rsid w:val="00FB6D90"/>
    <w:rsid w:val="00FB7044"/>
    <w:rsid w:val="00FB7059"/>
    <w:rsid w:val="00FB7066"/>
    <w:rsid w:val="00FB714F"/>
    <w:rsid w:val="00FB747E"/>
    <w:rsid w:val="00FB7494"/>
    <w:rsid w:val="00FB758D"/>
    <w:rsid w:val="00FB75D3"/>
    <w:rsid w:val="00FB764B"/>
    <w:rsid w:val="00FB76A2"/>
    <w:rsid w:val="00FB7713"/>
    <w:rsid w:val="00FB7873"/>
    <w:rsid w:val="00FB7886"/>
    <w:rsid w:val="00FB7A10"/>
    <w:rsid w:val="00FB7B7D"/>
    <w:rsid w:val="00FB7C11"/>
    <w:rsid w:val="00FB7C8E"/>
    <w:rsid w:val="00FB7F5B"/>
    <w:rsid w:val="00FC0004"/>
    <w:rsid w:val="00FC0050"/>
    <w:rsid w:val="00FC00E3"/>
    <w:rsid w:val="00FC02C1"/>
    <w:rsid w:val="00FC041D"/>
    <w:rsid w:val="00FC051B"/>
    <w:rsid w:val="00FC06D3"/>
    <w:rsid w:val="00FC074A"/>
    <w:rsid w:val="00FC09FA"/>
    <w:rsid w:val="00FC0A74"/>
    <w:rsid w:val="00FC0C22"/>
    <w:rsid w:val="00FC0E26"/>
    <w:rsid w:val="00FC0F63"/>
    <w:rsid w:val="00FC0FBC"/>
    <w:rsid w:val="00FC11D5"/>
    <w:rsid w:val="00FC1425"/>
    <w:rsid w:val="00FC15A6"/>
    <w:rsid w:val="00FC16F1"/>
    <w:rsid w:val="00FC1749"/>
    <w:rsid w:val="00FC18B2"/>
    <w:rsid w:val="00FC1919"/>
    <w:rsid w:val="00FC1D6D"/>
    <w:rsid w:val="00FC1DAF"/>
    <w:rsid w:val="00FC1EE4"/>
    <w:rsid w:val="00FC21B1"/>
    <w:rsid w:val="00FC22A9"/>
    <w:rsid w:val="00FC2480"/>
    <w:rsid w:val="00FC2571"/>
    <w:rsid w:val="00FC25A9"/>
    <w:rsid w:val="00FC2683"/>
    <w:rsid w:val="00FC2737"/>
    <w:rsid w:val="00FC27D0"/>
    <w:rsid w:val="00FC27FF"/>
    <w:rsid w:val="00FC2A67"/>
    <w:rsid w:val="00FC2E8D"/>
    <w:rsid w:val="00FC2EBB"/>
    <w:rsid w:val="00FC2FE2"/>
    <w:rsid w:val="00FC308E"/>
    <w:rsid w:val="00FC30D1"/>
    <w:rsid w:val="00FC3172"/>
    <w:rsid w:val="00FC3450"/>
    <w:rsid w:val="00FC3670"/>
    <w:rsid w:val="00FC3834"/>
    <w:rsid w:val="00FC3992"/>
    <w:rsid w:val="00FC3A36"/>
    <w:rsid w:val="00FC3B12"/>
    <w:rsid w:val="00FC3D4F"/>
    <w:rsid w:val="00FC3F43"/>
    <w:rsid w:val="00FC4013"/>
    <w:rsid w:val="00FC40EE"/>
    <w:rsid w:val="00FC4178"/>
    <w:rsid w:val="00FC4239"/>
    <w:rsid w:val="00FC4414"/>
    <w:rsid w:val="00FC4423"/>
    <w:rsid w:val="00FC4495"/>
    <w:rsid w:val="00FC449E"/>
    <w:rsid w:val="00FC4599"/>
    <w:rsid w:val="00FC46E7"/>
    <w:rsid w:val="00FC4A44"/>
    <w:rsid w:val="00FC4B53"/>
    <w:rsid w:val="00FC4DD7"/>
    <w:rsid w:val="00FC508C"/>
    <w:rsid w:val="00FC5216"/>
    <w:rsid w:val="00FC531B"/>
    <w:rsid w:val="00FC5546"/>
    <w:rsid w:val="00FC555C"/>
    <w:rsid w:val="00FC5646"/>
    <w:rsid w:val="00FC567E"/>
    <w:rsid w:val="00FC58ED"/>
    <w:rsid w:val="00FC5A5D"/>
    <w:rsid w:val="00FC5C33"/>
    <w:rsid w:val="00FC5C9F"/>
    <w:rsid w:val="00FC5CB8"/>
    <w:rsid w:val="00FC5D40"/>
    <w:rsid w:val="00FC5E78"/>
    <w:rsid w:val="00FC5FF2"/>
    <w:rsid w:val="00FC66E9"/>
    <w:rsid w:val="00FC6750"/>
    <w:rsid w:val="00FC6C23"/>
    <w:rsid w:val="00FC6C39"/>
    <w:rsid w:val="00FC7104"/>
    <w:rsid w:val="00FC717F"/>
    <w:rsid w:val="00FC7255"/>
    <w:rsid w:val="00FC72F7"/>
    <w:rsid w:val="00FC7346"/>
    <w:rsid w:val="00FC7347"/>
    <w:rsid w:val="00FC7530"/>
    <w:rsid w:val="00FC75B7"/>
    <w:rsid w:val="00FC76D6"/>
    <w:rsid w:val="00FC79A8"/>
    <w:rsid w:val="00FC79C7"/>
    <w:rsid w:val="00FC79F4"/>
    <w:rsid w:val="00FC7BA8"/>
    <w:rsid w:val="00FD001C"/>
    <w:rsid w:val="00FD018C"/>
    <w:rsid w:val="00FD02C0"/>
    <w:rsid w:val="00FD05FC"/>
    <w:rsid w:val="00FD0607"/>
    <w:rsid w:val="00FD0755"/>
    <w:rsid w:val="00FD087E"/>
    <w:rsid w:val="00FD094F"/>
    <w:rsid w:val="00FD0955"/>
    <w:rsid w:val="00FD0A13"/>
    <w:rsid w:val="00FD0B13"/>
    <w:rsid w:val="00FD0C11"/>
    <w:rsid w:val="00FD0C4A"/>
    <w:rsid w:val="00FD0C60"/>
    <w:rsid w:val="00FD0E29"/>
    <w:rsid w:val="00FD0ED3"/>
    <w:rsid w:val="00FD1002"/>
    <w:rsid w:val="00FD10AB"/>
    <w:rsid w:val="00FD1170"/>
    <w:rsid w:val="00FD119C"/>
    <w:rsid w:val="00FD1435"/>
    <w:rsid w:val="00FD1554"/>
    <w:rsid w:val="00FD1651"/>
    <w:rsid w:val="00FD18AE"/>
    <w:rsid w:val="00FD19FF"/>
    <w:rsid w:val="00FD1B55"/>
    <w:rsid w:val="00FD1CE6"/>
    <w:rsid w:val="00FD1D11"/>
    <w:rsid w:val="00FD1EA3"/>
    <w:rsid w:val="00FD1FDC"/>
    <w:rsid w:val="00FD20FE"/>
    <w:rsid w:val="00FD21D1"/>
    <w:rsid w:val="00FD2229"/>
    <w:rsid w:val="00FD2273"/>
    <w:rsid w:val="00FD22C5"/>
    <w:rsid w:val="00FD2332"/>
    <w:rsid w:val="00FD248A"/>
    <w:rsid w:val="00FD25A6"/>
    <w:rsid w:val="00FD25F9"/>
    <w:rsid w:val="00FD278E"/>
    <w:rsid w:val="00FD2B5A"/>
    <w:rsid w:val="00FD2D3E"/>
    <w:rsid w:val="00FD2E93"/>
    <w:rsid w:val="00FD2F94"/>
    <w:rsid w:val="00FD2FCB"/>
    <w:rsid w:val="00FD302B"/>
    <w:rsid w:val="00FD32D3"/>
    <w:rsid w:val="00FD33A5"/>
    <w:rsid w:val="00FD3496"/>
    <w:rsid w:val="00FD35BB"/>
    <w:rsid w:val="00FD35CD"/>
    <w:rsid w:val="00FD3E28"/>
    <w:rsid w:val="00FD3E35"/>
    <w:rsid w:val="00FD3E82"/>
    <w:rsid w:val="00FD3FED"/>
    <w:rsid w:val="00FD401A"/>
    <w:rsid w:val="00FD438A"/>
    <w:rsid w:val="00FD43CC"/>
    <w:rsid w:val="00FD455D"/>
    <w:rsid w:val="00FD4656"/>
    <w:rsid w:val="00FD4795"/>
    <w:rsid w:val="00FD4E17"/>
    <w:rsid w:val="00FD4FD4"/>
    <w:rsid w:val="00FD5561"/>
    <w:rsid w:val="00FD55BA"/>
    <w:rsid w:val="00FD5651"/>
    <w:rsid w:val="00FD5849"/>
    <w:rsid w:val="00FD595E"/>
    <w:rsid w:val="00FD5CE6"/>
    <w:rsid w:val="00FD5DA9"/>
    <w:rsid w:val="00FD5FAE"/>
    <w:rsid w:val="00FD679A"/>
    <w:rsid w:val="00FD6A44"/>
    <w:rsid w:val="00FD710D"/>
    <w:rsid w:val="00FD72D0"/>
    <w:rsid w:val="00FD7428"/>
    <w:rsid w:val="00FD7507"/>
    <w:rsid w:val="00FD769B"/>
    <w:rsid w:val="00FD76FE"/>
    <w:rsid w:val="00FD7766"/>
    <w:rsid w:val="00FD7773"/>
    <w:rsid w:val="00FD782D"/>
    <w:rsid w:val="00FD7898"/>
    <w:rsid w:val="00FD78C7"/>
    <w:rsid w:val="00FD7C48"/>
    <w:rsid w:val="00FD7C66"/>
    <w:rsid w:val="00FD7D45"/>
    <w:rsid w:val="00FD7E0F"/>
    <w:rsid w:val="00FD7F20"/>
    <w:rsid w:val="00FD7F60"/>
    <w:rsid w:val="00FD7FCA"/>
    <w:rsid w:val="00FE01D5"/>
    <w:rsid w:val="00FE02E4"/>
    <w:rsid w:val="00FE0401"/>
    <w:rsid w:val="00FE05E2"/>
    <w:rsid w:val="00FE07B9"/>
    <w:rsid w:val="00FE07F8"/>
    <w:rsid w:val="00FE08C4"/>
    <w:rsid w:val="00FE0A4D"/>
    <w:rsid w:val="00FE0A5A"/>
    <w:rsid w:val="00FE0A67"/>
    <w:rsid w:val="00FE0B8E"/>
    <w:rsid w:val="00FE0C85"/>
    <w:rsid w:val="00FE0D26"/>
    <w:rsid w:val="00FE0ECC"/>
    <w:rsid w:val="00FE0ED4"/>
    <w:rsid w:val="00FE1345"/>
    <w:rsid w:val="00FE1375"/>
    <w:rsid w:val="00FE1527"/>
    <w:rsid w:val="00FE157C"/>
    <w:rsid w:val="00FE1799"/>
    <w:rsid w:val="00FE19E0"/>
    <w:rsid w:val="00FE19F5"/>
    <w:rsid w:val="00FE1A55"/>
    <w:rsid w:val="00FE1ABE"/>
    <w:rsid w:val="00FE1C12"/>
    <w:rsid w:val="00FE1E1A"/>
    <w:rsid w:val="00FE1F05"/>
    <w:rsid w:val="00FE21E8"/>
    <w:rsid w:val="00FE226F"/>
    <w:rsid w:val="00FE22C3"/>
    <w:rsid w:val="00FE2359"/>
    <w:rsid w:val="00FE283A"/>
    <w:rsid w:val="00FE2B8B"/>
    <w:rsid w:val="00FE2C35"/>
    <w:rsid w:val="00FE2C39"/>
    <w:rsid w:val="00FE2D95"/>
    <w:rsid w:val="00FE3008"/>
    <w:rsid w:val="00FE31DA"/>
    <w:rsid w:val="00FE3396"/>
    <w:rsid w:val="00FE359E"/>
    <w:rsid w:val="00FE360E"/>
    <w:rsid w:val="00FE3807"/>
    <w:rsid w:val="00FE3B6D"/>
    <w:rsid w:val="00FE3D86"/>
    <w:rsid w:val="00FE3EDB"/>
    <w:rsid w:val="00FE4022"/>
    <w:rsid w:val="00FE40B5"/>
    <w:rsid w:val="00FE4176"/>
    <w:rsid w:val="00FE429F"/>
    <w:rsid w:val="00FE4381"/>
    <w:rsid w:val="00FE43EB"/>
    <w:rsid w:val="00FE474C"/>
    <w:rsid w:val="00FE478E"/>
    <w:rsid w:val="00FE4A71"/>
    <w:rsid w:val="00FE4BC4"/>
    <w:rsid w:val="00FE4C44"/>
    <w:rsid w:val="00FE4CA6"/>
    <w:rsid w:val="00FE4CE7"/>
    <w:rsid w:val="00FE4E7A"/>
    <w:rsid w:val="00FE4E84"/>
    <w:rsid w:val="00FE4EB1"/>
    <w:rsid w:val="00FE5537"/>
    <w:rsid w:val="00FE58CC"/>
    <w:rsid w:val="00FE5A45"/>
    <w:rsid w:val="00FE5B10"/>
    <w:rsid w:val="00FE5E29"/>
    <w:rsid w:val="00FE5E58"/>
    <w:rsid w:val="00FE5EDC"/>
    <w:rsid w:val="00FE5F56"/>
    <w:rsid w:val="00FE64A5"/>
    <w:rsid w:val="00FE659E"/>
    <w:rsid w:val="00FE6644"/>
    <w:rsid w:val="00FE672C"/>
    <w:rsid w:val="00FE676C"/>
    <w:rsid w:val="00FE697B"/>
    <w:rsid w:val="00FE69F0"/>
    <w:rsid w:val="00FE6A2B"/>
    <w:rsid w:val="00FE6B0E"/>
    <w:rsid w:val="00FE6D73"/>
    <w:rsid w:val="00FE702F"/>
    <w:rsid w:val="00FE7052"/>
    <w:rsid w:val="00FE7106"/>
    <w:rsid w:val="00FE72F7"/>
    <w:rsid w:val="00FE734A"/>
    <w:rsid w:val="00FE73C0"/>
    <w:rsid w:val="00FE776E"/>
    <w:rsid w:val="00FE79AA"/>
    <w:rsid w:val="00FE7A05"/>
    <w:rsid w:val="00FE7A48"/>
    <w:rsid w:val="00FE7ADD"/>
    <w:rsid w:val="00FE7D3A"/>
    <w:rsid w:val="00FE7FD8"/>
    <w:rsid w:val="00FF01BE"/>
    <w:rsid w:val="00FF0328"/>
    <w:rsid w:val="00FF0734"/>
    <w:rsid w:val="00FF083B"/>
    <w:rsid w:val="00FF08BC"/>
    <w:rsid w:val="00FF0904"/>
    <w:rsid w:val="00FF0D05"/>
    <w:rsid w:val="00FF0DCD"/>
    <w:rsid w:val="00FF108A"/>
    <w:rsid w:val="00FF11D3"/>
    <w:rsid w:val="00FF12BD"/>
    <w:rsid w:val="00FF138F"/>
    <w:rsid w:val="00FF14F7"/>
    <w:rsid w:val="00FF1605"/>
    <w:rsid w:val="00FF184C"/>
    <w:rsid w:val="00FF1A86"/>
    <w:rsid w:val="00FF1B70"/>
    <w:rsid w:val="00FF1BE9"/>
    <w:rsid w:val="00FF1CEF"/>
    <w:rsid w:val="00FF2026"/>
    <w:rsid w:val="00FF2249"/>
    <w:rsid w:val="00FF2818"/>
    <w:rsid w:val="00FF28DF"/>
    <w:rsid w:val="00FF2961"/>
    <w:rsid w:val="00FF2B6A"/>
    <w:rsid w:val="00FF2BB3"/>
    <w:rsid w:val="00FF2C10"/>
    <w:rsid w:val="00FF2C56"/>
    <w:rsid w:val="00FF2CCE"/>
    <w:rsid w:val="00FF2D95"/>
    <w:rsid w:val="00FF2E4F"/>
    <w:rsid w:val="00FF3035"/>
    <w:rsid w:val="00FF30DD"/>
    <w:rsid w:val="00FF30F3"/>
    <w:rsid w:val="00FF31DF"/>
    <w:rsid w:val="00FF322C"/>
    <w:rsid w:val="00FF3690"/>
    <w:rsid w:val="00FF3788"/>
    <w:rsid w:val="00FF379D"/>
    <w:rsid w:val="00FF3978"/>
    <w:rsid w:val="00FF3A50"/>
    <w:rsid w:val="00FF3CB5"/>
    <w:rsid w:val="00FF3D99"/>
    <w:rsid w:val="00FF3DDA"/>
    <w:rsid w:val="00FF3DF4"/>
    <w:rsid w:val="00FF43C9"/>
    <w:rsid w:val="00FF449C"/>
    <w:rsid w:val="00FF44E1"/>
    <w:rsid w:val="00FF44FC"/>
    <w:rsid w:val="00FF451C"/>
    <w:rsid w:val="00FF461D"/>
    <w:rsid w:val="00FF46E3"/>
    <w:rsid w:val="00FF46FE"/>
    <w:rsid w:val="00FF4882"/>
    <w:rsid w:val="00FF48FB"/>
    <w:rsid w:val="00FF4926"/>
    <w:rsid w:val="00FF4BB7"/>
    <w:rsid w:val="00FF4F9A"/>
    <w:rsid w:val="00FF517E"/>
    <w:rsid w:val="00FF5495"/>
    <w:rsid w:val="00FF54CA"/>
    <w:rsid w:val="00FF56B4"/>
    <w:rsid w:val="00FF5729"/>
    <w:rsid w:val="00FF58AB"/>
    <w:rsid w:val="00FF5A64"/>
    <w:rsid w:val="00FF5B4D"/>
    <w:rsid w:val="00FF5B50"/>
    <w:rsid w:val="00FF5BFD"/>
    <w:rsid w:val="00FF5D34"/>
    <w:rsid w:val="00FF5DB5"/>
    <w:rsid w:val="00FF5FCC"/>
    <w:rsid w:val="00FF6000"/>
    <w:rsid w:val="00FF6349"/>
    <w:rsid w:val="00FF6504"/>
    <w:rsid w:val="00FF6525"/>
    <w:rsid w:val="00FF678F"/>
    <w:rsid w:val="00FF69B5"/>
    <w:rsid w:val="00FF69CF"/>
    <w:rsid w:val="00FF6A44"/>
    <w:rsid w:val="00FF6BA2"/>
    <w:rsid w:val="00FF7438"/>
    <w:rsid w:val="00FF7518"/>
    <w:rsid w:val="00FF761C"/>
    <w:rsid w:val="00FF767C"/>
    <w:rsid w:val="00FF7743"/>
    <w:rsid w:val="00FF776F"/>
    <w:rsid w:val="00FF7831"/>
    <w:rsid w:val="00FF78ED"/>
    <w:rsid w:val="00FF7989"/>
    <w:rsid w:val="00FF7A33"/>
    <w:rsid w:val="00FF7A96"/>
    <w:rsid w:val="00FF7B53"/>
    <w:rsid w:val="00FF7CEB"/>
    <w:rsid w:val="00FF7D67"/>
    <w:rsid w:val="00FF7D9E"/>
    <w:rsid w:val="02F1E78D"/>
    <w:rsid w:val="062226A9"/>
    <w:rsid w:val="07AD0D0B"/>
    <w:rsid w:val="0818AEFF"/>
    <w:rsid w:val="0877F856"/>
    <w:rsid w:val="0B09708A"/>
    <w:rsid w:val="0B54F5CF"/>
    <w:rsid w:val="0BD22AF6"/>
    <w:rsid w:val="12D3E303"/>
    <w:rsid w:val="1527E05D"/>
    <w:rsid w:val="18FB7D22"/>
    <w:rsid w:val="1C200343"/>
    <w:rsid w:val="1C3C9B70"/>
    <w:rsid w:val="1D66514A"/>
    <w:rsid w:val="27062091"/>
    <w:rsid w:val="280F5730"/>
    <w:rsid w:val="29F82681"/>
    <w:rsid w:val="2A65CDF9"/>
    <w:rsid w:val="2AF37144"/>
    <w:rsid w:val="2B392F4F"/>
    <w:rsid w:val="2B852FA9"/>
    <w:rsid w:val="32AD717D"/>
    <w:rsid w:val="32F97173"/>
    <w:rsid w:val="341BC336"/>
    <w:rsid w:val="3720FCD8"/>
    <w:rsid w:val="372F24CE"/>
    <w:rsid w:val="3AD235E3"/>
    <w:rsid w:val="3F85A1A7"/>
    <w:rsid w:val="3FD3B07B"/>
    <w:rsid w:val="413CA8EC"/>
    <w:rsid w:val="47350C6C"/>
    <w:rsid w:val="493260C6"/>
    <w:rsid w:val="4C2894EB"/>
    <w:rsid w:val="4C8E2DE2"/>
    <w:rsid w:val="4EB882D6"/>
    <w:rsid w:val="501BA077"/>
    <w:rsid w:val="56785C8F"/>
    <w:rsid w:val="571894F4"/>
    <w:rsid w:val="5C274272"/>
    <w:rsid w:val="5C340ABB"/>
    <w:rsid w:val="5CB88A25"/>
    <w:rsid w:val="5E4B983E"/>
    <w:rsid w:val="63CB6DA0"/>
    <w:rsid w:val="657D8755"/>
    <w:rsid w:val="65AA1251"/>
    <w:rsid w:val="6AF6F642"/>
    <w:rsid w:val="6B4A7955"/>
    <w:rsid w:val="6BFB8BF8"/>
    <w:rsid w:val="6CB652C9"/>
    <w:rsid w:val="6E0CF093"/>
    <w:rsid w:val="6E9EF0C1"/>
    <w:rsid w:val="72306166"/>
    <w:rsid w:val="74685DDC"/>
    <w:rsid w:val="7618F34A"/>
    <w:rsid w:val="779903C8"/>
    <w:rsid w:val="77B21B6A"/>
    <w:rsid w:val="77DB16E8"/>
    <w:rsid w:val="7AECA5A1"/>
    <w:rsid w:val="7D7C68EB"/>
    <w:rsid w:val="7FDDFFC1"/>
  </w:rsids>
  <m:mathPr>
    <m:mathFont m:val="Cambria Math"/>
    <m:brkBin m:val="before"/>
    <m:brkBinSub m:val="--"/>
    <m:smallFrac/>
    <m:dispDef/>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2B0915"/>
  <w15:docId w15:val="{A6F345F4-1A81-4435-9CAA-37FA7565F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line="288" w:lineRule="auto"/>
      </w:pPr>
    </w:pPrDefault>
  </w:docDefaults>
  <w:latentStyles w:defLockedState="0" w:defUIPriority="99" w:defSemiHidden="0" w:defUnhideWhenUsed="0" w:defQFormat="0" w:count="376">
    <w:lsdException w:name="Normal" w:qFormat="1"/>
    <w:lsdException w:name="heading 1" w:uiPriority="1"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3" w:qFormat="1"/>
    <w:lsdException w:name="heading 6" w:semiHidden="1" w:uiPriority="3" w:qFormat="1"/>
    <w:lsdException w:name="heading 7" w:semiHidden="1" w:uiPriority="3" w:qFormat="1"/>
    <w:lsdException w:name="heading 8" w:semiHidden="1" w:uiPriority="3" w:qFormat="1"/>
    <w:lsdException w:name="heading 9" w:semiHidden="1" w:uiPriority="3"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1" w:unhideWhenUsed="1"/>
    <w:lsdException w:name="toc 6" w:semiHidden="1" w:uiPriority="41" w:unhideWhenUsed="1"/>
    <w:lsdException w:name="toc 7" w:semiHidden="1" w:uiPriority="41" w:unhideWhenUsed="1"/>
    <w:lsdException w:name="toc 8" w:semiHidden="1" w:uiPriority="41" w:unhideWhenUsed="1"/>
    <w:lsdException w:name="toc 9" w:semiHidden="1" w:uiPriority="41" w:unhideWhenUsed="1"/>
    <w:lsdException w:name="Normal Indent" w:semiHidden="1" w:unhideWhenUsed="1"/>
    <w:lsdException w:name="footnote text" w:semiHidden="1" w:unhideWhenUsed="1" w:qFormat="1"/>
    <w:lsdException w:name="annotation text" w:semiHidden="1" w:unhideWhenUsed="1"/>
    <w:lsdException w:name="header" w:semiHidden="1" w:uiPriority="32" w:unhideWhenUsed="1"/>
    <w:lsdException w:name="footer" w:semiHidden="1" w:uiPriority="33"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6" w:unhideWhenUsed="1"/>
    <w:lsdException w:name="List Number 3" w:semiHidden="1" w:uiPriority="6" w:unhideWhenUsed="1"/>
    <w:lsdException w:name="List Number 4" w:semiHidden="1" w:uiPriority="6" w:unhideWhenUsed="1"/>
    <w:lsdException w:name="List Number 5" w:semiHidden="1" w:unhideWhenUsed="1"/>
    <w:lsdException w:name="Title" w:uiPriority="3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7"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13" w:qFormat="1"/>
    <w:lsdException w:name="Intense Quote" w:semiHidden="1" w:uiPriority="13"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0" w:qFormat="1"/>
    <w:lsdException w:name="Intense Emphasis" w:uiPriority="21" w:qFormat="1"/>
    <w:lsdException w:name="Subtle Reference" w:uiPriority="23" w:qFormat="1"/>
    <w:lsdException w:name="Intense Reference" w:uiPriority="24" w:qFormat="1"/>
    <w:lsdException w:name="Book Title" w:semiHidden="1" w:qFormat="1"/>
    <w:lsdException w:name="Bibliography" w:semiHidden="1" w:uiPriority="42"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9F072B"/>
    <w:rPr>
      <w:rFonts w:eastAsiaTheme="minorHAnsi"/>
      <w:sz w:val="24"/>
    </w:rPr>
  </w:style>
  <w:style w:type="paragraph" w:styleId="Heading1">
    <w:name w:val="heading 1"/>
    <w:aliases w:val="BG Heading 1"/>
    <w:basedOn w:val="Normal"/>
    <w:next w:val="Heading1Separator"/>
    <w:link w:val="Heading1Char"/>
    <w:uiPriority w:val="1"/>
    <w:unhideWhenUsed/>
    <w:qFormat/>
    <w:rsid w:val="009F072B"/>
    <w:pPr>
      <w:keepNext/>
      <w:keepLines/>
      <w:pageBreakBefore/>
      <w:numPr>
        <w:numId w:val="33"/>
      </w:numPr>
      <w:spacing w:before="480" w:after="120" w:line="216" w:lineRule="auto"/>
      <w:mirrorIndents/>
      <w:outlineLvl w:val="0"/>
    </w:pPr>
    <w:rPr>
      <w:rFonts w:eastAsia="MingLiU" w:cs="Times New Roman"/>
      <w:bCs/>
      <w:color w:val="1B3D6F" w:themeColor="accent1"/>
      <w:sz w:val="48"/>
      <w:szCs w:val="52"/>
      <w:lang w:eastAsia="en-US"/>
    </w:rPr>
  </w:style>
  <w:style w:type="paragraph" w:styleId="Heading2">
    <w:name w:val="heading 2"/>
    <w:aliases w:val="BG Heading 2"/>
    <w:basedOn w:val="Normal"/>
    <w:next w:val="Paragraph"/>
    <w:link w:val="Heading2Char"/>
    <w:uiPriority w:val="3"/>
    <w:unhideWhenUsed/>
    <w:qFormat/>
    <w:rsid w:val="009F072B"/>
    <w:pPr>
      <w:keepNext/>
      <w:keepLines/>
      <w:numPr>
        <w:ilvl w:val="1"/>
        <w:numId w:val="33"/>
      </w:numPr>
      <w:spacing w:before="480" w:after="240" w:line="216" w:lineRule="auto"/>
      <w:outlineLvl w:val="1"/>
    </w:pPr>
    <w:rPr>
      <w:rFonts w:eastAsiaTheme="majorEastAsia" w:cstheme="majorBidi"/>
      <w:bCs/>
      <w:color w:val="404040" w:themeColor="text1" w:themeTint="BF"/>
      <w:sz w:val="41"/>
      <w:szCs w:val="41"/>
      <w:lang w:eastAsia="en-US"/>
    </w:rPr>
  </w:style>
  <w:style w:type="paragraph" w:styleId="Heading3">
    <w:name w:val="heading 3"/>
    <w:aliases w:val="BG Heading 3"/>
    <w:basedOn w:val="Normal"/>
    <w:next w:val="Paragraph"/>
    <w:link w:val="Heading3Char"/>
    <w:uiPriority w:val="3"/>
    <w:unhideWhenUsed/>
    <w:qFormat/>
    <w:rsid w:val="009F072B"/>
    <w:pPr>
      <w:keepNext/>
      <w:keepLines/>
      <w:numPr>
        <w:ilvl w:val="2"/>
        <w:numId w:val="33"/>
      </w:numPr>
      <w:spacing w:before="360" w:after="120" w:line="216" w:lineRule="auto"/>
      <w:outlineLvl w:val="2"/>
    </w:pPr>
    <w:rPr>
      <w:rFonts w:eastAsiaTheme="majorEastAsia" w:cstheme="majorBidi"/>
      <w:b/>
      <w:bCs/>
      <w:color w:val="404040" w:themeColor="text1" w:themeTint="BF"/>
      <w:spacing w:val="4"/>
      <w:sz w:val="34"/>
      <w:szCs w:val="34"/>
      <w:lang w:eastAsia="en-US"/>
    </w:rPr>
  </w:style>
  <w:style w:type="paragraph" w:styleId="Heading4">
    <w:name w:val="heading 4"/>
    <w:aliases w:val="BG Heading 4"/>
    <w:basedOn w:val="Normal"/>
    <w:next w:val="Normal"/>
    <w:link w:val="Heading4Char"/>
    <w:uiPriority w:val="3"/>
    <w:unhideWhenUsed/>
    <w:qFormat/>
    <w:rsid w:val="009F072B"/>
    <w:pPr>
      <w:keepNext/>
      <w:keepLines/>
      <w:numPr>
        <w:ilvl w:val="3"/>
        <w:numId w:val="33"/>
      </w:numPr>
      <w:spacing w:before="240" w:after="120" w:line="216" w:lineRule="auto"/>
      <w:outlineLvl w:val="3"/>
    </w:pPr>
    <w:rPr>
      <w:rFonts w:eastAsiaTheme="majorEastAsia" w:cstheme="majorBidi"/>
      <w:b/>
      <w:bCs/>
      <w:iCs/>
      <w:color w:val="2297AA" w:themeColor="accent2"/>
      <w:sz w:val="29"/>
      <w:szCs w:val="29"/>
      <w:lang w:val="en-CA" w:eastAsia="en-US"/>
    </w:rPr>
  </w:style>
  <w:style w:type="paragraph" w:styleId="Heading5">
    <w:name w:val="heading 5"/>
    <w:basedOn w:val="TOCHeading"/>
    <w:next w:val="Normal"/>
    <w:link w:val="Heading5Char"/>
    <w:uiPriority w:val="3"/>
    <w:unhideWhenUsed/>
    <w:qFormat/>
    <w:rsid w:val="009F072B"/>
    <w:pPr>
      <w:keepNext/>
      <w:numPr>
        <w:ilvl w:val="4"/>
        <w:numId w:val="11"/>
      </w:numPr>
      <w:pBdr>
        <w:top w:val="single" w:sz="8" w:space="6" w:color="D8DBDE" w:themeColor="background2" w:themeTint="33"/>
      </w:pBdr>
      <w:spacing w:before="240"/>
      <w:outlineLvl w:val="4"/>
    </w:pPr>
  </w:style>
  <w:style w:type="paragraph" w:styleId="Heading6">
    <w:name w:val="heading 6"/>
    <w:basedOn w:val="Normal"/>
    <w:next w:val="Normal"/>
    <w:link w:val="Heading6Char"/>
    <w:uiPriority w:val="3"/>
    <w:unhideWhenUsed/>
    <w:rsid w:val="009F072B"/>
    <w:pPr>
      <w:keepNext/>
      <w:tabs>
        <w:tab w:val="left" w:pos="7740"/>
      </w:tabs>
      <w:spacing w:before="240" w:after="120" w:line="240" w:lineRule="auto"/>
      <w:ind w:right="907"/>
      <w:outlineLvl w:val="5"/>
    </w:pPr>
    <w:rPr>
      <w:rFonts w:ascii="Calibri" w:eastAsia="MS Gothic" w:hAnsi="Calibri" w:cs="Times New Roman"/>
      <w:b/>
      <w:caps/>
      <w:color w:val="2297AA" w:themeColor="accent2"/>
      <w:spacing w:val="10"/>
      <w:szCs w:val="15"/>
      <w:lang w:eastAsia="en-US"/>
    </w:rPr>
  </w:style>
  <w:style w:type="paragraph" w:styleId="Heading7">
    <w:name w:val="heading 7"/>
    <w:basedOn w:val="Normal"/>
    <w:next w:val="Normal"/>
    <w:link w:val="Heading7Char"/>
    <w:uiPriority w:val="3"/>
    <w:semiHidden/>
    <w:unhideWhenUsed/>
    <w:qFormat/>
    <w:rsid w:val="009F072B"/>
    <w:pPr>
      <w:keepNext/>
      <w:keepLines/>
      <w:numPr>
        <w:ilvl w:val="6"/>
        <w:numId w:val="11"/>
      </w:numPr>
      <w:spacing w:before="200"/>
      <w:outlineLvl w:val="6"/>
    </w:pPr>
    <w:rPr>
      <w:rFonts w:eastAsiaTheme="majorEastAsia" w:cstheme="majorBidi"/>
      <w:i/>
      <w:iCs/>
      <w:color w:val="404040" w:themeColor="text1" w:themeTint="BF"/>
      <w:szCs w:val="23"/>
      <w:lang w:eastAsia="en-US"/>
    </w:rPr>
  </w:style>
  <w:style w:type="paragraph" w:styleId="Heading8">
    <w:name w:val="heading 8"/>
    <w:basedOn w:val="Normal"/>
    <w:next w:val="Normal"/>
    <w:link w:val="Heading8Char"/>
    <w:uiPriority w:val="3"/>
    <w:semiHidden/>
    <w:unhideWhenUsed/>
    <w:qFormat/>
    <w:rsid w:val="009F072B"/>
    <w:pPr>
      <w:keepNext/>
      <w:keepLines/>
      <w:numPr>
        <w:ilvl w:val="7"/>
        <w:numId w:val="11"/>
      </w:numPr>
      <w:spacing w:before="200"/>
      <w:outlineLvl w:val="7"/>
    </w:pPr>
    <w:rPr>
      <w:rFonts w:eastAsiaTheme="majorEastAsia" w:cstheme="majorBidi"/>
      <w:color w:val="404040" w:themeColor="text1" w:themeTint="BF"/>
      <w:szCs w:val="23"/>
      <w:lang w:eastAsia="en-US"/>
    </w:rPr>
  </w:style>
  <w:style w:type="paragraph" w:styleId="Heading9">
    <w:name w:val="heading 9"/>
    <w:basedOn w:val="Normal"/>
    <w:next w:val="Normal"/>
    <w:link w:val="Heading9Char"/>
    <w:uiPriority w:val="3"/>
    <w:semiHidden/>
    <w:unhideWhenUsed/>
    <w:qFormat/>
    <w:rsid w:val="009F072B"/>
    <w:pPr>
      <w:keepNext/>
      <w:keepLines/>
      <w:numPr>
        <w:numId w:val="12"/>
      </w:numPr>
      <w:tabs>
        <w:tab w:val="clear" w:pos="1080"/>
      </w:tabs>
      <w:spacing w:before="200"/>
      <w:outlineLvl w:val="8"/>
    </w:pPr>
    <w:rPr>
      <w:rFonts w:eastAsiaTheme="majorEastAsia" w:cstheme="majorBidi"/>
      <w:i/>
      <w:iCs/>
      <w:color w:val="404040" w:themeColor="text1" w:themeTint="BF"/>
      <w:szCs w:val="23"/>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G Heading 1 Char"/>
    <w:basedOn w:val="DefaultParagraphFont"/>
    <w:link w:val="Heading1"/>
    <w:uiPriority w:val="1"/>
    <w:rsid w:val="009F072B"/>
    <w:rPr>
      <w:rFonts w:eastAsia="MingLiU" w:cs="Times New Roman"/>
      <w:bCs/>
      <w:color w:val="1B3D6F" w:themeColor="accent1"/>
      <w:sz w:val="48"/>
      <w:szCs w:val="52"/>
      <w:lang w:eastAsia="en-US"/>
    </w:rPr>
  </w:style>
  <w:style w:type="paragraph" w:styleId="TOCHeading">
    <w:name w:val="TOC Heading"/>
    <w:basedOn w:val="Normal"/>
    <w:next w:val="Normal"/>
    <w:uiPriority w:val="39"/>
    <w:unhideWhenUsed/>
    <w:qFormat/>
    <w:rsid w:val="009F072B"/>
    <w:pPr>
      <w:pBdr>
        <w:top w:val="single" w:sz="4" w:space="6" w:color="D8DBDE" w:themeColor="background2" w:themeTint="33"/>
      </w:pBdr>
      <w:spacing w:after="240"/>
    </w:pPr>
    <w:rPr>
      <w:rFonts w:eastAsia="PMingLiU" w:cs="Times New Roman"/>
      <w:caps/>
      <w:color w:val="494F56" w:themeColor="background2"/>
      <w:spacing w:val="10"/>
      <w:szCs w:val="28"/>
      <w:lang w:eastAsia="en-US"/>
    </w:rPr>
  </w:style>
  <w:style w:type="paragraph" w:styleId="Header">
    <w:name w:val="header"/>
    <w:basedOn w:val="Normal"/>
    <w:link w:val="HeaderChar"/>
    <w:uiPriority w:val="32"/>
    <w:unhideWhenUsed/>
    <w:rsid w:val="009F072B"/>
    <w:pPr>
      <w:tabs>
        <w:tab w:val="center" w:pos="4680"/>
        <w:tab w:val="right" w:pos="9360"/>
      </w:tabs>
      <w:spacing w:line="240" w:lineRule="auto"/>
      <w:jc w:val="center"/>
    </w:pPr>
    <w:rPr>
      <w:rFonts w:cs="Times New Roman"/>
      <w:caps/>
      <w:color w:val="494F56" w:themeColor="background2"/>
      <w:spacing w:val="6"/>
      <w:sz w:val="20"/>
      <w:szCs w:val="23"/>
      <w:lang w:eastAsia="en-US"/>
    </w:rPr>
  </w:style>
  <w:style w:type="character" w:customStyle="1" w:styleId="HeaderChar">
    <w:name w:val="Header Char"/>
    <w:basedOn w:val="DefaultParagraphFont"/>
    <w:link w:val="Header"/>
    <w:uiPriority w:val="32"/>
    <w:rsid w:val="009F072B"/>
    <w:rPr>
      <w:rFonts w:eastAsiaTheme="minorHAnsi" w:cs="Times New Roman"/>
      <w:caps/>
      <w:color w:val="494F56" w:themeColor="background2"/>
      <w:spacing w:val="6"/>
      <w:sz w:val="20"/>
      <w:szCs w:val="23"/>
      <w:lang w:eastAsia="en-US"/>
    </w:rPr>
  </w:style>
  <w:style w:type="paragraph" w:styleId="Footer">
    <w:name w:val="footer"/>
    <w:basedOn w:val="Normal"/>
    <w:link w:val="FooterChar"/>
    <w:uiPriority w:val="33"/>
    <w:unhideWhenUsed/>
    <w:rsid w:val="009F072B"/>
    <w:pPr>
      <w:tabs>
        <w:tab w:val="right" w:pos="9360"/>
      </w:tabs>
      <w:spacing w:before="230"/>
    </w:pPr>
    <w:rPr>
      <w:color w:val="494F56" w:themeColor="background2"/>
      <w:sz w:val="20"/>
      <w:szCs w:val="18"/>
    </w:rPr>
  </w:style>
  <w:style w:type="character" w:customStyle="1" w:styleId="FooterChar">
    <w:name w:val="Footer Char"/>
    <w:basedOn w:val="DefaultParagraphFont"/>
    <w:link w:val="Footer"/>
    <w:uiPriority w:val="33"/>
    <w:rsid w:val="009F072B"/>
    <w:rPr>
      <w:rFonts w:eastAsiaTheme="minorHAnsi"/>
      <w:color w:val="494F56" w:themeColor="background2"/>
      <w:sz w:val="20"/>
      <w:szCs w:val="18"/>
    </w:rPr>
  </w:style>
  <w:style w:type="paragraph" w:styleId="BalloonText">
    <w:name w:val="Balloon Text"/>
    <w:basedOn w:val="Normal"/>
    <w:link w:val="BalloonTextChar"/>
    <w:uiPriority w:val="99"/>
    <w:semiHidden/>
    <w:unhideWhenUsed/>
    <w:rsid w:val="009F07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072B"/>
    <w:rPr>
      <w:rFonts w:ascii="Lucida Grande" w:eastAsiaTheme="minorHAnsi" w:hAnsi="Lucida Grande" w:cs="Lucida Grande"/>
      <w:sz w:val="18"/>
      <w:szCs w:val="18"/>
    </w:rPr>
  </w:style>
  <w:style w:type="paragraph" w:styleId="Caption">
    <w:name w:val="caption"/>
    <w:aliases w:val="BGN Caption,BG Caption"/>
    <w:basedOn w:val="Normal"/>
    <w:uiPriority w:val="12"/>
    <w:unhideWhenUsed/>
    <w:qFormat/>
    <w:rsid w:val="009F072B"/>
    <w:pPr>
      <w:keepNext/>
      <w:spacing w:before="240" w:after="120" w:line="240" w:lineRule="auto"/>
      <w:contextualSpacing/>
    </w:pPr>
    <w:rPr>
      <w:rFonts w:eastAsiaTheme="minorEastAsia"/>
      <w:b/>
      <w:bCs/>
      <w:caps/>
      <w:color w:val="494F56" w:themeColor="background2"/>
      <w:spacing w:val="10"/>
      <w:sz w:val="20"/>
      <w:szCs w:val="18"/>
    </w:rPr>
  </w:style>
  <w:style w:type="character" w:styleId="PageNumber">
    <w:name w:val="page number"/>
    <w:basedOn w:val="DefaultParagraphFont"/>
    <w:uiPriority w:val="99"/>
    <w:semiHidden/>
    <w:unhideWhenUsed/>
    <w:rsid w:val="009F072B"/>
  </w:style>
  <w:style w:type="paragraph" w:styleId="TOC1">
    <w:name w:val="toc 1"/>
    <w:basedOn w:val="Normal"/>
    <w:next w:val="Normal"/>
    <w:autoRedefine/>
    <w:uiPriority w:val="39"/>
    <w:unhideWhenUsed/>
    <w:rsid w:val="009F072B"/>
    <w:pPr>
      <w:tabs>
        <w:tab w:val="right" w:leader="dot" w:pos="9360"/>
      </w:tabs>
      <w:spacing w:before="240" w:after="60" w:line="240" w:lineRule="auto"/>
      <w:ind w:left="576" w:hanging="576"/>
    </w:pPr>
    <w:rPr>
      <w:rFonts w:eastAsiaTheme="minorEastAsia"/>
      <w:noProof/>
      <w:color w:val="1B3D6F" w:themeColor="accent1"/>
      <w:sz w:val="28"/>
      <w:szCs w:val="28"/>
      <w:lang w:eastAsia="en-US"/>
    </w:rPr>
  </w:style>
  <w:style w:type="paragraph" w:styleId="TOC2">
    <w:name w:val="toc 2"/>
    <w:basedOn w:val="Normal"/>
    <w:next w:val="Normal"/>
    <w:autoRedefine/>
    <w:uiPriority w:val="39"/>
    <w:unhideWhenUsed/>
    <w:rsid w:val="009F072B"/>
    <w:pPr>
      <w:tabs>
        <w:tab w:val="right" w:leader="dot" w:pos="9360"/>
      </w:tabs>
      <w:spacing w:before="60" w:line="240" w:lineRule="auto"/>
      <w:ind w:left="1296" w:hanging="720"/>
    </w:pPr>
    <w:rPr>
      <w:rFonts w:eastAsiaTheme="minorEastAsia"/>
      <w:noProof/>
      <w:color w:val="000000" w:themeColor="text1"/>
      <w:szCs w:val="24"/>
      <w:lang w:eastAsia="en-US"/>
    </w:rPr>
  </w:style>
  <w:style w:type="paragraph" w:styleId="TOC3">
    <w:name w:val="toc 3"/>
    <w:basedOn w:val="Normal"/>
    <w:next w:val="Normal"/>
    <w:autoRedefine/>
    <w:uiPriority w:val="39"/>
    <w:unhideWhenUsed/>
    <w:rsid w:val="009F072B"/>
    <w:pPr>
      <w:tabs>
        <w:tab w:val="right" w:leader="dot" w:pos="9360"/>
      </w:tabs>
      <w:spacing w:before="60" w:line="240" w:lineRule="auto"/>
      <w:ind w:left="2160" w:hanging="864"/>
    </w:pPr>
    <w:rPr>
      <w:rFonts w:eastAsiaTheme="minorEastAsia"/>
      <w:noProof/>
      <w:lang w:eastAsia="en-US"/>
    </w:rPr>
  </w:style>
  <w:style w:type="paragraph" w:styleId="TOC4">
    <w:name w:val="toc 4"/>
    <w:basedOn w:val="Normal"/>
    <w:next w:val="Normal"/>
    <w:uiPriority w:val="39"/>
    <w:unhideWhenUsed/>
    <w:rsid w:val="009F072B"/>
    <w:pPr>
      <w:tabs>
        <w:tab w:val="right" w:leader="dot" w:pos="9360"/>
      </w:tabs>
      <w:spacing w:before="60" w:line="240" w:lineRule="auto"/>
      <w:ind w:left="3168" w:hanging="1008"/>
    </w:pPr>
    <w:rPr>
      <w:rFonts w:eastAsiaTheme="minorEastAsia"/>
      <w:noProof/>
      <w:lang w:eastAsia="en-US"/>
    </w:rPr>
  </w:style>
  <w:style w:type="paragraph" w:styleId="TOC5">
    <w:name w:val="toc 5"/>
    <w:basedOn w:val="Normal"/>
    <w:next w:val="Normal"/>
    <w:autoRedefine/>
    <w:uiPriority w:val="41"/>
    <w:semiHidden/>
    <w:unhideWhenUsed/>
    <w:rsid w:val="009F072B"/>
    <w:pPr>
      <w:ind w:left="960"/>
    </w:pPr>
    <w:rPr>
      <w:sz w:val="20"/>
      <w:szCs w:val="20"/>
    </w:rPr>
  </w:style>
  <w:style w:type="paragraph" w:styleId="TOC6">
    <w:name w:val="toc 6"/>
    <w:basedOn w:val="Normal"/>
    <w:next w:val="Normal"/>
    <w:autoRedefine/>
    <w:uiPriority w:val="41"/>
    <w:semiHidden/>
    <w:unhideWhenUsed/>
    <w:rsid w:val="009F072B"/>
    <w:pPr>
      <w:ind w:left="1200"/>
    </w:pPr>
    <w:rPr>
      <w:sz w:val="20"/>
      <w:szCs w:val="20"/>
    </w:rPr>
  </w:style>
  <w:style w:type="paragraph" w:styleId="TOC7">
    <w:name w:val="toc 7"/>
    <w:basedOn w:val="Normal"/>
    <w:next w:val="Normal"/>
    <w:autoRedefine/>
    <w:uiPriority w:val="41"/>
    <w:semiHidden/>
    <w:unhideWhenUsed/>
    <w:rsid w:val="009F072B"/>
    <w:pPr>
      <w:ind w:left="1440"/>
    </w:pPr>
    <w:rPr>
      <w:sz w:val="20"/>
      <w:szCs w:val="20"/>
    </w:rPr>
  </w:style>
  <w:style w:type="paragraph" w:styleId="TOC8">
    <w:name w:val="toc 8"/>
    <w:basedOn w:val="Normal"/>
    <w:next w:val="Normal"/>
    <w:autoRedefine/>
    <w:uiPriority w:val="41"/>
    <w:semiHidden/>
    <w:unhideWhenUsed/>
    <w:rsid w:val="009F072B"/>
    <w:pPr>
      <w:ind w:left="1680"/>
    </w:pPr>
    <w:rPr>
      <w:sz w:val="20"/>
      <w:szCs w:val="20"/>
    </w:rPr>
  </w:style>
  <w:style w:type="paragraph" w:styleId="TOC9">
    <w:name w:val="toc 9"/>
    <w:basedOn w:val="Normal"/>
    <w:next w:val="Normal"/>
    <w:autoRedefine/>
    <w:uiPriority w:val="41"/>
    <w:semiHidden/>
    <w:unhideWhenUsed/>
    <w:rsid w:val="009F072B"/>
    <w:pPr>
      <w:ind w:left="1920"/>
    </w:pPr>
    <w:rPr>
      <w:sz w:val="20"/>
      <w:szCs w:val="20"/>
    </w:rPr>
  </w:style>
  <w:style w:type="paragraph" w:styleId="Title">
    <w:name w:val="Title"/>
    <w:basedOn w:val="Normal"/>
    <w:next w:val="Normal"/>
    <w:link w:val="TitleChar"/>
    <w:uiPriority w:val="36"/>
    <w:unhideWhenUsed/>
    <w:qFormat/>
    <w:rsid w:val="009F072B"/>
    <w:pPr>
      <w:suppressAutoHyphens/>
      <w:spacing w:line="216" w:lineRule="auto"/>
    </w:pPr>
    <w:rPr>
      <w:rFonts w:cs="CenturyGothic"/>
      <w:color w:val="FFFFFF" w:themeColor="background1"/>
      <w:sz w:val="58"/>
      <w:szCs w:val="50"/>
    </w:rPr>
  </w:style>
  <w:style w:type="character" w:customStyle="1" w:styleId="TitleChar">
    <w:name w:val="Title Char"/>
    <w:basedOn w:val="DefaultParagraphFont"/>
    <w:link w:val="Title"/>
    <w:uiPriority w:val="36"/>
    <w:rsid w:val="009F072B"/>
    <w:rPr>
      <w:rFonts w:eastAsiaTheme="minorHAnsi" w:cs="CenturyGothic"/>
      <w:color w:val="FFFFFF" w:themeColor="background1"/>
      <w:sz w:val="58"/>
      <w:szCs w:val="50"/>
    </w:rPr>
  </w:style>
  <w:style w:type="paragraph" w:styleId="Subtitle">
    <w:name w:val="Subtitle"/>
    <w:basedOn w:val="Normal"/>
    <w:next w:val="Normal"/>
    <w:link w:val="SubtitleChar"/>
    <w:uiPriority w:val="37"/>
    <w:unhideWhenUsed/>
    <w:qFormat/>
    <w:rsid w:val="009F072B"/>
    <w:pPr>
      <w:suppressAutoHyphens/>
      <w:spacing w:before="160" w:line="240" w:lineRule="auto"/>
    </w:pPr>
    <w:rPr>
      <w:rFonts w:cs="CenturyGothic"/>
      <w:b/>
      <w:caps/>
      <w:color w:val="FFFFFF" w:themeColor="background1"/>
      <w:spacing w:val="20"/>
      <w:sz w:val="32"/>
      <w:szCs w:val="38"/>
      <w:lang w:eastAsia="en-US"/>
    </w:rPr>
  </w:style>
  <w:style w:type="character" w:customStyle="1" w:styleId="SubtitleChar">
    <w:name w:val="Subtitle Char"/>
    <w:basedOn w:val="DefaultParagraphFont"/>
    <w:link w:val="Subtitle"/>
    <w:uiPriority w:val="37"/>
    <w:rsid w:val="009F072B"/>
    <w:rPr>
      <w:rFonts w:eastAsiaTheme="minorHAnsi" w:cs="CenturyGothic"/>
      <w:b/>
      <w:caps/>
      <w:color w:val="FFFFFF" w:themeColor="background1"/>
      <w:spacing w:val="20"/>
      <w:sz w:val="32"/>
      <w:szCs w:val="38"/>
      <w:lang w:eastAsia="en-US"/>
    </w:rPr>
  </w:style>
  <w:style w:type="character" w:customStyle="1" w:styleId="Heading2Char">
    <w:name w:val="Heading 2 Char"/>
    <w:aliases w:val="BG Heading 2 Char"/>
    <w:basedOn w:val="DefaultParagraphFont"/>
    <w:link w:val="Heading2"/>
    <w:uiPriority w:val="3"/>
    <w:rsid w:val="009F072B"/>
    <w:rPr>
      <w:rFonts w:eastAsiaTheme="majorEastAsia" w:cstheme="majorBidi"/>
      <w:bCs/>
      <w:color w:val="404040" w:themeColor="text1" w:themeTint="BF"/>
      <w:sz w:val="41"/>
      <w:szCs w:val="41"/>
      <w:lang w:eastAsia="en-US"/>
    </w:rPr>
  </w:style>
  <w:style w:type="character" w:customStyle="1" w:styleId="Heading3Char">
    <w:name w:val="Heading 3 Char"/>
    <w:aliases w:val="BG Heading 3 Char"/>
    <w:basedOn w:val="DefaultParagraphFont"/>
    <w:link w:val="Heading3"/>
    <w:uiPriority w:val="3"/>
    <w:rsid w:val="009F072B"/>
    <w:rPr>
      <w:rFonts w:eastAsiaTheme="majorEastAsia" w:cstheme="majorBidi"/>
      <w:b/>
      <w:bCs/>
      <w:color w:val="404040" w:themeColor="text1" w:themeTint="BF"/>
      <w:spacing w:val="4"/>
      <w:sz w:val="34"/>
      <w:szCs w:val="34"/>
      <w:lang w:eastAsia="en-US"/>
    </w:rPr>
  </w:style>
  <w:style w:type="character" w:customStyle="1" w:styleId="Heading4Char">
    <w:name w:val="Heading 4 Char"/>
    <w:aliases w:val="BG Heading 4 Char"/>
    <w:basedOn w:val="DefaultParagraphFont"/>
    <w:link w:val="Heading4"/>
    <w:uiPriority w:val="3"/>
    <w:rsid w:val="009F072B"/>
    <w:rPr>
      <w:rFonts w:eastAsiaTheme="majorEastAsia" w:cstheme="majorBidi"/>
      <w:b/>
      <w:bCs/>
      <w:iCs/>
      <w:color w:val="2297AA" w:themeColor="accent2"/>
      <w:sz w:val="29"/>
      <w:szCs w:val="29"/>
      <w:lang w:val="en-CA" w:eastAsia="en-US"/>
    </w:rPr>
  </w:style>
  <w:style w:type="character" w:styleId="SubtleEmphasis">
    <w:name w:val="Subtle Emphasis"/>
    <w:uiPriority w:val="20"/>
    <w:semiHidden/>
    <w:unhideWhenUsed/>
    <w:qFormat/>
    <w:rsid w:val="009F072B"/>
    <w:rPr>
      <w:rFonts w:ascii="Calibri" w:hAnsi="Calibri" w:cs="CenturyGothic-Bold"/>
      <w:b w:val="0"/>
      <w:bCs/>
      <w:i/>
      <w:color w:val="2297AA" w:themeColor="accent2"/>
      <w:spacing w:val="5"/>
      <w:sz w:val="22"/>
      <w:szCs w:val="26"/>
    </w:rPr>
  </w:style>
  <w:style w:type="character" w:styleId="IntenseEmphasis">
    <w:name w:val="Intense Emphasis"/>
    <w:basedOn w:val="DefaultParagraphFont"/>
    <w:uiPriority w:val="21"/>
    <w:unhideWhenUsed/>
    <w:rsid w:val="009F072B"/>
    <w:rPr>
      <w:b/>
      <w:i/>
      <w:iCs/>
      <w:color w:val="1B3D6F" w:themeColor="accent1"/>
      <w:sz w:val="24"/>
    </w:rPr>
  </w:style>
  <w:style w:type="character" w:styleId="Hyperlink">
    <w:name w:val="Hyperlink"/>
    <w:basedOn w:val="DefaultParagraphFont"/>
    <w:uiPriority w:val="99"/>
    <w:unhideWhenUsed/>
    <w:rsid w:val="009F072B"/>
    <w:rPr>
      <w:color w:val="2297AA" w:themeColor="accent2"/>
      <w:u w:val="single"/>
    </w:rPr>
  </w:style>
  <w:style w:type="paragraph" w:styleId="FootnoteText">
    <w:name w:val="footnote text"/>
    <w:aliases w:val="BGN Footnote Text,BG Footnote Text,TBG Style,TBG Style Char1 Char,Footnote Text-TBG,Car,Texto nota pie Car,fn,footnote text,Footnotes,Footnote ak,ICSID,footnote text Char,FTI Footnote Text,ft,Footnote Text Char Char,Footn,ft Ch,Footnote"/>
    <w:basedOn w:val="Normal"/>
    <w:link w:val="FootnoteTextChar"/>
    <w:uiPriority w:val="99"/>
    <w:unhideWhenUsed/>
    <w:qFormat/>
    <w:rsid w:val="009F072B"/>
    <w:pPr>
      <w:tabs>
        <w:tab w:val="left" w:pos="360"/>
      </w:tabs>
      <w:spacing w:before="60" w:line="240" w:lineRule="auto"/>
      <w:ind w:left="288" w:hanging="288"/>
    </w:pPr>
    <w:rPr>
      <w:rFonts w:eastAsia="PMingLiU" w:cs="Times New Roman"/>
      <w:color w:val="000000" w:themeColor="text1"/>
      <w:sz w:val="20"/>
      <w:szCs w:val="23"/>
      <w:lang w:eastAsia="en-US"/>
    </w:rPr>
  </w:style>
  <w:style w:type="character" w:customStyle="1" w:styleId="FootnoteTextChar">
    <w:name w:val="Footnote Text Char"/>
    <w:aliases w:val="BGN Footnote Text Char,BG Footnote Text Char,TBG Style Char,TBG Style Char1 Char Char,Footnote Text-TBG Char,Car Char,Texto nota pie Car Char,fn Char,footnote text Char1,Footnotes Char,Footnote ak Char,ICSID Char,ft Char,Footn Char"/>
    <w:basedOn w:val="DefaultParagraphFont"/>
    <w:link w:val="FootnoteText"/>
    <w:uiPriority w:val="99"/>
    <w:rsid w:val="009F072B"/>
    <w:rPr>
      <w:rFonts w:eastAsia="PMingLiU" w:cs="Times New Roman"/>
      <w:color w:val="000000" w:themeColor="text1"/>
      <w:sz w:val="20"/>
      <w:szCs w:val="23"/>
      <w:lang w:eastAsia="en-US"/>
    </w:rPr>
  </w:style>
  <w:style w:type="character" w:styleId="FootnoteReference">
    <w:name w:val="footnote reference"/>
    <w:aliases w:val="Ref,de nota al pie,Style 10,Style 13,fr,Style 7,Style 5,o,Style 12,Style 15,Style 17,Style 9,o1,fr1,o2,fr2,o3,fr3,Style 18,(NECG) Footnote Reference,Style 20,Style 8,Style 19,Style 28,Style 11,Style 16,Styl,Footnote Reference (EIS),No"/>
    <w:basedOn w:val="DefaultParagraphFont"/>
    <w:uiPriority w:val="31"/>
    <w:unhideWhenUsed/>
    <w:qFormat/>
    <w:rsid w:val="009F072B"/>
    <w:rPr>
      <w:rFonts w:asciiTheme="majorHAnsi" w:hAnsiTheme="majorHAnsi"/>
      <w:b w:val="0"/>
      <w:color w:val="000000" w:themeColor="text1"/>
      <w:vertAlign w:val="superscript"/>
    </w:rPr>
  </w:style>
  <w:style w:type="numbering" w:customStyle="1" w:styleId="AffidavitBullets">
    <w:name w:val="AffidavitBullets"/>
    <w:uiPriority w:val="99"/>
    <w:rsid w:val="00C23160"/>
    <w:pPr>
      <w:numPr>
        <w:numId w:val="1"/>
      </w:numPr>
    </w:pPr>
  </w:style>
  <w:style w:type="paragraph" w:styleId="Quote">
    <w:name w:val="Quote"/>
    <w:basedOn w:val="Normal"/>
    <w:next w:val="Paragraph"/>
    <w:link w:val="QuoteChar"/>
    <w:uiPriority w:val="13"/>
    <w:unhideWhenUsed/>
    <w:qFormat/>
    <w:rsid w:val="009F072B"/>
    <w:pPr>
      <w:pBdr>
        <w:left w:val="single" w:sz="18" w:space="18" w:color="F26A25" w:themeColor="accent5"/>
      </w:pBdr>
      <w:shd w:val="clear" w:color="auto" w:fill="FFFFFF" w:themeFill="background1"/>
      <w:spacing w:before="360" w:after="360"/>
      <w:ind w:left="720" w:right="1080"/>
    </w:pPr>
    <w:rPr>
      <w:iCs/>
      <w:color w:val="404040" w:themeColor="text1" w:themeTint="BF"/>
      <w:sz w:val="29"/>
      <w:szCs w:val="23"/>
      <w:lang w:eastAsia="en-US"/>
    </w:rPr>
  </w:style>
  <w:style w:type="character" w:customStyle="1" w:styleId="QuoteChar">
    <w:name w:val="Quote Char"/>
    <w:basedOn w:val="DefaultParagraphFont"/>
    <w:link w:val="Quote"/>
    <w:uiPriority w:val="13"/>
    <w:rsid w:val="009F072B"/>
    <w:rPr>
      <w:rFonts w:eastAsiaTheme="minorHAnsi"/>
      <w:iCs/>
      <w:color w:val="404040" w:themeColor="text1" w:themeTint="BF"/>
      <w:sz w:val="29"/>
      <w:szCs w:val="23"/>
      <w:shd w:val="clear" w:color="auto" w:fill="FFFFFF" w:themeFill="background1"/>
      <w:lang w:eastAsia="en-US"/>
    </w:rPr>
  </w:style>
  <w:style w:type="character" w:styleId="CommentReference">
    <w:name w:val="annotation reference"/>
    <w:basedOn w:val="DefaultParagraphFont"/>
    <w:uiPriority w:val="99"/>
    <w:semiHidden/>
    <w:unhideWhenUsed/>
    <w:rsid w:val="009F072B"/>
    <w:rPr>
      <w:sz w:val="16"/>
      <w:szCs w:val="16"/>
    </w:rPr>
  </w:style>
  <w:style w:type="paragraph" w:styleId="CommentSubject">
    <w:name w:val="annotation subject"/>
    <w:basedOn w:val="Normal"/>
    <w:next w:val="Normal"/>
    <w:link w:val="CommentSubjectChar"/>
    <w:uiPriority w:val="99"/>
    <w:semiHidden/>
    <w:unhideWhenUsed/>
    <w:rsid w:val="009F072B"/>
    <w:rPr>
      <w:b/>
      <w:bCs/>
      <w:sz w:val="20"/>
      <w:szCs w:val="20"/>
    </w:rPr>
  </w:style>
  <w:style w:type="character" w:customStyle="1" w:styleId="CommentSubjectChar">
    <w:name w:val="Comment Subject Char"/>
    <w:basedOn w:val="DefaultParagraphFont"/>
    <w:link w:val="CommentSubject"/>
    <w:uiPriority w:val="99"/>
    <w:semiHidden/>
    <w:rsid w:val="009F072B"/>
    <w:rPr>
      <w:rFonts w:eastAsiaTheme="minorHAnsi"/>
      <w:b/>
      <w:bCs/>
      <w:sz w:val="20"/>
      <w:szCs w:val="20"/>
    </w:rPr>
  </w:style>
  <w:style w:type="paragraph" w:styleId="ListParagraph">
    <w:name w:val="List Paragraph"/>
    <w:basedOn w:val="Normal"/>
    <w:uiPriority w:val="5"/>
    <w:unhideWhenUsed/>
    <w:qFormat/>
    <w:rsid w:val="009F072B"/>
    <w:pPr>
      <w:numPr>
        <w:numId w:val="29"/>
      </w:numPr>
      <w:spacing w:before="120"/>
    </w:pPr>
  </w:style>
  <w:style w:type="table" w:styleId="TableGrid">
    <w:name w:val="Table Grid"/>
    <w:basedOn w:val="TableNormal"/>
    <w:unhideWhenUsed/>
    <w:rsid w:val="009F072B"/>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ueTable">
    <w:name w:val="Blue Table"/>
    <w:basedOn w:val="TableNormal"/>
    <w:uiPriority w:val="99"/>
    <w:unhideWhenUsed/>
    <w:rsid w:val="009F072B"/>
    <w:rPr>
      <w:rFonts w:eastAsiaTheme="minorHAnsi"/>
      <w:color w:val="000000" w:themeColor="text1" w:themeShade="BF"/>
      <w:sz w:val="20"/>
    </w:rPr>
    <w:tblPr>
      <w:tblStyleRowBandSize w:val="1"/>
    </w:tblPr>
    <w:tcPr>
      <w:shd w:val="clear" w:color="auto" w:fill="F2F2F2" w:themeFill="background1" w:themeFillShade="F2"/>
    </w:tcPr>
    <w:tblStylePr w:type="firstRow">
      <w:pPr>
        <w:wordWrap/>
        <w:jc w:val="left"/>
      </w:pPr>
      <w:rPr>
        <w:color w:val="FFFFFF" w:themeColor="background1"/>
      </w:rPr>
      <w:tblPr/>
      <w:tcPr>
        <w:shd w:val="clear" w:color="auto" w:fill="1B3D6F" w:themeFill="accent1"/>
        <w:vAlign w:val="center"/>
      </w:tcPr>
    </w:tblStylePr>
    <w:tblStylePr w:type="lastRow">
      <w:tblPr/>
      <w:tcPr>
        <w:shd w:val="clear" w:color="auto" w:fill="000000" w:themeFill="text1"/>
      </w:tcPr>
    </w:tblStylePr>
    <w:tblStylePr w:type="band1Horz">
      <w:tblPr/>
      <w:tcPr>
        <w:shd w:val="clear" w:color="auto" w:fill="E8E8E8"/>
      </w:tcPr>
    </w:tblStylePr>
  </w:style>
  <w:style w:type="character" w:styleId="FollowedHyperlink">
    <w:name w:val="FollowedHyperlink"/>
    <w:basedOn w:val="DefaultParagraphFont"/>
    <w:uiPriority w:val="99"/>
    <w:semiHidden/>
    <w:unhideWhenUsed/>
    <w:rsid w:val="009F072B"/>
    <w:rPr>
      <w:color w:val="CD3E71" w:themeColor="followedHyperlink"/>
      <w:u w:val="single"/>
    </w:rPr>
  </w:style>
  <w:style w:type="paragraph" w:styleId="Revision">
    <w:name w:val="Revision"/>
    <w:hidden/>
    <w:uiPriority w:val="99"/>
    <w:semiHidden/>
    <w:rsid w:val="009F072B"/>
    <w:rPr>
      <w:rFonts w:ascii="Sylfaen" w:eastAsiaTheme="minorHAnsi" w:hAnsi="Sylfaen" w:cs="Times New Roman"/>
      <w:color w:val="000000"/>
      <w:sz w:val="23"/>
      <w:szCs w:val="23"/>
      <w:lang w:eastAsia="en-US"/>
    </w:rPr>
  </w:style>
  <w:style w:type="table" w:styleId="LightList-Accent5">
    <w:name w:val="Light List Accent 5"/>
    <w:basedOn w:val="TableNormal"/>
    <w:uiPriority w:val="61"/>
    <w:unhideWhenUsed/>
    <w:rsid w:val="009F072B"/>
    <w:rPr>
      <w:rFonts w:eastAsiaTheme="minorHAnsi"/>
    </w:rPr>
    <w:tblPr>
      <w:tblStyleRowBandSize w:val="1"/>
      <w:tblStyleColBandSize w:val="1"/>
      <w:tblBorders>
        <w:top w:val="single" w:sz="8" w:space="0" w:color="F26A25" w:themeColor="accent5"/>
        <w:left w:val="single" w:sz="8" w:space="0" w:color="F26A25" w:themeColor="accent5"/>
        <w:bottom w:val="single" w:sz="8" w:space="0" w:color="F26A25" w:themeColor="accent5"/>
        <w:right w:val="single" w:sz="8" w:space="0" w:color="F26A25" w:themeColor="accent5"/>
      </w:tblBorders>
    </w:tblPr>
    <w:tblStylePr w:type="firstRow">
      <w:pPr>
        <w:spacing w:before="0" w:after="0" w:line="240" w:lineRule="auto"/>
      </w:pPr>
      <w:rPr>
        <w:b/>
        <w:bCs/>
        <w:color w:val="FFFFFF" w:themeColor="background1"/>
      </w:rPr>
      <w:tblPr/>
      <w:tcPr>
        <w:shd w:val="clear" w:color="auto" w:fill="F26A25" w:themeFill="accent5"/>
      </w:tcPr>
    </w:tblStylePr>
    <w:tblStylePr w:type="lastRow">
      <w:pPr>
        <w:spacing w:before="0" w:after="0" w:line="240" w:lineRule="auto"/>
      </w:pPr>
      <w:rPr>
        <w:b/>
        <w:bCs/>
      </w:rPr>
      <w:tblPr/>
      <w:tcPr>
        <w:tcBorders>
          <w:top w:val="double" w:sz="6" w:space="0" w:color="F26A25" w:themeColor="accent5"/>
          <w:left w:val="single" w:sz="8" w:space="0" w:color="F26A25" w:themeColor="accent5"/>
          <w:bottom w:val="single" w:sz="8" w:space="0" w:color="F26A25" w:themeColor="accent5"/>
          <w:right w:val="single" w:sz="8" w:space="0" w:color="F26A25" w:themeColor="accent5"/>
        </w:tcBorders>
      </w:tcPr>
    </w:tblStylePr>
    <w:tblStylePr w:type="firstCol">
      <w:rPr>
        <w:b/>
        <w:bCs/>
      </w:rPr>
    </w:tblStylePr>
    <w:tblStylePr w:type="lastCol">
      <w:rPr>
        <w:b/>
        <w:bCs/>
      </w:rPr>
    </w:tblStylePr>
    <w:tblStylePr w:type="band1Vert">
      <w:tblPr/>
      <w:tcPr>
        <w:tcBorders>
          <w:top w:val="single" w:sz="8" w:space="0" w:color="F26A25" w:themeColor="accent5"/>
          <w:left w:val="single" w:sz="8" w:space="0" w:color="F26A25" w:themeColor="accent5"/>
          <w:bottom w:val="single" w:sz="8" w:space="0" w:color="F26A25" w:themeColor="accent5"/>
          <w:right w:val="single" w:sz="8" w:space="0" w:color="F26A25" w:themeColor="accent5"/>
        </w:tcBorders>
      </w:tcPr>
    </w:tblStylePr>
    <w:tblStylePr w:type="band1Horz">
      <w:tblPr/>
      <w:tcPr>
        <w:tcBorders>
          <w:top w:val="single" w:sz="8" w:space="0" w:color="F26A25" w:themeColor="accent5"/>
          <w:left w:val="single" w:sz="8" w:space="0" w:color="F26A25" w:themeColor="accent5"/>
          <w:bottom w:val="single" w:sz="8" w:space="0" w:color="F26A25" w:themeColor="accent5"/>
          <w:right w:val="single" w:sz="8" w:space="0" w:color="F26A25" w:themeColor="accent5"/>
        </w:tcBorders>
      </w:tcPr>
    </w:tblStylePr>
  </w:style>
  <w:style w:type="character" w:customStyle="1" w:styleId="Heading6Char">
    <w:name w:val="Heading 6 Char"/>
    <w:basedOn w:val="DefaultParagraphFont"/>
    <w:link w:val="Heading6"/>
    <w:uiPriority w:val="3"/>
    <w:rsid w:val="009F072B"/>
    <w:rPr>
      <w:rFonts w:ascii="Calibri" w:eastAsia="MS Gothic" w:hAnsi="Calibri" w:cs="Times New Roman"/>
      <w:b/>
      <w:caps/>
      <w:color w:val="2297AA" w:themeColor="accent2"/>
      <w:spacing w:val="10"/>
      <w:sz w:val="24"/>
      <w:szCs w:val="15"/>
      <w:lang w:eastAsia="en-US"/>
    </w:rPr>
  </w:style>
  <w:style w:type="character" w:customStyle="1" w:styleId="Heading7Char">
    <w:name w:val="Heading 7 Char"/>
    <w:basedOn w:val="DefaultParagraphFont"/>
    <w:link w:val="Heading7"/>
    <w:uiPriority w:val="3"/>
    <w:semiHidden/>
    <w:rsid w:val="009F072B"/>
    <w:rPr>
      <w:rFonts w:eastAsiaTheme="majorEastAsia" w:cstheme="majorBidi"/>
      <w:i/>
      <w:iCs/>
      <w:color w:val="404040" w:themeColor="text1" w:themeTint="BF"/>
      <w:sz w:val="24"/>
      <w:szCs w:val="23"/>
      <w:lang w:eastAsia="en-US"/>
    </w:rPr>
  </w:style>
  <w:style w:type="character" w:customStyle="1" w:styleId="Heading8Char">
    <w:name w:val="Heading 8 Char"/>
    <w:basedOn w:val="DefaultParagraphFont"/>
    <w:link w:val="Heading8"/>
    <w:uiPriority w:val="3"/>
    <w:semiHidden/>
    <w:rsid w:val="009F072B"/>
    <w:rPr>
      <w:rFonts w:eastAsiaTheme="majorEastAsia" w:cstheme="majorBidi"/>
      <w:color w:val="404040" w:themeColor="text1" w:themeTint="BF"/>
      <w:sz w:val="24"/>
      <w:szCs w:val="23"/>
      <w:lang w:eastAsia="en-US"/>
    </w:rPr>
  </w:style>
  <w:style w:type="character" w:customStyle="1" w:styleId="Heading9Char">
    <w:name w:val="Heading 9 Char"/>
    <w:basedOn w:val="DefaultParagraphFont"/>
    <w:link w:val="Heading9"/>
    <w:uiPriority w:val="3"/>
    <w:semiHidden/>
    <w:rsid w:val="009F072B"/>
    <w:rPr>
      <w:rFonts w:eastAsiaTheme="majorEastAsia" w:cstheme="majorBidi"/>
      <w:i/>
      <w:iCs/>
      <w:color w:val="404040" w:themeColor="text1" w:themeTint="BF"/>
      <w:sz w:val="24"/>
      <w:szCs w:val="23"/>
      <w:lang w:eastAsia="en-US"/>
    </w:rPr>
  </w:style>
  <w:style w:type="numbering" w:customStyle="1" w:styleId="AffidavitNumbers">
    <w:name w:val="AffidavitNumbers"/>
    <w:uiPriority w:val="99"/>
    <w:rsid w:val="00C23160"/>
    <w:pPr>
      <w:numPr>
        <w:numId w:val="2"/>
      </w:numPr>
    </w:pPr>
  </w:style>
  <w:style w:type="character" w:styleId="Emphasis">
    <w:name w:val="Emphasis"/>
    <w:basedOn w:val="DefaultParagraphFont"/>
    <w:uiPriority w:val="20"/>
    <w:unhideWhenUsed/>
    <w:qFormat/>
    <w:rsid w:val="009F072B"/>
    <w:rPr>
      <w:rFonts w:asciiTheme="minorHAnsi" w:hAnsiTheme="minorHAnsi"/>
      <w:i/>
      <w:iCs/>
    </w:rPr>
  </w:style>
  <w:style w:type="table" w:styleId="MediumList1-Accent3">
    <w:name w:val="Medium List 1 Accent 3"/>
    <w:basedOn w:val="TableNormal"/>
    <w:uiPriority w:val="65"/>
    <w:semiHidden/>
    <w:unhideWhenUsed/>
    <w:rsid w:val="009F072B"/>
    <w:rPr>
      <w:rFonts w:ascii="Sylfaen" w:eastAsiaTheme="minorHAnsi" w:hAnsi="Sylfaen"/>
      <w:color w:val="000000" w:themeColor="text1"/>
      <w:sz w:val="23"/>
      <w:szCs w:val="23"/>
      <w:lang w:eastAsia="en-US"/>
    </w:rPr>
    <w:tblPr>
      <w:tblStyleRowBandSize w:val="1"/>
      <w:tblStyleColBandSize w:val="1"/>
      <w:tblBorders>
        <w:top w:val="single" w:sz="8" w:space="0" w:color="37BA95" w:themeColor="accent3"/>
        <w:bottom w:val="single" w:sz="8" w:space="0" w:color="37BA95" w:themeColor="accent3"/>
      </w:tblBorders>
    </w:tblPr>
    <w:tblStylePr w:type="firstRow">
      <w:rPr>
        <w:rFonts w:asciiTheme="majorHAnsi" w:eastAsiaTheme="majorEastAsia" w:hAnsiTheme="majorHAnsi" w:cstheme="majorBidi"/>
      </w:rPr>
      <w:tblPr/>
      <w:tcPr>
        <w:tcBorders>
          <w:top w:val="nil"/>
          <w:bottom w:val="single" w:sz="8" w:space="0" w:color="37BA95" w:themeColor="accent3"/>
        </w:tcBorders>
      </w:tcPr>
    </w:tblStylePr>
    <w:tblStylePr w:type="lastRow">
      <w:rPr>
        <w:b/>
        <w:bCs/>
        <w:color w:val="002B54" w:themeColor="text2"/>
      </w:rPr>
      <w:tblPr/>
      <w:tcPr>
        <w:tcBorders>
          <w:top w:val="single" w:sz="8" w:space="0" w:color="37BA95" w:themeColor="accent3"/>
          <w:bottom w:val="single" w:sz="8" w:space="0" w:color="37BA95" w:themeColor="accent3"/>
        </w:tcBorders>
      </w:tcPr>
    </w:tblStylePr>
    <w:tblStylePr w:type="firstCol">
      <w:rPr>
        <w:b/>
        <w:bCs/>
      </w:rPr>
    </w:tblStylePr>
    <w:tblStylePr w:type="lastCol">
      <w:rPr>
        <w:b/>
        <w:bCs/>
      </w:rPr>
      <w:tblPr/>
      <w:tcPr>
        <w:tcBorders>
          <w:top w:val="single" w:sz="8" w:space="0" w:color="37BA95" w:themeColor="accent3"/>
          <w:bottom w:val="single" w:sz="8" w:space="0" w:color="37BA95" w:themeColor="accent3"/>
        </w:tcBorders>
      </w:tcPr>
    </w:tblStylePr>
    <w:tblStylePr w:type="band1Vert">
      <w:tblPr/>
      <w:tcPr>
        <w:shd w:val="clear" w:color="auto" w:fill="CBEFE5" w:themeFill="accent3" w:themeFillTint="3F"/>
      </w:tcPr>
    </w:tblStylePr>
    <w:tblStylePr w:type="band1Horz">
      <w:tblPr/>
      <w:tcPr>
        <w:shd w:val="clear" w:color="auto" w:fill="CBEFE5" w:themeFill="accent3" w:themeFillTint="3F"/>
      </w:tcPr>
    </w:tblStylePr>
  </w:style>
  <w:style w:type="table" w:styleId="ListTable4-Accent2">
    <w:name w:val="List Table 4 Accent 2"/>
    <w:basedOn w:val="TableNormal"/>
    <w:uiPriority w:val="49"/>
    <w:unhideWhenUsed/>
    <w:rsid w:val="009F072B"/>
    <w:rPr>
      <w:rFonts w:eastAsia="SimSun"/>
      <w:lang w:eastAsia="zh-CN"/>
    </w:rPr>
    <w:tblPr>
      <w:tblStyleRowBandSize w:val="1"/>
      <w:tblStyleColBandSize w:val="1"/>
      <w:tblBorders>
        <w:top w:val="single" w:sz="4" w:space="0" w:color="65CFE0" w:themeColor="accent2" w:themeTint="99"/>
        <w:left w:val="single" w:sz="4" w:space="0" w:color="65CFE0" w:themeColor="accent2" w:themeTint="99"/>
        <w:bottom w:val="single" w:sz="4" w:space="0" w:color="65CFE0" w:themeColor="accent2" w:themeTint="99"/>
        <w:right w:val="single" w:sz="4" w:space="0" w:color="65CFE0" w:themeColor="accent2" w:themeTint="99"/>
        <w:insideH w:val="single" w:sz="4" w:space="0" w:color="65CFE0" w:themeColor="accent2" w:themeTint="99"/>
      </w:tblBorders>
    </w:tblPr>
    <w:tblStylePr w:type="firstRow">
      <w:rPr>
        <w:b/>
        <w:bCs/>
        <w:color w:val="FFFFFF" w:themeColor="background1"/>
      </w:rPr>
      <w:tblPr/>
      <w:tcPr>
        <w:tcBorders>
          <w:top w:val="single" w:sz="4" w:space="0" w:color="2297AA" w:themeColor="accent2"/>
          <w:left w:val="single" w:sz="4" w:space="0" w:color="2297AA" w:themeColor="accent2"/>
          <w:bottom w:val="single" w:sz="4" w:space="0" w:color="2297AA" w:themeColor="accent2"/>
          <w:right w:val="single" w:sz="4" w:space="0" w:color="2297AA" w:themeColor="accent2"/>
          <w:insideH w:val="nil"/>
        </w:tcBorders>
        <w:shd w:val="clear" w:color="auto" w:fill="2297AA" w:themeFill="accent2"/>
      </w:tcPr>
    </w:tblStylePr>
    <w:tblStylePr w:type="lastRow">
      <w:rPr>
        <w:b/>
        <w:bCs/>
      </w:rPr>
      <w:tblPr/>
      <w:tcPr>
        <w:tcBorders>
          <w:top w:val="double" w:sz="4" w:space="0" w:color="65CFE0" w:themeColor="accent2" w:themeTint="99"/>
        </w:tcBorders>
      </w:tcPr>
    </w:tblStylePr>
    <w:tblStylePr w:type="firstCol">
      <w:rPr>
        <w:b/>
        <w:bCs/>
      </w:rPr>
    </w:tblStylePr>
    <w:tblStylePr w:type="lastCol">
      <w:rPr>
        <w:b/>
        <w:bCs/>
      </w:rPr>
    </w:tblStylePr>
    <w:tblStylePr w:type="band1Vert">
      <w:tblPr/>
      <w:tcPr>
        <w:shd w:val="clear" w:color="auto" w:fill="CBEFF4" w:themeFill="accent2" w:themeFillTint="33"/>
      </w:tcPr>
    </w:tblStylePr>
    <w:tblStylePr w:type="band1Horz">
      <w:tblPr/>
      <w:tcPr>
        <w:shd w:val="clear" w:color="auto" w:fill="CBEFF4" w:themeFill="accent2" w:themeFillTint="33"/>
      </w:tcPr>
    </w:tblStylePr>
  </w:style>
  <w:style w:type="character" w:styleId="Strong">
    <w:name w:val="Strong"/>
    <w:basedOn w:val="DefaultParagraphFont"/>
    <w:uiPriority w:val="22"/>
    <w:unhideWhenUsed/>
    <w:qFormat/>
    <w:rsid w:val="009F072B"/>
    <w:rPr>
      <w:rFonts w:asciiTheme="minorHAnsi" w:hAnsiTheme="minorHAnsi"/>
      <w:b/>
      <w:bCs/>
      <w:color w:val="000000" w:themeColor="text1" w:themeShade="80"/>
      <w:sz w:val="22"/>
    </w:rPr>
  </w:style>
  <w:style w:type="table" w:styleId="MediumShading1-Accent3">
    <w:name w:val="Medium Shading 1 Accent 3"/>
    <w:basedOn w:val="TableNormal"/>
    <w:uiPriority w:val="63"/>
    <w:unhideWhenUsed/>
    <w:rsid w:val="009F072B"/>
    <w:pPr>
      <w:jc w:val="both"/>
    </w:pPr>
    <w:rPr>
      <w:rFonts w:ascii="Sylfaen" w:eastAsiaTheme="minorHAnsi" w:hAnsi="Sylfaen" w:cs="Times New Roman"/>
      <w:color w:val="302F35"/>
      <w:sz w:val="23"/>
      <w:szCs w:val="23"/>
      <w:lang w:eastAsia="en-US"/>
    </w:rPr>
    <w:tblPr>
      <w:tblStyleRowBandSize w:val="1"/>
      <w:tblStyleColBandSize w:val="1"/>
      <w:tblBorders>
        <w:top w:val="single" w:sz="8" w:space="0" w:color="63D1B1" w:themeColor="accent3" w:themeTint="BF"/>
        <w:left w:val="single" w:sz="8" w:space="0" w:color="63D1B1" w:themeColor="accent3" w:themeTint="BF"/>
        <w:bottom w:val="single" w:sz="8" w:space="0" w:color="63D1B1" w:themeColor="accent3" w:themeTint="BF"/>
        <w:right w:val="single" w:sz="8" w:space="0" w:color="63D1B1" w:themeColor="accent3" w:themeTint="BF"/>
        <w:insideH w:val="single" w:sz="8" w:space="0" w:color="63D1B1" w:themeColor="accent3" w:themeTint="BF"/>
      </w:tblBorders>
    </w:tblPr>
    <w:tblStylePr w:type="firstRow">
      <w:pPr>
        <w:spacing w:before="0" w:after="0" w:line="240" w:lineRule="auto"/>
      </w:pPr>
      <w:rPr>
        <w:b/>
        <w:bCs/>
        <w:color w:val="FFFFFF" w:themeColor="background1"/>
      </w:rPr>
      <w:tblPr/>
      <w:tcPr>
        <w:tcBorders>
          <w:top w:val="single" w:sz="8" w:space="0" w:color="63D1B1" w:themeColor="accent3" w:themeTint="BF"/>
          <w:left w:val="single" w:sz="8" w:space="0" w:color="63D1B1" w:themeColor="accent3" w:themeTint="BF"/>
          <w:bottom w:val="single" w:sz="8" w:space="0" w:color="63D1B1" w:themeColor="accent3" w:themeTint="BF"/>
          <w:right w:val="single" w:sz="8" w:space="0" w:color="63D1B1" w:themeColor="accent3" w:themeTint="BF"/>
          <w:insideH w:val="nil"/>
          <w:insideV w:val="nil"/>
        </w:tcBorders>
        <w:shd w:val="clear" w:color="auto" w:fill="37BA95" w:themeFill="accent3"/>
      </w:tcPr>
    </w:tblStylePr>
    <w:tblStylePr w:type="lastRow">
      <w:pPr>
        <w:spacing w:before="0" w:after="0" w:line="240" w:lineRule="auto"/>
      </w:pPr>
      <w:rPr>
        <w:b/>
        <w:bCs/>
      </w:rPr>
      <w:tblPr/>
      <w:tcPr>
        <w:tcBorders>
          <w:top w:val="double" w:sz="6" w:space="0" w:color="63D1B1" w:themeColor="accent3" w:themeTint="BF"/>
          <w:left w:val="single" w:sz="8" w:space="0" w:color="63D1B1" w:themeColor="accent3" w:themeTint="BF"/>
          <w:bottom w:val="single" w:sz="8" w:space="0" w:color="63D1B1" w:themeColor="accent3" w:themeTint="BF"/>
          <w:right w:val="single" w:sz="8" w:space="0" w:color="63D1B1"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EFE5" w:themeFill="accent3" w:themeFillTint="3F"/>
      </w:tcPr>
    </w:tblStylePr>
    <w:tblStylePr w:type="band1Horz">
      <w:tblPr/>
      <w:tcPr>
        <w:tcBorders>
          <w:insideH w:val="nil"/>
          <w:insideV w:val="nil"/>
        </w:tcBorders>
        <w:shd w:val="clear" w:color="auto" w:fill="CBEFE5" w:themeFill="accent3" w:themeFillTint="3F"/>
      </w:tcPr>
    </w:tblStylePr>
    <w:tblStylePr w:type="band2Horz">
      <w:tblPr/>
      <w:tcPr>
        <w:tcBorders>
          <w:insideH w:val="nil"/>
          <w:insideV w:val="nil"/>
        </w:tcBorders>
      </w:tcPr>
    </w:tblStylePr>
  </w:style>
  <w:style w:type="table" w:styleId="GridTable1Light-Accent2">
    <w:name w:val="Grid Table 1 Light Accent 2"/>
    <w:basedOn w:val="TableNormal"/>
    <w:uiPriority w:val="46"/>
    <w:unhideWhenUsed/>
    <w:rsid w:val="009F072B"/>
    <w:rPr>
      <w:rFonts w:eastAsiaTheme="minorHAnsi"/>
    </w:rPr>
    <w:tblPr>
      <w:tblStyleRowBandSize w:val="1"/>
      <w:tblStyleColBandSize w:val="1"/>
      <w:tblBorders>
        <w:top w:val="single" w:sz="4" w:space="0" w:color="98DFEA" w:themeColor="accent2" w:themeTint="66"/>
        <w:left w:val="single" w:sz="4" w:space="0" w:color="98DFEA" w:themeColor="accent2" w:themeTint="66"/>
        <w:bottom w:val="single" w:sz="4" w:space="0" w:color="98DFEA" w:themeColor="accent2" w:themeTint="66"/>
        <w:right w:val="single" w:sz="4" w:space="0" w:color="98DFEA" w:themeColor="accent2" w:themeTint="66"/>
        <w:insideH w:val="single" w:sz="4" w:space="0" w:color="98DFEA" w:themeColor="accent2" w:themeTint="66"/>
        <w:insideV w:val="single" w:sz="4" w:space="0" w:color="98DFEA" w:themeColor="accent2" w:themeTint="66"/>
      </w:tblBorders>
    </w:tblPr>
    <w:tblStylePr w:type="firstRow">
      <w:rPr>
        <w:b/>
        <w:bCs/>
      </w:rPr>
      <w:tblPr/>
      <w:tcPr>
        <w:tcBorders>
          <w:bottom w:val="single" w:sz="12" w:space="0" w:color="65CFE0" w:themeColor="accent2" w:themeTint="99"/>
        </w:tcBorders>
      </w:tcPr>
    </w:tblStylePr>
    <w:tblStylePr w:type="lastRow">
      <w:rPr>
        <w:b/>
        <w:bCs/>
      </w:rPr>
      <w:tblPr/>
      <w:tcPr>
        <w:tcBorders>
          <w:top w:val="double" w:sz="2" w:space="0" w:color="65CFE0" w:themeColor="accent2"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unhideWhenUsed/>
    <w:rsid w:val="009F072B"/>
    <w:rPr>
      <w:color w:val="494F56" w:themeColor="background2"/>
    </w:rPr>
  </w:style>
  <w:style w:type="paragraph" w:customStyle="1" w:styleId="FootnoteSeparator">
    <w:name w:val="Footnote Separator"/>
    <w:basedOn w:val="Normal"/>
    <w:uiPriority w:val="31"/>
    <w:unhideWhenUsed/>
    <w:qFormat/>
    <w:rsid w:val="009F072B"/>
    <w:pPr>
      <w:pBdr>
        <w:top w:val="single" w:sz="4" w:space="6" w:color="D8DBDE" w:themeColor="background2" w:themeTint="33"/>
      </w:pBdr>
      <w:spacing w:line="80" w:lineRule="exact"/>
    </w:pPr>
    <w:rPr>
      <w:rFonts w:ascii="Calibri" w:eastAsiaTheme="minorEastAsia" w:hAnsi="Calibri"/>
      <w:color w:val="CCCCCC" w:themeColor="text1" w:themeTint="33"/>
    </w:rPr>
  </w:style>
  <w:style w:type="numbering" w:customStyle="1" w:styleId="BrattleHeadings">
    <w:name w:val="BrattleHeadings"/>
    <w:uiPriority w:val="99"/>
    <w:rsid w:val="009F072B"/>
    <w:pPr>
      <w:numPr>
        <w:numId w:val="25"/>
      </w:numPr>
    </w:pPr>
  </w:style>
  <w:style w:type="paragraph" w:customStyle="1" w:styleId="TableText">
    <w:name w:val="Table Text"/>
    <w:basedOn w:val="Normal"/>
    <w:uiPriority w:val="11"/>
    <w:unhideWhenUsed/>
    <w:qFormat/>
    <w:rsid w:val="009F072B"/>
    <w:pPr>
      <w:spacing w:after="120" w:line="240" w:lineRule="auto"/>
    </w:pPr>
    <w:rPr>
      <w:rFonts w:eastAsia="PMingLiU"/>
      <w:color w:val="000000" w:themeColor="text1" w:themeShade="BF"/>
      <w:sz w:val="20"/>
    </w:rPr>
  </w:style>
  <w:style w:type="paragraph" w:customStyle="1" w:styleId="TableHeader">
    <w:name w:val="Table Header"/>
    <w:basedOn w:val="TableText"/>
    <w:uiPriority w:val="11"/>
    <w:unhideWhenUsed/>
    <w:qFormat/>
    <w:rsid w:val="009F072B"/>
    <w:pPr>
      <w:spacing w:after="0" w:line="216" w:lineRule="auto"/>
      <w:jc w:val="center"/>
    </w:pPr>
    <w:rPr>
      <w:b/>
      <w:color w:val="FFFFFF" w:themeColor="background1"/>
      <w:sz w:val="22"/>
      <w:lang w:val="en-CA"/>
    </w:rPr>
  </w:style>
  <w:style w:type="paragraph" w:customStyle="1" w:styleId="TableTextBulleted">
    <w:name w:val="Table Text Bulleted"/>
    <w:basedOn w:val="TableText"/>
    <w:uiPriority w:val="11"/>
    <w:unhideWhenUsed/>
    <w:qFormat/>
    <w:rsid w:val="009F072B"/>
    <w:pPr>
      <w:numPr>
        <w:numId w:val="31"/>
      </w:numPr>
    </w:pPr>
    <w:rPr>
      <w:rFonts w:asciiTheme="majorHAnsi" w:hAnsiTheme="majorHAnsi" w:cs="Calibri"/>
      <w:lang w:val="en-CA"/>
    </w:rPr>
  </w:style>
  <w:style w:type="paragraph" w:customStyle="1" w:styleId="EndnoteSeparator">
    <w:name w:val="Endnote Separator"/>
    <w:basedOn w:val="Normal"/>
    <w:uiPriority w:val="20"/>
    <w:semiHidden/>
    <w:unhideWhenUsed/>
    <w:qFormat/>
    <w:rsid w:val="009F072B"/>
    <w:pPr>
      <w:pBdr>
        <w:top w:val="single" w:sz="4" w:space="6" w:color="D8DBDE" w:themeColor="background2" w:themeTint="33"/>
      </w:pBdr>
      <w:spacing w:before="120" w:after="120" w:line="360" w:lineRule="exact"/>
    </w:pPr>
    <w:rPr>
      <w:rFonts w:ascii="Calibri" w:hAnsi="Calibri"/>
      <w:color w:val="CCCCCC" w:themeColor="text1" w:themeTint="33"/>
    </w:rPr>
  </w:style>
  <w:style w:type="paragraph" w:customStyle="1" w:styleId="FigureSource">
    <w:name w:val="Figure Source"/>
    <w:basedOn w:val="Normal"/>
    <w:next w:val="Paragraph"/>
    <w:uiPriority w:val="12"/>
    <w:unhideWhenUsed/>
    <w:qFormat/>
    <w:rsid w:val="009F072B"/>
    <w:pPr>
      <w:spacing w:before="20" w:line="240" w:lineRule="auto"/>
    </w:pPr>
    <w:rPr>
      <w:rFonts w:ascii="Calibri" w:eastAsia="PMingLiU" w:hAnsi="Calibri"/>
      <w:color w:val="404040" w:themeColor="text1" w:themeTint="BF"/>
      <w:sz w:val="20"/>
      <w:lang w:eastAsia="en-US"/>
    </w:rPr>
  </w:style>
  <w:style w:type="paragraph" w:customStyle="1" w:styleId="FigureSourceBullets">
    <w:name w:val="Figure Source Bullets"/>
    <w:basedOn w:val="FigureSource"/>
    <w:uiPriority w:val="12"/>
    <w:unhideWhenUsed/>
    <w:qFormat/>
    <w:rsid w:val="009F072B"/>
    <w:pPr>
      <w:numPr>
        <w:numId w:val="9"/>
      </w:numPr>
    </w:pPr>
    <w:rPr>
      <w:lang w:val="en-CA"/>
    </w:rPr>
  </w:style>
  <w:style w:type="character" w:styleId="IntenseReference">
    <w:name w:val="Intense Reference"/>
    <w:basedOn w:val="DefaultParagraphFont"/>
    <w:uiPriority w:val="24"/>
    <w:unhideWhenUsed/>
    <w:qFormat/>
    <w:rsid w:val="009F072B"/>
    <w:rPr>
      <w:rFonts w:asciiTheme="minorHAnsi" w:hAnsiTheme="minorHAnsi"/>
      <w:b/>
      <w:bCs/>
      <w:caps/>
      <w:smallCaps w:val="0"/>
      <w:color w:val="000000" w:themeColor="text1" w:themeShade="80"/>
      <w:spacing w:val="10"/>
      <w:sz w:val="20"/>
    </w:rPr>
  </w:style>
  <w:style w:type="character" w:styleId="SubtleReference">
    <w:name w:val="Subtle Reference"/>
    <w:basedOn w:val="DefaultParagraphFont"/>
    <w:uiPriority w:val="23"/>
    <w:unhideWhenUsed/>
    <w:qFormat/>
    <w:rsid w:val="009F072B"/>
    <w:rPr>
      <w:rFonts w:asciiTheme="minorHAnsi" w:hAnsiTheme="minorHAnsi"/>
      <w:b w:val="0"/>
      <w:i w:val="0"/>
      <w:caps/>
      <w:smallCaps w:val="0"/>
      <w:color w:val="2297AA" w:themeColor="accent2"/>
      <w:spacing w:val="6"/>
    </w:rPr>
  </w:style>
  <w:style w:type="paragraph" w:customStyle="1" w:styleId="CalloutHeader">
    <w:name w:val="Callout Header"/>
    <w:basedOn w:val="Normal"/>
    <w:uiPriority w:val="17"/>
    <w:unhideWhenUsed/>
    <w:qFormat/>
    <w:rsid w:val="009F072B"/>
    <w:pPr>
      <w:jc w:val="center"/>
    </w:pPr>
    <w:rPr>
      <w:rFonts w:eastAsia="Times New Roman" w:cstheme="minorHAnsi"/>
      <w:b/>
      <w:bCs/>
      <w:caps/>
      <w:color w:val="FFFFFF" w:themeColor="background1"/>
      <w:spacing w:val="12"/>
      <w:sz w:val="28"/>
      <w:szCs w:val="28"/>
      <w:lang w:val="en-CA"/>
    </w:rPr>
  </w:style>
  <w:style w:type="paragraph" w:customStyle="1" w:styleId="CalloutText">
    <w:name w:val="Callout Text"/>
    <w:basedOn w:val="Normal"/>
    <w:uiPriority w:val="17"/>
    <w:unhideWhenUsed/>
    <w:qFormat/>
    <w:rsid w:val="009F072B"/>
    <w:pPr>
      <w:spacing w:after="240"/>
    </w:pPr>
    <w:rPr>
      <w:rFonts w:cstheme="minorHAnsi"/>
      <w:b/>
      <w:color w:val="FFFFFF" w:themeColor="background1"/>
      <w:lang w:val="en-CA"/>
    </w:rPr>
  </w:style>
  <w:style w:type="paragraph" w:customStyle="1" w:styleId="CalloutBullets">
    <w:name w:val="Callout Bullets"/>
    <w:basedOn w:val="CalloutText"/>
    <w:uiPriority w:val="17"/>
    <w:unhideWhenUsed/>
    <w:qFormat/>
    <w:rsid w:val="009F072B"/>
    <w:pPr>
      <w:numPr>
        <w:numId w:val="8"/>
      </w:numPr>
      <w:spacing w:line="264" w:lineRule="auto"/>
      <w:ind w:right="604"/>
    </w:pPr>
    <w:rPr>
      <w:szCs w:val="24"/>
    </w:rPr>
  </w:style>
  <w:style w:type="paragraph" w:customStyle="1" w:styleId="TableHeaderNumbered">
    <w:name w:val="Table Header Numbered"/>
    <w:basedOn w:val="TableHeader"/>
    <w:uiPriority w:val="11"/>
    <w:unhideWhenUsed/>
    <w:qFormat/>
    <w:rsid w:val="009F072B"/>
    <w:pPr>
      <w:numPr>
        <w:numId w:val="30"/>
      </w:numPr>
      <w:jc w:val="left"/>
    </w:pPr>
    <w:rPr>
      <w:bCs/>
    </w:rPr>
  </w:style>
  <w:style w:type="paragraph" w:customStyle="1" w:styleId="TitlePageElements">
    <w:name w:val="Title Page Elements"/>
    <w:basedOn w:val="Heading6"/>
    <w:uiPriority w:val="99"/>
    <w:semiHidden/>
    <w:unhideWhenUsed/>
    <w:qFormat/>
    <w:rsid w:val="009F072B"/>
    <w:pPr>
      <w:spacing w:before="80" w:after="80" w:line="320" w:lineRule="exact"/>
      <w:outlineLvl w:val="9"/>
    </w:pPr>
    <w:rPr>
      <w:i/>
      <w:caps w:val="0"/>
      <w:color w:val="494F56" w:themeColor="background2"/>
      <w:sz w:val="18"/>
      <w:lang w:eastAsia="zh-TW"/>
    </w:rPr>
  </w:style>
  <w:style w:type="character" w:customStyle="1" w:styleId="NuclearOption">
    <w:name w:val="Nuclear Option"/>
    <w:basedOn w:val="DefaultParagraphFont"/>
    <w:uiPriority w:val="25"/>
    <w:unhideWhenUsed/>
    <w:qFormat/>
    <w:rsid w:val="009F072B"/>
    <w:rPr>
      <w:b/>
      <w:caps/>
      <w:color w:val="E7474B"/>
      <w:spacing w:val="10"/>
      <w:sz w:val="20"/>
      <w:szCs w:val="18"/>
    </w:rPr>
  </w:style>
  <w:style w:type="paragraph" w:customStyle="1" w:styleId="Paragraph">
    <w:name w:val="Paragraph"/>
    <w:basedOn w:val="Normal"/>
    <w:uiPriority w:val="3"/>
    <w:unhideWhenUsed/>
    <w:qFormat/>
    <w:rsid w:val="009F072B"/>
    <w:pPr>
      <w:spacing w:before="240"/>
    </w:pPr>
    <w:rPr>
      <w:lang w:val="en-CA"/>
    </w:rPr>
  </w:style>
  <w:style w:type="paragraph" w:customStyle="1" w:styleId="ParagraphNumbered">
    <w:name w:val="Paragraph Numbered"/>
    <w:basedOn w:val="Paragraph"/>
    <w:uiPriority w:val="3"/>
    <w:unhideWhenUsed/>
    <w:qFormat/>
    <w:rsid w:val="00C70D9F"/>
    <w:pPr>
      <w:numPr>
        <w:numId w:val="32"/>
      </w:numPr>
    </w:pPr>
  </w:style>
  <w:style w:type="paragraph" w:styleId="EndnoteText">
    <w:name w:val="endnote text"/>
    <w:basedOn w:val="Normal"/>
    <w:link w:val="EndnoteTextChar"/>
    <w:uiPriority w:val="99"/>
    <w:semiHidden/>
    <w:unhideWhenUsed/>
    <w:rsid w:val="009F072B"/>
    <w:pPr>
      <w:spacing w:line="240" w:lineRule="auto"/>
    </w:pPr>
    <w:rPr>
      <w:sz w:val="20"/>
      <w:szCs w:val="20"/>
    </w:rPr>
  </w:style>
  <w:style w:type="character" w:customStyle="1" w:styleId="EndnoteTextChar">
    <w:name w:val="Endnote Text Char"/>
    <w:basedOn w:val="DefaultParagraphFont"/>
    <w:link w:val="EndnoteText"/>
    <w:uiPriority w:val="99"/>
    <w:semiHidden/>
    <w:rsid w:val="009F072B"/>
    <w:rPr>
      <w:rFonts w:eastAsiaTheme="minorHAnsi"/>
      <w:sz w:val="20"/>
      <w:szCs w:val="20"/>
    </w:rPr>
  </w:style>
  <w:style w:type="character" w:styleId="EndnoteReference">
    <w:name w:val="endnote reference"/>
    <w:basedOn w:val="DefaultParagraphFont"/>
    <w:uiPriority w:val="99"/>
    <w:semiHidden/>
    <w:unhideWhenUsed/>
    <w:rsid w:val="009F072B"/>
    <w:rPr>
      <w:vertAlign w:val="superscript"/>
    </w:rPr>
  </w:style>
  <w:style w:type="paragraph" w:customStyle="1" w:styleId="CompanyAuthorName">
    <w:name w:val="Company Author Name"/>
    <w:basedOn w:val="Normal"/>
    <w:link w:val="CompanyAuthorNameChar"/>
    <w:uiPriority w:val="38"/>
    <w:unhideWhenUsed/>
    <w:qFormat/>
    <w:rsid w:val="009F072B"/>
    <w:pPr>
      <w:spacing w:line="240" w:lineRule="auto"/>
    </w:pPr>
    <w:rPr>
      <w:rFonts w:cstheme="minorHAnsi"/>
      <w:color w:val="1B3D6F" w:themeColor="accent1"/>
      <w:sz w:val="32"/>
      <w:szCs w:val="32"/>
    </w:rPr>
  </w:style>
  <w:style w:type="paragraph" w:customStyle="1" w:styleId="CoverDate">
    <w:name w:val="Cover Date"/>
    <w:basedOn w:val="Normal"/>
    <w:link w:val="CoverDateChar"/>
    <w:autoRedefine/>
    <w:uiPriority w:val="38"/>
    <w:unhideWhenUsed/>
    <w:qFormat/>
    <w:rsid w:val="00F44841"/>
    <w:pPr>
      <w:spacing w:before="840" w:line="240" w:lineRule="auto"/>
      <w:jc w:val="both"/>
    </w:pPr>
    <w:rPr>
      <w:rFonts w:cstheme="minorHAnsi"/>
      <w:b/>
      <w:caps/>
      <w:color w:val="FFFFFF" w:themeColor="background1"/>
      <w:spacing w:val="6"/>
      <w:szCs w:val="32"/>
      <w14:textFill>
        <w14:solidFill>
          <w14:schemeClr w14:val="bg1">
            <w14:alpha w14:val="30000"/>
          </w14:schemeClr>
        </w14:solidFill>
      </w14:textFill>
    </w:rPr>
  </w:style>
  <w:style w:type="character" w:customStyle="1" w:styleId="CompanyAuthorNameChar">
    <w:name w:val="Company Author Name Char"/>
    <w:basedOn w:val="DefaultParagraphFont"/>
    <w:link w:val="CompanyAuthorName"/>
    <w:uiPriority w:val="38"/>
    <w:rsid w:val="009F072B"/>
    <w:rPr>
      <w:rFonts w:eastAsiaTheme="minorHAnsi" w:cstheme="minorHAnsi"/>
      <w:color w:val="1B3D6F" w:themeColor="accent1"/>
      <w:sz w:val="32"/>
      <w:szCs w:val="32"/>
    </w:rPr>
  </w:style>
  <w:style w:type="character" w:customStyle="1" w:styleId="CoverDateChar">
    <w:name w:val="Cover Date Char"/>
    <w:basedOn w:val="DefaultParagraphFont"/>
    <w:link w:val="CoverDate"/>
    <w:uiPriority w:val="38"/>
    <w:rsid w:val="00F44841"/>
    <w:rPr>
      <w:rFonts w:eastAsiaTheme="minorHAnsi" w:cstheme="minorHAnsi"/>
      <w:b/>
      <w:caps/>
      <w:color w:val="FFFFFF" w:themeColor="background1"/>
      <w:spacing w:val="6"/>
      <w:sz w:val="24"/>
      <w:szCs w:val="32"/>
      <w14:textFill>
        <w14:solidFill>
          <w14:schemeClr w14:val="bg1">
            <w14:alpha w14:val="30000"/>
          </w14:schemeClr>
        </w14:solidFill>
      </w14:textFill>
    </w:rPr>
  </w:style>
  <w:style w:type="character" w:customStyle="1" w:styleId="Heading5Char">
    <w:name w:val="Heading 5 Char"/>
    <w:basedOn w:val="DefaultParagraphFont"/>
    <w:link w:val="Heading5"/>
    <w:uiPriority w:val="3"/>
    <w:rsid w:val="009F072B"/>
    <w:rPr>
      <w:rFonts w:eastAsia="PMingLiU" w:cs="Times New Roman"/>
      <w:caps/>
      <w:color w:val="494F56" w:themeColor="background2"/>
      <w:spacing w:val="10"/>
      <w:sz w:val="24"/>
      <w:szCs w:val="28"/>
      <w:lang w:eastAsia="en-US"/>
    </w:rPr>
  </w:style>
  <w:style w:type="paragraph" w:styleId="NoSpacing">
    <w:name w:val="No Spacing"/>
    <w:link w:val="NoSpacingChar"/>
    <w:uiPriority w:val="99"/>
    <w:unhideWhenUsed/>
    <w:qFormat/>
    <w:rsid w:val="009F072B"/>
    <w:rPr>
      <w:rFonts w:eastAsiaTheme="minorHAnsi"/>
      <w:sz w:val="24"/>
      <w:lang w:eastAsia="en-US"/>
    </w:rPr>
  </w:style>
  <w:style w:type="character" w:customStyle="1" w:styleId="NoSpacingChar">
    <w:name w:val="No Spacing Char"/>
    <w:basedOn w:val="DefaultParagraphFont"/>
    <w:link w:val="NoSpacing"/>
    <w:uiPriority w:val="99"/>
    <w:rsid w:val="009F072B"/>
    <w:rPr>
      <w:rFonts w:eastAsiaTheme="minorHAnsi"/>
      <w:sz w:val="24"/>
      <w:lang w:eastAsia="en-US"/>
    </w:rPr>
  </w:style>
  <w:style w:type="paragraph" w:styleId="CommentText">
    <w:name w:val="annotation text"/>
    <w:basedOn w:val="Normal"/>
    <w:link w:val="CommentTextChar"/>
    <w:uiPriority w:val="99"/>
    <w:unhideWhenUsed/>
    <w:rsid w:val="009F072B"/>
    <w:pPr>
      <w:spacing w:line="240" w:lineRule="auto"/>
    </w:pPr>
    <w:rPr>
      <w:sz w:val="20"/>
      <w:szCs w:val="20"/>
    </w:rPr>
  </w:style>
  <w:style w:type="character" w:customStyle="1" w:styleId="CommentTextChar">
    <w:name w:val="Comment Text Char"/>
    <w:basedOn w:val="DefaultParagraphFont"/>
    <w:link w:val="CommentText"/>
    <w:uiPriority w:val="99"/>
    <w:rsid w:val="009F072B"/>
    <w:rPr>
      <w:rFonts w:eastAsiaTheme="minorHAnsi"/>
      <w:sz w:val="20"/>
      <w:szCs w:val="20"/>
    </w:rPr>
  </w:style>
  <w:style w:type="paragraph" w:customStyle="1" w:styleId="AffidavitHeading">
    <w:name w:val="Affidavit Heading"/>
    <w:basedOn w:val="Heading1"/>
    <w:uiPriority w:val="19"/>
    <w:semiHidden/>
    <w:rsid w:val="003A2B9E"/>
    <w:pPr>
      <w:tabs>
        <w:tab w:val="left" w:pos="360"/>
        <w:tab w:val="left" w:pos="1170"/>
      </w:tabs>
      <w:spacing w:before="240" w:line="240" w:lineRule="auto"/>
      <w:ind w:left="0" w:firstLine="0"/>
    </w:pPr>
    <w:rPr>
      <w:rFonts w:ascii="Times New Roman" w:eastAsia="Times New Roman" w:hAnsi="Times New Roman"/>
      <w:b/>
      <w:bCs w:val="0"/>
      <w:color w:val="000000"/>
      <w:sz w:val="24"/>
      <w:szCs w:val="28"/>
    </w:rPr>
  </w:style>
  <w:style w:type="paragraph" w:customStyle="1" w:styleId="TestimonyQParagraph">
    <w:name w:val="Testimony Q Paragraph"/>
    <w:basedOn w:val="Normal"/>
    <w:next w:val="TestimonyAParagraph"/>
    <w:uiPriority w:val="20"/>
    <w:semiHidden/>
    <w:unhideWhenUsed/>
    <w:rsid w:val="009F072B"/>
    <w:pPr>
      <w:numPr>
        <w:numId w:val="21"/>
      </w:numPr>
      <w:spacing w:before="480"/>
    </w:pPr>
    <w:rPr>
      <w:rFonts w:ascii="Times New Roman" w:eastAsia="Times New Roman" w:hAnsi="Times New Roman"/>
      <w:b/>
    </w:rPr>
  </w:style>
  <w:style w:type="paragraph" w:customStyle="1" w:styleId="TestimonyAParagraph">
    <w:name w:val="Testimony A Paragraph"/>
    <w:basedOn w:val="Normal"/>
    <w:next w:val="TestimonyQParagraph"/>
    <w:uiPriority w:val="20"/>
    <w:semiHidden/>
    <w:unhideWhenUsed/>
    <w:rsid w:val="009F072B"/>
    <w:pPr>
      <w:numPr>
        <w:numId w:val="20"/>
      </w:numPr>
    </w:pPr>
    <w:rPr>
      <w:rFonts w:ascii="Times New Roman" w:eastAsia="Times New Roman" w:hAnsi="Times New Roman"/>
    </w:rPr>
  </w:style>
  <w:style w:type="character" w:styleId="LineNumber">
    <w:name w:val="line number"/>
    <w:basedOn w:val="DefaultParagraphFont"/>
    <w:uiPriority w:val="99"/>
    <w:semiHidden/>
    <w:unhideWhenUsed/>
    <w:rsid w:val="009F072B"/>
    <w:rPr>
      <w:color w:val="494F56" w:themeColor="background2"/>
      <w:sz w:val="18"/>
    </w:rPr>
  </w:style>
  <w:style w:type="paragraph" w:styleId="IntenseQuote">
    <w:name w:val="Intense Quote"/>
    <w:basedOn w:val="Normal"/>
    <w:next w:val="Normal"/>
    <w:link w:val="IntenseQuoteChar"/>
    <w:uiPriority w:val="13"/>
    <w:unhideWhenUsed/>
    <w:qFormat/>
    <w:rsid w:val="009F072B"/>
    <w:pPr>
      <w:spacing w:before="360" w:after="360"/>
      <w:ind w:left="720" w:right="720"/>
    </w:pPr>
    <w:rPr>
      <w:rFonts w:ascii="Calibri" w:hAnsi="Calibri" w:cs="Times New Roman"/>
      <w:i/>
      <w:iCs/>
      <w:color w:val="404040" w:themeColor="text1" w:themeTint="BF"/>
      <w:szCs w:val="23"/>
      <w:lang w:eastAsia="en-US"/>
    </w:rPr>
  </w:style>
  <w:style w:type="character" w:customStyle="1" w:styleId="IntenseQuoteChar">
    <w:name w:val="Intense Quote Char"/>
    <w:basedOn w:val="DefaultParagraphFont"/>
    <w:link w:val="IntenseQuote"/>
    <w:uiPriority w:val="13"/>
    <w:rsid w:val="009F072B"/>
    <w:rPr>
      <w:rFonts w:ascii="Calibri" w:eastAsiaTheme="minorHAnsi" w:hAnsi="Calibri" w:cs="Times New Roman"/>
      <w:i/>
      <w:iCs/>
      <w:color w:val="404040" w:themeColor="text1" w:themeTint="BF"/>
      <w:sz w:val="24"/>
      <w:szCs w:val="23"/>
      <w:lang w:eastAsia="en-US"/>
    </w:rPr>
  </w:style>
  <w:style w:type="character" w:styleId="BookTitle">
    <w:name w:val="Book Title"/>
    <w:basedOn w:val="DefaultParagraphFont"/>
    <w:uiPriority w:val="99"/>
    <w:semiHidden/>
    <w:unhideWhenUsed/>
    <w:qFormat/>
    <w:rsid w:val="009F072B"/>
    <w:rPr>
      <w:b/>
      <w:bCs/>
      <w:i/>
      <w:iCs/>
      <w:spacing w:val="5"/>
    </w:rPr>
  </w:style>
  <w:style w:type="paragraph" w:customStyle="1" w:styleId="AffidavitListParagraph">
    <w:name w:val="Affidavit List Paragraph"/>
    <w:basedOn w:val="Normal"/>
    <w:uiPriority w:val="19"/>
    <w:semiHidden/>
    <w:unhideWhenUsed/>
    <w:qFormat/>
    <w:rsid w:val="00C23160"/>
    <w:pPr>
      <w:numPr>
        <w:numId w:val="1"/>
      </w:numPr>
    </w:pPr>
    <w:rPr>
      <w:rFonts w:ascii="Times New Roman" w:eastAsia="Times New Roman" w:hAnsi="Times New Roman"/>
      <w:szCs w:val="24"/>
    </w:rPr>
  </w:style>
  <w:style w:type="paragraph" w:customStyle="1" w:styleId="AffidavitNumberedParagraph">
    <w:name w:val="Affidavit Numbered Paragraph"/>
    <w:basedOn w:val="AffidavitParagraph"/>
    <w:uiPriority w:val="19"/>
    <w:semiHidden/>
    <w:unhideWhenUsed/>
    <w:qFormat/>
    <w:rsid w:val="00C23160"/>
    <w:pPr>
      <w:numPr>
        <w:numId w:val="2"/>
      </w:numPr>
    </w:pPr>
  </w:style>
  <w:style w:type="paragraph" w:customStyle="1" w:styleId="AffidavitParagraph">
    <w:name w:val="Affidavit Paragraph"/>
    <w:basedOn w:val="AffidavitListParagraph"/>
    <w:uiPriority w:val="20"/>
    <w:semiHidden/>
    <w:rsid w:val="00C23160"/>
    <w:pPr>
      <w:numPr>
        <w:numId w:val="0"/>
      </w:numPr>
    </w:pPr>
  </w:style>
  <w:style w:type="paragraph" w:customStyle="1" w:styleId="AffidavitQuote">
    <w:name w:val="Affidavit Quote"/>
    <w:basedOn w:val="AffidavitParagraph"/>
    <w:uiPriority w:val="20"/>
    <w:semiHidden/>
    <w:rsid w:val="00C23160"/>
    <w:pPr>
      <w:pBdr>
        <w:left w:val="single" w:sz="8" w:space="12" w:color="auto"/>
      </w:pBdr>
      <w:spacing w:before="240" w:after="240" w:line="240" w:lineRule="auto"/>
      <w:ind w:left="864" w:right="864"/>
    </w:pPr>
    <w:rPr>
      <w:i/>
      <w:iCs/>
      <w:color w:val="000000"/>
    </w:rPr>
  </w:style>
  <w:style w:type="paragraph" w:customStyle="1" w:styleId="Heading1Affidavit">
    <w:name w:val="Heading 1 Affidavit"/>
    <w:basedOn w:val="Normal"/>
    <w:uiPriority w:val="19"/>
    <w:semiHidden/>
    <w:rsid w:val="00C23160"/>
    <w:pPr>
      <w:keepNext/>
      <w:keepLines/>
      <w:numPr>
        <w:numId w:val="10"/>
      </w:numPr>
      <w:tabs>
        <w:tab w:val="left" w:pos="360"/>
        <w:tab w:val="left" w:pos="1170"/>
      </w:tabs>
      <w:spacing w:before="240" w:line="240" w:lineRule="auto"/>
      <w:mirrorIndents/>
      <w:outlineLvl w:val="1"/>
    </w:pPr>
    <w:rPr>
      <w:rFonts w:ascii="Times New Roman" w:eastAsia="Times New Roman" w:hAnsi="Times New Roman"/>
      <w:b/>
      <w:color w:val="000000"/>
      <w:szCs w:val="28"/>
    </w:rPr>
  </w:style>
  <w:style w:type="paragraph" w:customStyle="1" w:styleId="Heading2Affidavit">
    <w:name w:val="Heading 2 Affidavit"/>
    <w:basedOn w:val="Heading1Affidavit"/>
    <w:uiPriority w:val="19"/>
    <w:semiHidden/>
    <w:rsid w:val="00C23160"/>
    <w:pPr>
      <w:numPr>
        <w:ilvl w:val="1"/>
      </w:numPr>
      <w:outlineLvl w:val="2"/>
    </w:pPr>
  </w:style>
  <w:style w:type="paragraph" w:customStyle="1" w:styleId="Heading3Affidavit">
    <w:name w:val="Heading 3 Affidavit"/>
    <w:basedOn w:val="Heading2Affidavit"/>
    <w:uiPriority w:val="19"/>
    <w:semiHidden/>
    <w:rsid w:val="00C23160"/>
    <w:pPr>
      <w:numPr>
        <w:ilvl w:val="2"/>
      </w:numPr>
      <w:outlineLvl w:val="3"/>
    </w:pPr>
  </w:style>
  <w:style w:type="paragraph" w:customStyle="1" w:styleId="Heading4Affidavit">
    <w:name w:val="Heading 4 Affidavit"/>
    <w:basedOn w:val="Heading1Affidavit"/>
    <w:uiPriority w:val="19"/>
    <w:semiHidden/>
    <w:rsid w:val="00C23160"/>
    <w:pPr>
      <w:numPr>
        <w:ilvl w:val="3"/>
      </w:numPr>
      <w:outlineLvl w:val="9"/>
    </w:pPr>
  </w:style>
  <w:style w:type="paragraph" w:customStyle="1" w:styleId="AffidavitCaption">
    <w:name w:val="Affidavit Caption"/>
    <w:basedOn w:val="Normal"/>
    <w:uiPriority w:val="19"/>
    <w:semiHidden/>
    <w:qFormat/>
    <w:rsid w:val="00D7685B"/>
    <w:pPr>
      <w:keepNext/>
      <w:spacing w:before="120" w:after="120"/>
    </w:pPr>
    <w:rPr>
      <w:rFonts w:ascii="Times New Roman Bold" w:eastAsia="Times New Roman" w:hAnsi="Times New Roman Bold" w:cs="Sylfaen"/>
      <w:b/>
      <w:bCs/>
      <w:caps/>
      <w:color w:val="000000"/>
      <w:sz w:val="20"/>
    </w:rPr>
  </w:style>
  <w:style w:type="numbering" w:customStyle="1" w:styleId="BrattleBullets">
    <w:name w:val="BrattleBullets"/>
    <w:uiPriority w:val="99"/>
    <w:unhideWhenUsed/>
    <w:rsid w:val="009F072B"/>
    <w:pPr>
      <w:numPr>
        <w:numId w:val="4"/>
      </w:numPr>
    </w:pPr>
  </w:style>
  <w:style w:type="numbering" w:customStyle="1" w:styleId="BrattleNumbers">
    <w:name w:val="BrattleNumbers"/>
    <w:uiPriority w:val="99"/>
    <w:unhideWhenUsed/>
    <w:rsid w:val="009F072B"/>
    <w:pPr>
      <w:numPr>
        <w:numId w:val="7"/>
      </w:numPr>
    </w:pPr>
  </w:style>
  <w:style w:type="paragraph" w:styleId="Index1">
    <w:name w:val="index 1"/>
    <w:basedOn w:val="Normal"/>
    <w:next w:val="Normal"/>
    <w:autoRedefine/>
    <w:uiPriority w:val="99"/>
    <w:semiHidden/>
    <w:unhideWhenUsed/>
    <w:rsid w:val="009F072B"/>
    <w:pPr>
      <w:spacing w:line="240" w:lineRule="auto"/>
      <w:ind w:left="220" w:hanging="220"/>
    </w:pPr>
  </w:style>
  <w:style w:type="paragraph" w:styleId="Index7">
    <w:name w:val="index 7"/>
    <w:basedOn w:val="Normal"/>
    <w:next w:val="Normal"/>
    <w:autoRedefine/>
    <w:uiPriority w:val="99"/>
    <w:semiHidden/>
    <w:unhideWhenUsed/>
    <w:rsid w:val="009F072B"/>
    <w:pPr>
      <w:spacing w:line="240" w:lineRule="auto"/>
      <w:ind w:left="1540" w:hanging="220"/>
    </w:pPr>
  </w:style>
  <w:style w:type="paragraph" w:styleId="Index9">
    <w:name w:val="index 9"/>
    <w:basedOn w:val="Normal"/>
    <w:next w:val="Normal"/>
    <w:autoRedefine/>
    <w:uiPriority w:val="99"/>
    <w:semiHidden/>
    <w:unhideWhenUsed/>
    <w:rsid w:val="009F072B"/>
    <w:pPr>
      <w:spacing w:line="240" w:lineRule="auto"/>
      <w:ind w:left="1980" w:hanging="220"/>
    </w:pPr>
  </w:style>
  <w:style w:type="paragraph" w:styleId="IndexHeading">
    <w:name w:val="index heading"/>
    <w:basedOn w:val="Normal"/>
    <w:next w:val="Index1"/>
    <w:uiPriority w:val="99"/>
    <w:semiHidden/>
    <w:unhideWhenUsed/>
    <w:rsid w:val="009F072B"/>
    <w:rPr>
      <w:rFonts w:eastAsiaTheme="majorEastAsia" w:cstheme="majorBidi"/>
      <w:b/>
      <w:bCs/>
    </w:rPr>
  </w:style>
  <w:style w:type="paragraph" w:styleId="List3">
    <w:name w:val="List 3"/>
    <w:basedOn w:val="Normal"/>
    <w:uiPriority w:val="99"/>
    <w:semiHidden/>
    <w:unhideWhenUsed/>
    <w:rsid w:val="009F072B"/>
    <w:pPr>
      <w:ind w:left="1080" w:hanging="360"/>
      <w:contextualSpacing/>
    </w:pPr>
  </w:style>
  <w:style w:type="paragraph" w:styleId="List4">
    <w:name w:val="List 4"/>
    <w:basedOn w:val="Normal"/>
    <w:uiPriority w:val="99"/>
    <w:semiHidden/>
    <w:unhideWhenUsed/>
    <w:rsid w:val="009F072B"/>
    <w:pPr>
      <w:ind w:left="1440" w:hanging="360"/>
      <w:contextualSpacing/>
    </w:pPr>
  </w:style>
  <w:style w:type="paragraph" w:styleId="ListBullet2">
    <w:name w:val="List Bullet 2"/>
    <w:basedOn w:val="Normal"/>
    <w:uiPriority w:val="99"/>
    <w:semiHidden/>
    <w:unhideWhenUsed/>
    <w:rsid w:val="009F072B"/>
    <w:pPr>
      <w:numPr>
        <w:numId w:val="13"/>
      </w:numPr>
      <w:contextualSpacing/>
    </w:pPr>
  </w:style>
  <w:style w:type="paragraph" w:styleId="ListBullet3">
    <w:name w:val="List Bullet 3"/>
    <w:basedOn w:val="Normal"/>
    <w:uiPriority w:val="99"/>
    <w:semiHidden/>
    <w:unhideWhenUsed/>
    <w:rsid w:val="009F072B"/>
    <w:pPr>
      <w:numPr>
        <w:numId w:val="14"/>
      </w:numPr>
      <w:contextualSpacing/>
    </w:pPr>
  </w:style>
  <w:style w:type="paragraph" w:styleId="ListBullet4">
    <w:name w:val="List Bullet 4"/>
    <w:basedOn w:val="Normal"/>
    <w:uiPriority w:val="99"/>
    <w:semiHidden/>
    <w:unhideWhenUsed/>
    <w:rsid w:val="009F072B"/>
    <w:pPr>
      <w:numPr>
        <w:numId w:val="15"/>
      </w:numPr>
      <w:contextualSpacing/>
    </w:pPr>
  </w:style>
  <w:style w:type="paragraph" w:styleId="ListBullet5">
    <w:name w:val="List Bullet 5"/>
    <w:basedOn w:val="Normal"/>
    <w:uiPriority w:val="99"/>
    <w:semiHidden/>
    <w:unhideWhenUsed/>
    <w:rsid w:val="009F072B"/>
    <w:pPr>
      <w:numPr>
        <w:numId w:val="16"/>
      </w:numPr>
      <w:contextualSpacing/>
    </w:pPr>
  </w:style>
  <w:style w:type="paragraph" w:styleId="ListContinue3">
    <w:name w:val="List Continue 3"/>
    <w:basedOn w:val="Normal"/>
    <w:uiPriority w:val="99"/>
    <w:semiHidden/>
    <w:unhideWhenUsed/>
    <w:rsid w:val="009F072B"/>
    <w:pPr>
      <w:ind w:left="1080"/>
      <w:contextualSpacing/>
    </w:pPr>
  </w:style>
  <w:style w:type="paragraph" w:styleId="ListNumber">
    <w:name w:val="List Number"/>
    <w:basedOn w:val="ListParagraph"/>
    <w:uiPriority w:val="6"/>
    <w:unhideWhenUsed/>
    <w:rsid w:val="009F072B"/>
    <w:pPr>
      <w:numPr>
        <w:numId w:val="27"/>
      </w:numPr>
    </w:pPr>
  </w:style>
  <w:style w:type="paragraph" w:styleId="ListNumber2">
    <w:name w:val="List Number 2"/>
    <w:basedOn w:val="Normal"/>
    <w:uiPriority w:val="6"/>
    <w:unhideWhenUsed/>
    <w:rsid w:val="009F072B"/>
    <w:pPr>
      <w:numPr>
        <w:ilvl w:val="1"/>
        <w:numId w:val="27"/>
      </w:numPr>
      <w:spacing w:before="60"/>
      <w:contextualSpacing/>
    </w:pPr>
  </w:style>
  <w:style w:type="paragraph" w:styleId="ListNumber3">
    <w:name w:val="List Number 3"/>
    <w:basedOn w:val="Normal"/>
    <w:uiPriority w:val="6"/>
    <w:unhideWhenUsed/>
    <w:rsid w:val="009F072B"/>
    <w:pPr>
      <w:numPr>
        <w:ilvl w:val="2"/>
        <w:numId w:val="27"/>
      </w:numPr>
      <w:spacing w:before="20"/>
      <w:contextualSpacing/>
    </w:pPr>
  </w:style>
  <w:style w:type="paragraph" w:styleId="ListNumber4">
    <w:name w:val="List Number 4"/>
    <w:basedOn w:val="Normal"/>
    <w:uiPriority w:val="6"/>
    <w:unhideWhenUsed/>
    <w:rsid w:val="009F072B"/>
    <w:pPr>
      <w:numPr>
        <w:ilvl w:val="3"/>
        <w:numId w:val="27"/>
      </w:numPr>
      <w:contextualSpacing/>
    </w:pPr>
  </w:style>
  <w:style w:type="paragraph" w:customStyle="1" w:styleId="ParagraphLeader">
    <w:name w:val="Paragraph Leader"/>
    <w:basedOn w:val="Paragraph"/>
    <w:next w:val="Paragraph"/>
    <w:uiPriority w:val="3"/>
    <w:unhideWhenUsed/>
    <w:qFormat/>
    <w:rsid w:val="009F072B"/>
    <w:pPr>
      <w:spacing w:before="120"/>
    </w:pPr>
    <w:rPr>
      <w:sz w:val="29"/>
    </w:rPr>
  </w:style>
  <w:style w:type="numbering" w:customStyle="1" w:styleId="BrattleHeadingsNumbered">
    <w:name w:val="BrattleHeadingsNumbered"/>
    <w:uiPriority w:val="99"/>
    <w:rsid w:val="00C23160"/>
    <w:pPr>
      <w:numPr>
        <w:numId w:val="5"/>
      </w:numPr>
    </w:pPr>
  </w:style>
  <w:style w:type="numbering" w:customStyle="1" w:styleId="BrattleAppendixNumbers">
    <w:name w:val="BrattleAppendixNumbers"/>
    <w:uiPriority w:val="99"/>
    <w:unhideWhenUsed/>
    <w:rsid w:val="009F072B"/>
    <w:pPr>
      <w:numPr>
        <w:numId w:val="3"/>
      </w:numPr>
    </w:pPr>
  </w:style>
  <w:style w:type="paragraph" w:customStyle="1" w:styleId="AffidavitPageHeader">
    <w:name w:val="Affidavit Page Header"/>
    <w:basedOn w:val="Header"/>
    <w:uiPriority w:val="20"/>
    <w:semiHidden/>
    <w:qFormat/>
    <w:rsid w:val="00C23160"/>
    <w:pPr>
      <w:tabs>
        <w:tab w:val="left" w:pos="90"/>
      </w:tabs>
      <w:spacing w:before="240"/>
    </w:pPr>
    <w:rPr>
      <w:rFonts w:ascii="Times New Roman" w:eastAsia="Times New Roman" w:hAnsi="Times New Roman"/>
      <w:color w:val="000000" w:themeColor="text1"/>
      <w:spacing w:val="10"/>
    </w:rPr>
  </w:style>
  <w:style w:type="paragraph" w:customStyle="1" w:styleId="Heading1Separator">
    <w:name w:val="Heading 1 Separator _____________________"/>
    <w:basedOn w:val="Normal"/>
    <w:next w:val="Paragraph"/>
    <w:uiPriority w:val="2"/>
    <w:rsid w:val="009F072B"/>
    <w:pPr>
      <w:tabs>
        <w:tab w:val="left" w:leader="underscore" w:pos="2592"/>
      </w:tabs>
      <w:suppressAutoHyphens/>
      <w:spacing w:after="480" w:line="240" w:lineRule="auto"/>
      <w:ind w:left="1152"/>
    </w:pPr>
    <w:rPr>
      <w:rFonts w:cstheme="majorHAnsi"/>
      <w:b/>
      <w:color w:val="2297AA" w:themeColor="accent2"/>
      <w:spacing w:val="-20"/>
      <w:sz w:val="32"/>
      <w:szCs w:val="32"/>
      <w:lang w:val="en-CA"/>
    </w:rPr>
  </w:style>
  <w:style w:type="paragraph" w:customStyle="1" w:styleId="ListParagraph2">
    <w:name w:val="List Paragraph 2"/>
    <w:basedOn w:val="Normal"/>
    <w:uiPriority w:val="5"/>
    <w:unhideWhenUsed/>
    <w:qFormat/>
    <w:rsid w:val="009F072B"/>
    <w:pPr>
      <w:numPr>
        <w:ilvl w:val="1"/>
        <w:numId w:val="29"/>
      </w:numPr>
      <w:spacing w:before="60"/>
    </w:pPr>
  </w:style>
  <w:style w:type="paragraph" w:customStyle="1" w:styleId="ListParagraph3">
    <w:name w:val="List Paragraph 3"/>
    <w:basedOn w:val="ListParagraph2"/>
    <w:uiPriority w:val="5"/>
    <w:unhideWhenUsed/>
    <w:qFormat/>
    <w:rsid w:val="009F072B"/>
    <w:pPr>
      <w:numPr>
        <w:ilvl w:val="2"/>
      </w:numPr>
      <w:spacing w:before="20"/>
    </w:pPr>
  </w:style>
  <w:style w:type="paragraph" w:customStyle="1" w:styleId="ListParagraph4">
    <w:name w:val="List Paragraph 4"/>
    <w:basedOn w:val="ListParagraph"/>
    <w:uiPriority w:val="5"/>
    <w:unhideWhenUsed/>
    <w:qFormat/>
    <w:rsid w:val="009F072B"/>
    <w:pPr>
      <w:numPr>
        <w:ilvl w:val="3"/>
      </w:numPr>
    </w:pPr>
  </w:style>
  <w:style w:type="numbering" w:customStyle="1" w:styleId="BrattleNumberedParagraphs">
    <w:name w:val="BrattleNumberedParagraphs"/>
    <w:uiPriority w:val="99"/>
    <w:rsid w:val="009F072B"/>
    <w:pPr>
      <w:numPr>
        <w:numId w:val="6"/>
      </w:numPr>
    </w:pPr>
  </w:style>
  <w:style w:type="paragraph" w:styleId="TableofFigures">
    <w:name w:val="table of figures"/>
    <w:basedOn w:val="TOC2"/>
    <w:next w:val="Normal"/>
    <w:uiPriority w:val="99"/>
    <w:unhideWhenUsed/>
    <w:rsid w:val="009F072B"/>
    <w:pPr>
      <w:ind w:left="432"/>
    </w:pPr>
  </w:style>
  <w:style w:type="character" w:customStyle="1" w:styleId="Onopgelostemelding1">
    <w:name w:val="Onopgeloste melding1"/>
    <w:basedOn w:val="DefaultParagraphFont"/>
    <w:uiPriority w:val="99"/>
    <w:unhideWhenUsed/>
    <w:rsid w:val="00E5357F"/>
    <w:rPr>
      <w:color w:val="605E5C"/>
      <w:shd w:val="clear" w:color="auto" w:fill="E1DFDD"/>
    </w:rPr>
  </w:style>
  <w:style w:type="character" w:customStyle="1" w:styleId="Vermelding1">
    <w:name w:val="Vermelding1"/>
    <w:basedOn w:val="DefaultParagraphFont"/>
    <w:uiPriority w:val="99"/>
    <w:unhideWhenUsed/>
    <w:rsid w:val="00E5357F"/>
    <w:rPr>
      <w:color w:val="2B579A"/>
      <w:shd w:val="clear" w:color="auto" w:fill="E1DFDD"/>
    </w:rPr>
  </w:style>
  <w:style w:type="numbering" w:customStyle="1" w:styleId="BlueBullets">
    <w:name w:val="Blue Bullets"/>
    <w:uiPriority w:val="99"/>
    <w:rsid w:val="002D5859"/>
    <w:pPr>
      <w:numPr>
        <w:numId w:val="17"/>
      </w:numPr>
    </w:pPr>
  </w:style>
  <w:style w:type="numbering" w:customStyle="1" w:styleId="AppAUK">
    <w:name w:val="App A UK"/>
    <w:uiPriority w:val="99"/>
    <w:rsid w:val="00E17D1C"/>
    <w:pPr>
      <w:numPr>
        <w:numId w:val="18"/>
      </w:numPr>
    </w:pPr>
  </w:style>
  <w:style w:type="numbering" w:customStyle="1" w:styleId="UKHeadingOutline">
    <w:name w:val="UK Heading Outline"/>
    <w:uiPriority w:val="99"/>
    <w:rsid w:val="00E17D1C"/>
    <w:pPr>
      <w:numPr>
        <w:numId w:val="19"/>
      </w:numPr>
    </w:pPr>
  </w:style>
  <w:style w:type="paragraph" w:styleId="HTMLPreformatted">
    <w:name w:val="HTML Preformatted"/>
    <w:basedOn w:val="Normal"/>
    <w:link w:val="HTMLPreformattedChar"/>
    <w:uiPriority w:val="99"/>
    <w:semiHidden/>
    <w:unhideWhenUsed/>
    <w:rsid w:val="009F072B"/>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F072B"/>
    <w:rPr>
      <w:rFonts w:ascii="Consolas" w:eastAsiaTheme="minorHAnsi" w:hAnsi="Consolas"/>
      <w:sz w:val="20"/>
      <w:szCs w:val="20"/>
    </w:rPr>
  </w:style>
  <w:style w:type="paragraph" w:customStyle="1" w:styleId="ParagraphNumbered2">
    <w:name w:val="Paragraph Numbered 2"/>
    <w:basedOn w:val="ParagraphNumbered"/>
    <w:uiPriority w:val="3"/>
    <w:unhideWhenUsed/>
    <w:qFormat/>
    <w:rsid w:val="009F072B"/>
    <w:pPr>
      <w:numPr>
        <w:ilvl w:val="1"/>
      </w:numPr>
      <w:spacing w:before="120"/>
    </w:pPr>
  </w:style>
  <w:style w:type="paragraph" w:customStyle="1" w:styleId="ParagraphNumbered3">
    <w:name w:val="Paragraph Numbered 3"/>
    <w:basedOn w:val="ParagraphNumbered2"/>
    <w:uiPriority w:val="3"/>
    <w:unhideWhenUsed/>
    <w:qFormat/>
    <w:rsid w:val="009F072B"/>
    <w:pPr>
      <w:numPr>
        <w:ilvl w:val="2"/>
      </w:numPr>
      <w:spacing w:before="60"/>
    </w:pPr>
  </w:style>
  <w:style w:type="paragraph" w:customStyle="1" w:styleId="ParagraphNumbered4">
    <w:name w:val="Paragraph Numbered 4"/>
    <w:basedOn w:val="ParagraphNumbered3"/>
    <w:uiPriority w:val="3"/>
    <w:unhideWhenUsed/>
    <w:qFormat/>
    <w:rsid w:val="009F072B"/>
    <w:pPr>
      <w:numPr>
        <w:ilvl w:val="3"/>
      </w:numPr>
    </w:pPr>
  </w:style>
  <w:style w:type="table" w:styleId="ColorfulShading-Accent1">
    <w:name w:val="Colorful Shading Accent 1"/>
    <w:basedOn w:val="TableNormal"/>
    <w:uiPriority w:val="71"/>
    <w:semiHidden/>
    <w:unhideWhenUsed/>
    <w:rsid w:val="009F072B"/>
    <w:pPr>
      <w:spacing w:line="240" w:lineRule="auto"/>
    </w:pPr>
    <w:rPr>
      <w:rFonts w:eastAsiaTheme="minorHAnsi"/>
      <w:color w:val="000000" w:themeColor="text1"/>
    </w:rPr>
    <w:tblPr>
      <w:tblStyleRowBandSize w:val="1"/>
      <w:tblStyleColBandSize w:val="1"/>
      <w:tblBorders>
        <w:top w:val="single" w:sz="24" w:space="0" w:color="2297AA" w:themeColor="accent2"/>
        <w:left w:val="single" w:sz="4" w:space="0" w:color="1B3D6F" w:themeColor="accent1"/>
        <w:bottom w:val="single" w:sz="4" w:space="0" w:color="1B3D6F" w:themeColor="accent1"/>
        <w:right w:val="single" w:sz="4" w:space="0" w:color="1B3D6F" w:themeColor="accent1"/>
        <w:insideH w:val="single" w:sz="4" w:space="0" w:color="FFFFFF" w:themeColor="background1"/>
        <w:insideV w:val="single" w:sz="4" w:space="0" w:color="FFFFFF" w:themeColor="background1"/>
      </w:tblBorders>
    </w:tblPr>
    <w:tcPr>
      <w:shd w:val="clear" w:color="auto" w:fill="E1EAF7" w:themeFill="accent1" w:themeFillTint="19"/>
    </w:tcPr>
    <w:tblStylePr w:type="firstRow">
      <w:rPr>
        <w:b/>
        <w:bCs/>
      </w:rPr>
      <w:tblPr/>
      <w:tcPr>
        <w:tcBorders>
          <w:top w:val="nil"/>
          <w:left w:val="nil"/>
          <w:bottom w:val="single" w:sz="24" w:space="0" w:color="2297A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2442" w:themeFill="accent1" w:themeFillShade="99"/>
      </w:tcPr>
    </w:tblStylePr>
    <w:tblStylePr w:type="firstCol">
      <w:rPr>
        <w:color w:val="FFFFFF" w:themeColor="background1"/>
      </w:rPr>
      <w:tblPr/>
      <w:tcPr>
        <w:tcBorders>
          <w:top w:val="nil"/>
          <w:left w:val="nil"/>
          <w:bottom w:val="nil"/>
          <w:right w:val="nil"/>
          <w:insideH w:val="single" w:sz="4" w:space="0" w:color="102442" w:themeColor="accent1" w:themeShade="99"/>
          <w:insideV w:val="nil"/>
        </w:tcBorders>
        <w:shd w:val="clear" w:color="auto" w:fill="10244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02442" w:themeFill="accent1" w:themeFillShade="99"/>
      </w:tcPr>
    </w:tblStylePr>
    <w:tblStylePr w:type="band1Vert">
      <w:tblPr/>
      <w:tcPr>
        <w:shd w:val="clear" w:color="auto" w:fill="87ABE1" w:themeFill="accent1" w:themeFillTint="66"/>
      </w:tcPr>
    </w:tblStylePr>
    <w:tblStylePr w:type="band1Horz">
      <w:tblPr/>
      <w:tcPr>
        <w:shd w:val="clear" w:color="auto" w:fill="6997DA" w:themeFill="accent1" w:themeFillTint="7F"/>
      </w:tcPr>
    </w:tblStylePr>
    <w:tblStylePr w:type="neCell">
      <w:rPr>
        <w:color w:val="000000" w:themeColor="text1"/>
      </w:rPr>
    </w:tblStylePr>
    <w:tblStylePr w:type="nwCell">
      <w:rPr>
        <w:color w:val="000000" w:themeColor="text1"/>
      </w:rPr>
    </w:tblStylePr>
  </w:style>
  <w:style w:type="character" w:styleId="UnresolvedMention">
    <w:name w:val="Unresolved Mention"/>
    <w:basedOn w:val="DefaultParagraphFont"/>
    <w:uiPriority w:val="99"/>
    <w:semiHidden/>
    <w:unhideWhenUsed/>
    <w:rsid w:val="0001601F"/>
    <w:rPr>
      <w:color w:val="605E5C"/>
      <w:shd w:val="clear" w:color="auto" w:fill="E1DFDD"/>
    </w:rPr>
  </w:style>
  <w:style w:type="numbering" w:styleId="111111">
    <w:name w:val="Outline List 2"/>
    <w:basedOn w:val="NoList"/>
    <w:uiPriority w:val="99"/>
    <w:semiHidden/>
    <w:unhideWhenUsed/>
    <w:rsid w:val="009F072B"/>
    <w:pPr>
      <w:numPr>
        <w:numId w:val="22"/>
      </w:numPr>
    </w:pPr>
  </w:style>
  <w:style w:type="paragraph" w:styleId="NormalWeb">
    <w:name w:val="Normal (Web)"/>
    <w:basedOn w:val="Normal"/>
    <w:uiPriority w:val="99"/>
    <w:semiHidden/>
    <w:unhideWhenUsed/>
    <w:rsid w:val="009F072B"/>
    <w:pPr>
      <w:spacing w:before="100" w:beforeAutospacing="1" w:after="100" w:afterAutospacing="1" w:line="240" w:lineRule="auto"/>
    </w:pPr>
    <w:rPr>
      <w:rFonts w:ascii="Arial" w:eastAsiaTheme="minorEastAsia" w:hAnsi="Arial" w:cs="Times New Roman"/>
      <w:szCs w:val="24"/>
      <w:lang w:eastAsia="en-US"/>
    </w:rPr>
  </w:style>
  <w:style w:type="paragraph" w:styleId="TOAHeading">
    <w:name w:val="toa heading"/>
    <w:basedOn w:val="Normal"/>
    <w:next w:val="Normal"/>
    <w:uiPriority w:val="99"/>
    <w:semiHidden/>
    <w:unhideWhenUsed/>
    <w:rsid w:val="009F072B"/>
    <w:rPr>
      <w:rFonts w:eastAsiaTheme="majorEastAsia" w:cstheme="majorBidi"/>
      <w:b/>
      <w:bCs/>
      <w:szCs w:val="24"/>
    </w:rPr>
  </w:style>
  <w:style w:type="paragraph" w:styleId="PlainText">
    <w:name w:val="Plain Text"/>
    <w:basedOn w:val="Normal"/>
    <w:link w:val="PlainTextChar"/>
    <w:uiPriority w:val="99"/>
    <w:semiHidden/>
    <w:unhideWhenUsed/>
    <w:rsid w:val="009F072B"/>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9F072B"/>
    <w:rPr>
      <w:rFonts w:ascii="Consolas" w:eastAsiaTheme="minorHAnsi" w:hAnsi="Consolas"/>
      <w:sz w:val="24"/>
      <w:szCs w:val="21"/>
    </w:rPr>
  </w:style>
  <w:style w:type="numbering" w:styleId="1ai">
    <w:name w:val="Outline List 1"/>
    <w:basedOn w:val="NoList"/>
    <w:uiPriority w:val="99"/>
    <w:semiHidden/>
    <w:unhideWhenUsed/>
    <w:rsid w:val="009F072B"/>
    <w:pPr>
      <w:numPr>
        <w:numId w:val="23"/>
      </w:numPr>
    </w:pPr>
  </w:style>
  <w:style w:type="numbering" w:styleId="ArticleSection">
    <w:name w:val="Outline List 3"/>
    <w:basedOn w:val="NoList"/>
    <w:uiPriority w:val="99"/>
    <w:semiHidden/>
    <w:unhideWhenUsed/>
    <w:rsid w:val="009F072B"/>
    <w:pPr>
      <w:numPr>
        <w:numId w:val="24"/>
      </w:numPr>
    </w:pPr>
  </w:style>
  <w:style w:type="paragraph" w:styleId="Bibliography">
    <w:name w:val="Bibliography"/>
    <w:basedOn w:val="Normal"/>
    <w:next w:val="Normal"/>
    <w:uiPriority w:val="42"/>
    <w:semiHidden/>
    <w:unhideWhenUsed/>
    <w:rsid w:val="009F072B"/>
  </w:style>
  <w:style w:type="paragraph" w:styleId="BlockText">
    <w:name w:val="Block Text"/>
    <w:basedOn w:val="Normal"/>
    <w:uiPriority w:val="99"/>
    <w:semiHidden/>
    <w:unhideWhenUsed/>
    <w:rsid w:val="009F072B"/>
    <w:pPr>
      <w:pBdr>
        <w:top w:val="single" w:sz="2" w:space="10" w:color="1B3D6F" w:themeColor="accent1" w:shadow="1"/>
        <w:left w:val="single" w:sz="2" w:space="10" w:color="1B3D6F" w:themeColor="accent1" w:shadow="1"/>
        <w:bottom w:val="single" w:sz="2" w:space="10" w:color="1B3D6F" w:themeColor="accent1" w:shadow="1"/>
        <w:right w:val="single" w:sz="2" w:space="10" w:color="1B3D6F" w:themeColor="accent1" w:shadow="1"/>
      </w:pBdr>
      <w:ind w:left="1152" w:right="1152"/>
    </w:pPr>
    <w:rPr>
      <w:rFonts w:eastAsiaTheme="minorEastAsia"/>
      <w:i/>
      <w:iCs/>
      <w:color w:val="1B3D6F" w:themeColor="accent1"/>
    </w:rPr>
  </w:style>
  <w:style w:type="paragraph" w:styleId="BodyText">
    <w:name w:val="Body Text"/>
    <w:basedOn w:val="Normal"/>
    <w:link w:val="BodyTextChar"/>
    <w:uiPriority w:val="99"/>
    <w:semiHidden/>
    <w:unhideWhenUsed/>
    <w:rsid w:val="009F072B"/>
    <w:pPr>
      <w:spacing w:after="120"/>
    </w:pPr>
  </w:style>
  <w:style w:type="character" w:customStyle="1" w:styleId="BodyTextChar">
    <w:name w:val="Body Text Char"/>
    <w:basedOn w:val="DefaultParagraphFont"/>
    <w:link w:val="BodyText"/>
    <w:uiPriority w:val="99"/>
    <w:semiHidden/>
    <w:rsid w:val="009F072B"/>
    <w:rPr>
      <w:rFonts w:eastAsiaTheme="minorHAnsi"/>
      <w:sz w:val="24"/>
    </w:rPr>
  </w:style>
  <w:style w:type="paragraph" w:styleId="BodyText2">
    <w:name w:val="Body Text 2"/>
    <w:basedOn w:val="Normal"/>
    <w:link w:val="BodyText2Char"/>
    <w:uiPriority w:val="99"/>
    <w:semiHidden/>
    <w:unhideWhenUsed/>
    <w:rsid w:val="009F072B"/>
    <w:pPr>
      <w:spacing w:after="120" w:line="480" w:lineRule="auto"/>
    </w:pPr>
  </w:style>
  <w:style w:type="character" w:customStyle="1" w:styleId="BodyText2Char">
    <w:name w:val="Body Text 2 Char"/>
    <w:basedOn w:val="DefaultParagraphFont"/>
    <w:link w:val="BodyText2"/>
    <w:uiPriority w:val="99"/>
    <w:semiHidden/>
    <w:rsid w:val="009F072B"/>
    <w:rPr>
      <w:rFonts w:eastAsiaTheme="minorHAnsi"/>
      <w:sz w:val="24"/>
    </w:rPr>
  </w:style>
  <w:style w:type="paragraph" w:styleId="BodyText3">
    <w:name w:val="Body Text 3"/>
    <w:basedOn w:val="Normal"/>
    <w:link w:val="BodyText3Char"/>
    <w:uiPriority w:val="99"/>
    <w:semiHidden/>
    <w:unhideWhenUsed/>
    <w:rsid w:val="009F072B"/>
    <w:pPr>
      <w:spacing w:after="120"/>
    </w:pPr>
    <w:rPr>
      <w:sz w:val="16"/>
      <w:szCs w:val="16"/>
    </w:rPr>
  </w:style>
  <w:style w:type="character" w:customStyle="1" w:styleId="BodyText3Char">
    <w:name w:val="Body Text 3 Char"/>
    <w:basedOn w:val="DefaultParagraphFont"/>
    <w:link w:val="BodyText3"/>
    <w:uiPriority w:val="99"/>
    <w:semiHidden/>
    <w:rsid w:val="009F072B"/>
    <w:rPr>
      <w:rFonts w:eastAsiaTheme="minorHAnsi"/>
      <w:sz w:val="16"/>
      <w:szCs w:val="16"/>
    </w:rPr>
  </w:style>
  <w:style w:type="paragraph" w:styleId="BodyTextFirstIndent">
    <w:name w:val="Body Text First Indent"/>
    <w:basedOn w:val="BodyText"/>
    <w:link w:val="BodyTextFirstIndentChar"/>
    <w:uiPriority w:val="99"/>
    <w:semiHidden/>
    <w:unhideWhenUsed/>
    <w:rsid w:val="009F072B"/>
    <w:pPr>
      <w:spacing w:after="0"/>
      <w:ind w:firstLine="360"/>
    </w:pPr>
  </w:style>
  <w:style w:type="character" w:customStyle="1" w:styleId="BodyTextFirstIndentChar">
    <w:name w:val="Body Text First Indent Char"/>
    <w:basedOn w:val="BodyTextChar"/>
    <w:link w:val="BodyTextFirstIndent"/>
    <w:uiPriority w:val="99"/>
    <w:semiHidden/>
    <w:rsid w:val="009F072B"/>
    <w:rPr>
      <w:rFonts w:eastAsiaTheme="minorHAnsi"/>
      <w:sz w:val="24"/>
    </w:rPr>
  </w:style>
  <w:style w:type="paragraph" w:styleId="BodyTextIndent">
    <w:name w:val="Body Text Indent"/>
    <w:basedOn w:val="Normal"/>
    <w:link w:val="BodyTextIndentChar"/>
    <w:uiPriority w:val="99"/>
    <w:semiHidden/>
    <w:unhideWhenUsed/>
    <w:rsid w:val="009F072B"/>
    <w:pPr>
      <w:spacing w:after="120"/>
      <w:ind w:left="360"/>
    </w:pPr>
  </w:style>
  <w:style w:type="character" w:customStyle="1" w:styleId="BodyTextIndentChar">
    <w:name w:val="Body Text Indent Char"/>
    <w:basedOn w:val="DefaultParagraphFont"/>
    <w:link w:val="BodyTextIndent"/>
    <w:uiPriority w:val="99"/>
    <w:semiHidden/>
    <w:rsid w:val="009F072B"/>
    <w:rPr>
      <w:rFonts w:eastAsiaTheme="minorHAnsi"/>
      <w:sz w:val="24"/>
    </w:rPr>
  </w:style>
  <w:style w:type="paragraph" w:styleId="BodyTextFirstIndent2">
    <w:name w:val="Body Text First Indent 2"/>
    <w:basedOn w:val="BodyTextIndent"/>
    <w:link w:val="BodyTextFirstIndent2Char"/>
    <w:uiPriority w:val="99"/>
    <w:semiHidden/>
    <w:unhideWhenUsed/>
    <w:rsid w:val="009F072B"/>
    <w:pPr>
      <w:spacing w:after="0"/>
      <w:ind w:firstLine="360"/>
    </w:pPr>
  </w:style>
  <w:style w:type="character" w:customStyle="1" w:styleId="BodyTextFirstIndent2Char">
    <w:name w:val="Body Text First Indent 2 Char"/>
    <w:basedOn w:val="BodyTextIndentChar"/>
    <w:link w:val="BodyTextFirstIndent2"/>
    <w:uiPriority w:val="99"/>
    <w:semiHidden/>
    <w:rsid w:val="009F072B"/>
    <w:rPr>
      <w:rFonts w:eastAsiaTheme="minorHAnsi"/>
      <w:sz w:val="24"/>
    </w:rPr>
  </w:style>
  <w:style w:type="paragraph" w:styleId="BodyTextIndent2">
    <w:name w:val="Body Text Indent 2"/>
    <w:basedOn w:val="Normal"/>
    <w:link w:val="BodyTextIndent2Char"/>
    <w:uiPriority w:val="99"/>
    <w:semiHidden/>
    <w:unhideWhenUsed/>
    <w:rsid w:val="009F072B"/>
    <w:pPr>
      <w:spacing w:after="120" w:line="480" w:lineRule="auto"/>
      <w:ind w:left="360"/>
    </w:pPr>
  </w:style>
  <w:style w:type="character" w:customStyle="1" w:styleId="BodyTextIndent2Char">
    <w:name w:val="Body Text Indent 2 Char"/>
    <w:basedOn w:val="DefaultParagraphFont"/>
    <w:link w:val="BodyTextIndent2"/>
    <w:uiPriority w:val="99"/>
    <w:semiHidden/>
    <w:rsid w:val="009F072B"/>
    <w:rPr>
      <w:rFonts w:eastAsiaTheme="minorHAnsi"/>
      <w:sz w:val="24"/>
    </w:rPr>
  </w:style>
  <w:style w:type="paragraph" w:styleId="BodyTextIndent3">
    <w:name w:val="Body Text Indent 3"/>
    <w:basedOn w:val="Normal"/>
    <w:link w:val="BodyTextIndent3Char"/>
    <w:uiPriority w:val="99"/>
    <w:semiHidden/>
    <w:unhideWhenUsed/>
    <w:rsid w:val="009F072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F072B"/>
    <w:rPr>
      <w:rFonts w:eastAsiaTheme="minorHAnsi"/>
      <w:sz w:val="16"/>
      <w:szCs w:val="16"/>
    </w:rPr>
  </w:style>
  <w:style w:type="paragraph" w:styleId="Closing">
    <w:name w:val="Closing"/>
    <w:basedOn w:val="Normal"/>
    <w:link w:val="ClosingChar"/>
    <w:uiPriority w:val="99"/>
    <w:semiHidden/>
    <w:unhideWhenUsed/>
    <w:rsid w:val="009F072B"/>
    <w:pPr>
      <w:spacing w:line="240" w:lineRule="auto"/>
      <w:ind w:left="4320"/>
    </w:pPr>
  </w:style>
  <w:style w:type="character" w:customStyle="1" w:styleId="ClosingChar">
    <w:name w:val="Closing Char"/>
    <w:basedOn w:val="DefaultParagraphFont"/>
    <w:link w:val="Closing"/>
    <w:uiPriority w:val="99"/>
    <w:semiHidden/>
    <w:rsid w:val="009F072B"/>
    <w:rPr>
      <w:rFonts w:eastAsiaTheme="minorHAnsi"/>
      <w:sz w:val="24"/>
    </w:rPr>
  </w:style>
  <w:style w:type="table" w:styleId="ColorfulGrid">
    <w:name w:val="Colorful Grid"/>
    <w:basedOn w:val="TableNormal"/>
    <w:uiPriority w:val="73"/>
    <w:semiHidden/>
    <w:unhideWhenUsed/>
    <w:rsid w:val="009F072B"/>
    <w:pPr>
      <w:spacing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F072B"/>
    <w:pPr>
      <w:spacing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C2D5F0" w:themeFill="accent1" w:themeFillTint="33"/>
    </w:tcPr>
    <w:tblStylePr w:type="firstRow">
      <w:rPr>
        <w:b/>
        <w:bCs/>
      </w:rPr>
      <w:tblPr/>
      <w:tcPr>
        <w:shd w:val="clear" w:color="auto" w:fill="87ABE1" w:themeFill="accent1" w:themeFillTint="66"/>
      </w:tcPr>
    </w:tblStylePr>
    <w:tblStylePr w:type="lastRow">
      <w:rPr>
        <w:b/>
        <w:bCs/>
        <w:color w:val="000000" w:themeColor="text1"/>
      </w:rPr>
      <w:tblPr/>
      <w:tcPr>
        <w:shd w:val="clear" w:color="auto" w:fill="87ABE1" w:themeFill="accent1" w:themeFillTint="66"/>
      </w:tcPr>
    </w:tblStylePr>
    <w:tblStylePr w:type="firstCol">
      <w:rPr>
        <w:color w:val="FFFFFF" w:themeColor="background1"/>
      </w:rPr>
      <w:tblPr/>
      <w:tcPr>
        <w:shd w:val="clear" w:color="auto" w:fill="142D53" w:themeFill="accent1" w:themeFillShade="BF"/>
      </w:tcPr>
    </w:tblStylePr>
    <w:tblStylePr w:type="lastCol">
      <w:rPr>
        <w:color w:val="FFFFFF" w:themeColor="background1"/>
      </w:rPr>
      <w:tblPr/>
      <w:tcPr>
        <w:shd w:val="clear" w:color="auto" w:fill="142D53" w:themeFill="accent1" w:themeFillShade="BF"/>
      </w:tcPr>
    </w:tblStylePr>
    <w:tblStylePr w:type="band1Vert">
      <w:tblPr/>
      <w:tcPr>
        <w:shd w:val="clear" w:color="auto" w:fill="6997DA" w:themeFill="accent1" w:themeFillTint="7F"/>
      </w:tcPr>
    </w:tblStylePr>
    <w:tblStylePr w:type="band1Horz">
      <w:tblPr/>
      <w:tcPr>
        <w:shd w:val="clear" w:color="auto" w:fill="6997DA" w:themeFill="accent1" w:themeFillTint="7F"/>
      </w:tcPr>
    </w:tblStylePr>
  </w:style>
  <w:style w:type="table" w:styleId="ColorfulGrid-Accent2">
    <w:name w:val="Colorful Grid Accent 2"/>
    <w:basedOn w:val="TableNormal"/>
    <w:uiPriority w:val="73"/>
    <w:semiHidden/>
    <w:unhideWhenUsed/>
    <w:rsid w:val="009F072B"/>
    <w:pPr>
      <w:spacing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CBEFF4" w:themeFill="accent2" w:themeFillTint="33"/>
    </w:tcPr>
    <w:tblStylePr w:type="firstRow">
      <w:rPr>
        <w:b/>
        <w:bCs/>
      </w:rPr>
      <w:tblPr/>
      <w:tcPr>
        <w:shd w:val="clear" w:color="auto" w:fill="98DFEA" w:themeFill="accent2" w:themeFillTint="66"/>
      </w:tcPr>
    </w:tblStylePr>
    <w:tblStylePr w:type="lastRow">
      <w:rPr>
        <w:b/>
        <w:bCs/>
        <w:color w:val="000000" w:themeColor="text1"/>
      </w:rPr>
      <w:tblPr/>
      <w:tcPr>
        <w:shd w:val="clear" w:color="auto" w:fill="98DFEA" w:themeFill="accent2" w:themeFillTint="66"/>
      </w:tcPr>
    </w:tblStylePr>
    <w:tblStylePr w:type="firstCol">
      <w:rPr>
        <w:color w:val="FFFFFF" w:themeColor="background1"/>
      </w:rPr>
      <w:tblPr/>
      <w:tcPr>
        <w:shd w:val="clear" w:color="auto" w:fill="19707F" w:themeFill="accent2" w:themeFillShade="BF"/>
      </w:tcPr>
    </w:tblStylePr>
    <w:tblStylePr w:type="lastCol">
      <w:rPr>
        <w:color w:val="FFFFFF" w:themeColor="background1"/>
      </w:rPr>
      <w:tblPr/>
      <w:tcPr>
        <w:shd w:val="clear" w:color="auto" w:fill="19707F" w:themeFill="accent2" w:themeFillShade="BF"/>
      </w:tcPr>
    </w:tblStylePr>
    <w:tblStylePr w:type="band1Vert">
      <w:tblPr/>
      <w:tcPr>
        <w:shd w:val="clear" w:color="auto" w:fill="7FD7E5" w:themeFill="accent2" w:themeFillTint="7F"/>
      </w:tcPr>
    </w:tblStylePr>
    <w:tblStylePr w:type="band1Horz">
      <w:tblPr/>
      <w:tcPr>
        <w:shd w:val="clear" w:color="auto" w:fill="7FD7E5" w:themeFill="accent2" w:themeFillTint="7F"/>
      </w:tcPr>
    </w:tblStylePr>
  </w:style>
  <w:style w:type="table" w:styleId="ColorfulGrid-Accent3">
    <w:name w:val="Colorful Grid Accent 3"/>
    <w:basedOn w:val="TableNormal"/>
    <w:uiPriority w:val="73"/>
    <w:semiHidden/>
    <w:unhideWhenUsed/>
    <w:rsid w:val="009F072B"/>
    <w:pPr>
      <w:spacing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D5F2EA" w:themeFill="accent3" w:themeFillTint="33"/>
    </w:tcPr>
    <w:tblStylePr w:type="firstRow">
      <w:rPr>
        <w:b/>
        <w:bCs/>
      </w:rPr>
      <w:tblPr/>
      <w:tcPr>
        <w:shd w:val="clear" w:color="auto" w:fill="ABE6D5" w:themeFill="accent3" w:themeFillTint="66"/>
      </w:tcPr>
    </w:tblStylePr>
    <w:tblStylePr w:type="lastRow">
      <w:rPr>
        <w:b/>
        <w:bCs/>
        <w:color w:val="000000" w:themeColor="text1"/>
      </w:rPr>
      <w:tblPr/>
      <w:tcPr>
        <w:shd w:val="clear" w:color="auto" w:fill="ABE6D5" w:themeFill="accent3" w:themeFillTint="66"/>
      </w:tcPr>
    </w:tblStylePr>
    <w:tblStylePr w:type="firstCol">
      <w:rPr>
        <w:color w:val="FFFFFF" w:themeColor="background1"/>
      </w:rPr>
      <w:tblPr/>
      <w:tcPr>
        <w:shd w:val="clear" w:color="auto" w:fill="298B6F" w:themeFill="accent3" w:themeFillShade="BF"/>
      </w:tcPr>
    </w:tblStylePr>
    <w:tblStylePr w:type="lastCol">
      <w:rPr>
        <w:color w:val="FFFFFF" w:themeColor="background1"/>
      </w:rPr>
      <w:tblPr/>
      <w:tcPr>
        <w:shd w:val="clear" w:color="auto" w:fill="298B6F" w:themeFill="accent3" w:themeFillShade="BF"/>
      </w:tcPr>
    </w:tblStylePr>
    <w:tblStylePr w:type="band1Vert">
      <w:tblPr/>
      <w:tcPr>
        <w:shd w:val="clear" w:color="auto" w:fill="97E0CB" w:themeFill="accent3" w:themeFillTint="7F"/>
      </w:tcPr>
    </w:tblStylePr>
    <w:tblStylePr w:type="band1Horz">
      <w:tblPr/>
      <w:tcPr>
        <w:shd w:val="clear" w:color="auto" w:fill="97E0CB" w:themeFill="accent3" w:themeFillTint="7F"/>
      </w:tcPr>
    </w:tblStylePr>
  </w:style>
  <w:style w:type="table" w:styleId="ColorfulGrid-Accent4">
    <w:name w:val="Colorful Grid Accent 4"/>
    <w:basedOn w:val="TableNormal"/>
    <w:uiPriority w:val="73"/>
    <w:semiHidden/>
    <w:unhideWhenUsed/>
    <w:rsid w:val="009F072B"/>
    <w:pPr>
      <w:spacing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CF1DA" w:themeFill="accent4" w:themeFillTint="33"/>
    </w:tcPr>
    <w:tblStylePr w:type="firstRow">
      <w:rPr>
        <w:b/>
        <w:bCs/>
      </w:rPr>
      <w:tblPr/>
      <w:tcPr>
        <w:shd w:val="clear" w:color="auto" w:fill="FAE4B5" w:themeFill="accent4" w:themeFillTint="66"/>
      </w:tcPr>
    </w:tblStylePr>
    <w:tblStylePr w:type="lastRow">
      <w:rPr>
        <w:b/>
        <w:bCs/>
        <w:color w:val="000000" w:themeColor="text1"/>
      </w:rPr>
      <w:tblPr/>
      <w:tcPr>
        <w:shd w:val="clear" w:color="auto" w:fill="FAE4B5" w:themeFill="accent4" w:themeFillTint="66"/>
      </w:tcPr>
    </w:tblStylePr>
    <w:tblStylePr w:type="firstCol">
      <w:rPr>
        <w:color w:val="FFFFFF" w:themeColor="background1"/>
      </w:rPr>
      <w:tblPr/>
      <w:tcPr>
        <w:shd w:val="clear" w:color="auto" w:fill="DD9B0E" w:themeFill="accent4" w:themeFillShade="BF"/>
      </w:tcPr>
    </w:tblStylePr>
    <w:tblStylePr w:type="lastCol">
      <w:rPr>
        <w:color w:val="FFFFFF" w:themeColor="background1"/>
      </w:rPr>
      <w:tblPr/>
      <w:tcPr>
        <w:shd w:val="clear" w:color="auto" w:fill="DD9B0E" w:themeFill="accent4" w:themeFillShade="BF"/>
      </w:tcPr>
    </w:tblStylePr>
    <w:tblStylePr w:type="band1Vert">
      <w:tblPr/>
      <w:tcPr>
        <w:shd w:val="clear" w:color="auto" w:fill="F9DDA3" w:themeFill="accent4" w:themeFillTint="7F"/>
      </w:tcPr>
    </w:tblStylePr>
    <w:tblStylePr w:type="band1Horz">
      <w:tblPr/>
      <w:tcPr>
        <w:shd w:val="clear" w:color="auto" w:fill="F9DDA3" w:themeFill="accent4" w:themeFillTint="7F"/>
      </w:tcPr>
    </w:tblStylePr>
  </w:style>
  <w:style w:type="table" w:styleId="ColorfulGrid-Accent5">
    <w:name w:val="Colorful Grid Accent 5"/>
    <w:basedOn w:val="TableNormal"/>
    <w:uiPriority w:val="73"/>
    <w:semiHidden/>
    <w:unhideWhenUsed/>
    <w:rsid w:val="009F072B"/>
    <w:pPr>
      <w:spacing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CE0D3" w:themeFill="accent5" w:themeFillTint="33"/>
    </w:tcPr>
    <w:tblStylePr w:type="firstRow">
      <w:rPr>
        <w:b/>
        <w:bCs/>
      </w:rPr>
      <w:tblPr/>
      <w:tcPr>
        <w:shd w:val="clear" w:color="auto" w:fill="F9C2A7" w:themeFill="accent5" w:themeFillTint="66"/>
      </w:tcPr>
    </w:tblStylePr>
    <w:tblStylePr w:type="lastRow">
      <w:rPr>
        <w:b/>
        <w:bCs/>
        <w:color w:val="000000" w:themeColor="text1"/>
      </w:rPr>
      <w:tblPr/>
      <w:tcPr>
        <w:shd w:val="clear" w:color="auto" w:fill="F9C2A7" w:themeFill="accent5" w:themeFillTint="66"/>
      </w:tcPr>
    </w:tblStylePr>
    <w:tblStylePr w:type="firstCol">
      <w:rPr>
        <w:color w:val="FFFFFF" w:themeColor="background1"/>
      </w:rPr>
      <w:tblPr/>
      <w:tcPr>
        <w:shd w:val="clear" w:color="auto" w:fill="C4490B" w:themeFill="accent5" w:themeFillShade="BF"/>
      </w:tcPr>
    </w:tblStylePr>
    <w:tblStylePr w:type="lastCol">
      <w:rPr>
        <w:color w:val="FFFFFF" w:themeColor="background1"/>
      </w:rPr>
      <w:tblPr/>
      <w:tcPr>
        <w:shd w:val="clear" w:color="auto" w:fill="C4490B" w:themeFill="accent5" w:themeFillShade="BF"/>
      </w:tcPr>
    </w:tblStylePr>
    <w:tblStylePr w:type="band1Vert">
      <w:tblPr/>
      <w:tcPr>
        <w:shd w:val="clear" w:color="auto" w:fill="F8B492" w:themeFill="accent5" w:themeFillTint="7F"/>
      </w:tcPr>
    </w:tblStylePr>
    <w:tblStylePr w:type="band1Horz">
      <w:tblPr/>
      <w:tcPr>
        <w:shd w:val="clear" w:color="auto" w:fill="F8B492" w:themeFill="accent5" w:themeFillTint="7F"/>
      </w:tcPr>
    </w:tblStylePr>
  </w:style>
  <w:style w:type="table" w:styleId="ColorfulGrid-Accent6">
    <w:name w:val="Colorful Grid Accent 6"/>
    <w:basedOn w:val="TableNormal"/>
    <w:uiPriority w:val="73"/>
    <w:semiHidden/>
    <w:unhideWhenUsed/>
    <w:rsid w:val="009F072B"/>
    <w:pPr>
      <w:spacing w:line="240" w:lineRule="auto"/>
    </w:pPr>
    <w:rPr>
      <w:rFonts w:eastAsiaTheme="minorHAnsi"/>
      <w:color w:val="000000" w:themeColor="text1"/>
    </w:rPr>
    <w:tblPr>
      <w:tblStyleRowBandSize w:val="1"/>
      <w:tblStyleColBandSize w:val="1"/>
      <w:tblBorders>
        <w:insideH w:val="single" w:sz="4" w:space="0" w:color="FFFFFF" w:themeColor="background1"/>
      </w:tblBorders>
    </w:tblPr>
    <w:tcPr>
      <w:shd w:val="clear" w:color="auto" w:fill="F5D8E2" w:themeFill="accent6" w:themeFillTint="33"/>
    </w:tcPr>
    <w:tblStylePr w:type="firstRow">
      <w:rPr>
        <w:b/>
        <w:bCs/>
      </w:rPr>
      <w:tblPr/>
      <w:tcPr>
        <w:shd w:val="clear" w:color="auto" w:fill="EBB1C5" w:themeFill="accent6" w:themeFillTint="66"/>
      </w:tcPr>
    </w:tblStylePr>
    <w:tblStylePr w:type="lastRow">
      <w:rPr>
        <w:b/>
        <w:bCs/>
        <w:color w:val="000000" w:themeColor="text1"/>
      </w:rPr>
      <w:tblPr/>
      <w:tcPr>
        <w:shd w:val="clear" w:color="auto" w:fill="EBB1C5" w:themeFill="accent6" w:themeFillTint="66"/>
      </w:tcPr>
    </w:tblStylePr>
    <w:tblStylePr w:type="firstCol">
      <w:rPr>
        <w:color w:val="FFFFFF" w:themeColor="background1"/>
      </w:rPr>
      <w:tblPr/>
      <w:tcPr>
        <w:shd w:val="clear" w:color="auto" w:fill="9E2952" w:themeFill="accent6" w:themeFillShade="BF"/>
      </w:tcPr>
    </w:tblStylePr>
    <w:tblStylePr w:type="lastCol">
      <w:rPr>
        <w:color w:val="FFFFFF" w:themeColor="background1"/>
      </w:rPr>
      <w:tblPr/>
      <w:tcPr>
        <w:shd w:val="clear" w:color="auto" w:fill="9E2952" w:themeFill="accent6" w:themeFillShade="BF"/>
      </w:tcPr>
    </w:tblStylePr>
    <w:tblStylePr w:type="band1Vert">
      <w:tblPr/>
      <w:tcPr>
        <w:shd w:val="clear" w:color="auto" w:fill="E69EB7" w:themeFill="accent6" w:themeFillTint="7F"/>
      </w:tcPr>
    </w:tblStylePr>
    <w:tblStylePr w:type="band1Horz">
      <w:tblPr/>
      <w:tcPr>
        <w:shd w:val="clear" w:color="auto" w:fill="E69EB7" w:themeFill="accent6" w:themeFillTint="7F"/>
      </w:tcPr>
    </w:tblStylePr>
  </w:style>
  <w:style w:type="table" w:styleId="ColorfulList">
    <w:name w:val="Colorful List"/>
    <w:basedOn w:val="TableNormal"/>
    <w:uiPriority w:val="72"/>
    <w:semiHidden/>
    <w:unhideWhenUsed/>
    <w:rsid w:val="009F072B"/>
    <w:pPr>
      <w:spacing w:line="240" w:lineRule="auto"/>
    </w:pPr>
    <w:rPr>
      <w:rFonts w:eastAsiaTheme="minorHAnsi"/>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7887" w:themeFill="accent2" w:themeFillShade="CC"/>
      </w:tcPr>
    </w:tblStylePr>
    <w:tblStylePr w:type="lastRow">
      <w:rPr>
        <w:b/>
        <w:bCs/>
        <w:color w:val="1B788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F072B"/>
    <w:pPr>
      <w:spacing w:line="240" w:lineRule="auto"/>
    </w:pPr>
    <w:rPr>
      <w:rFonts w:eastAsiaTheme="minorHAnsi"/>
      <w:color w:val="000000" w:themeColor="text1"/>
    </w:rPr>
    <w:tblPr>
      <w:tblStyleRowBandSize w:val="1"/>
      <w:tblStyleColBandSize w:val="1"/>
    </w:tblPr>
    <w:tcPr>
      <w:shd w:val="clear" w:color="auto" w:fill="E1EAF7" w:themeFill="accent1" w:themeFillTint="19"/>
    </w:tcPr>
    <w:tblStylePr w:type="firstRow">
      <w:rPr>
        <w:b/>
        <w:bCs/>
        <w:color w:val="FFFFFF" w:themeColor="background1"/>
      </w:rPr>
      <w:tblPr/>
      <w:tcPr>
        <w:tcBorders>
          <w:bottom w:val="single" w:sz="12" w:space="0" w:color="FFFFFF" w:themeColor="background1"/>
        </w:tcBorders>
        <w:shd w:val="clear" w:color="auto" w:fill="1B7887" w:themeFill="accent2" w:themeFillShade="CC"/>
      </w:tcPr>
    </w:tblStylePr>
    <w:tblStylePr w:type="lastRow">
      <w:rPr>
        <w:b/>
        <w:bCs/>
        <w:color w:val="1B788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BED" w:themeFill="accent1" w:themeFillTint="3F"/>
      </w:tcPr>
    </w:tblStylePr>
    <w:tblStylePr w:type="band1Horz">
      <w:tblPr/>
      <w:tcPr>
        <w:shd w:val="clear" w:color="auto" w:fill="C2D5F0" w:themeFill="accent1" w:themeFillTint="33"/>
      </w:tcPr>
    </w:tblStylePr>
  </w:style>
  <w:style w:type="table" w:styleId="ColorfulList-Accent2">
    <w:name w:val="Colorful List Accent 2"/>
    <w:basedOn w:val="TableNormal"/>
    <w:uiPriority w:val="72"/>
    <w:semiHidden/>
    <w:unhideWhenUsed/>
    <w:rsid w:val="009F072B"/>
    <w:pPr>
      <w:spacing w:line="240" w:lineRule="auto"/>
    </w:pPr>
    <w:rPr>
      <w:rFonts w:eastAsiaTheme="minorHAnsi"/>
      <w:color w:val="000000" w:themeColor="text1"/>
    </w:rPr>
    <w:tblPr>
      <w:tblStyleRowBandSize w:val="1"/>
      <w:tblStyleColBandSize w:val="1"/>
    </w:tblPr>
    <w:tcPr>
      <w:shd w:val="clear" w:color="auto" w:fill="E6F7FA" w:themeFill="accent2" w:themeFillTint="19"/>
    </w:tcPr>
    <w:tblStylePr w:type="firstRow">
      <w:rPr>
        <w:b/>
        <w:bCs/>
        <w:color w:val="FFFFFF" w:themeColor="background1"/>
      </w:rPr>
      <w:tblPr/>
      <w:tcPr>
        <w:tcBorders>
          <w:bottom w:val="single" w:sz="12" w:space="0" w:color="FFFFFF" w:themeColor="background1"/>
        </w:tcBorders>
        <w:shd w:val="clear" w:color="auto" w:fill="1B7887" w:themeFill="accent2" w:themeFillShade="CC"/>
      </w:tcPr>
    </w:tblStylePr>
    <w:tblStylePr w:type="lastRow">
      <w:rPr>
        <w:b/>
        <w:bCs/>
        <w:color w:val="1B788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EBF2" w:themeFill="accent2" w:themeFillTint="3F"/>
      </w:tcPr>
    </w:tblStylePr>
    <w:tblStylePr w:type="band1Horz">
      <w:tblPr/>
      <w:tcPr>
        <w:shd w:val="clear" w:color="auto" w:fill="CBEFF4" w:themeFill="accent2" w:themeFillTint="33"/>
      </w:tcPr>
    </w:tblStylePr>
  </w:style>
  <w:style w:type="table" w:styleId="ColorfulList-Accent3">
    <w:name w:val="Colorful List Accent 3"/>
    <w:basedOn w:val="TableNormal"/>
    <w:uiPriority w:val="72"/>
    <w:semiHidden/>
    <w:unhideWhenUsed/>
    <w:rsid w:val="009F072B"/>
    <w:pPr>
      <w:spacing w:line="240" w:lineRule="auto"/>
    </w:pPr>
    <w:rPr>
      <w:rFonts w:eastAsiaTheme="minorHAnsi"/>
      <w:color w:val="000000" w:themeColor="text1"/>
    </w:rPr>
    <w:tblPr>
      <w:tblStyleRowBandSize w:val="1"/>
      <w:tblStyleColBandSize w:val="1"/>
    </w:tblPr>
    <w:tcPr>
      <w:shd w:val="clear" w:color="auto" w:fill="EAF9F4" w:themeFill="accent3" w:themeFillTint="19"/>
    </w:tcPr>
    <w:tblStylePr w:type="firstRow">
      <w:rPr>
        <w:b/>
        <w:bCs/>
        <w:color w:val="FFFFFF" w:themeColor="background1"/>
      </w:rPr>
      <w:tblPr/>
      <w:tcPr>
        <w:tcBorders>
          <w:bottom w:val="single" w:sz="12" w:space="0" w:color="FFFFFF" w:themeColor="background1"/>
        </w:tcBorders>
        <w:shd w:val="clear" w:color="auto" w:fill="ECA60F" w:themeFill="accent4" w:themeFillShade="CC"/>
      </w:tcPr>
    </w:tblStylePr>
    <w:tblStylePr w:type="lastRow">
      <w:rPr>
        <w:b/>
        <w:bCs/>
        <w:color w:val="ECA60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FE5" w:themeFill="accent3" w:themeFillTint="3F"/>
      </w:tcPr>
    </w:tblStylePr>
    <w:tblStylePr w:type="band1Horz">
      <w:tblPr/>
      <w:tcPr>
        <w:shd w:val="clear" w:color="auto" w:fill="D5F2EA" w:themeFill="accent3" w:themeFillTint="33"/>
      </w:tcPr>
    </w:tblStylePr>
  </w:style>
  <w:style w:type="table" w:styleId="ColorfulList-Accent4">
    <w:name w:val="Colorful List Accent 4"/>
    <w:basedOn w:val="TableNormal"/>
    <w:uiPriority w:val="72"/>
    <w:semiHidden/>
    <w:unhideWhenUsed/>
    <w:rsid w:val="009F072B"/>
    <w:pPr>
      <w:spacing w:line="240" w:lineRule="auto"/>
    </w:pPr>
    <w:rPr>
      <w:rFonts w:eastAsiaTheme="minorHAnsi"/>
      <w:color w:val="000000" w:themeColor="text1"/>
    </w:rPr>
    <w:tblPr>
      <w:tblStyleRowBandSize w:val="1"/>
      <w:tblStyleColBandSize w:val="1"/>
    </w:tblPr>
    <w:tcPr>
      <w:shd w:val="clear" w:color="auto" w:fill="FDF8EC" w:themeFill="accent4" w:themeFillTint="19"/>
    </w:tcPr>
    <w:tblStylePr w:type="firstRow">
      <w:rPr>
        <w:b/>
        <w:bCs/>
        <w:color w:val="FFFFFF" w:themeColor="background1"/>
      </w:rPr>
      <w:tblPr/>
      <w:tcPr>
        <w:tcBorders>
          <w:bottom w:val="single" w:sz="12" w:space="0" w:color="FFFFFF" w:themeColor="background1"/>
        </w:tcBorders>
        <w:shd w:val="clear" w:color="auto" w:fill="2C9476" w:themeFill="accent3" w:themeFillShade="CC"/>
      </w:tcPr>
    </w:tblStylePr>
    <w:tblStylePr w:type="lastRow">
      <w:rPr>
        <w:b/>
        <w:bCs/>
        <w:color w:val="2C947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ED1" w:themeFill="accent4" w:themeFillTint="3F"/>
      </w:tcPr>
    </w:tblStylePr>
    <w:tblStylePr w:type="band1Horz">
      <w:tblPr/>
      <w:tcPr>
        <w:shd w:val="clear" w:color="auto" w:fill="FCF1DA" w:themeFill="accent4" w:themeFillTint="33"/>
      </w:tcPr>
    </w:tblStylePr>
  </w:style>
  <w:style w:type="table" w:styleId="ColorfulList-Accent5">
    <w:name w:val="Colorful List Accent 5"/>
    <w:basedOn w:val="TableNormal"/>
    <w:uiPriority w:val="72"/>
    <w:semiHidden/>
    <w:unhideWhenUsed/>
    <w:rsid w:val="009F072B"/>
    <w:pPr>
      <w:spacing w:line="240" w:lineRule="auto"/>
    </w:pPr>
    <w:rPr>
      <w:rFonts w:eastAsiaTheme="minorHAnsi"/>
      <w:color w:val="000000" w:themeColor="text1"/>
    </w:rPr>
    <w:tblPr>
      <w:tblStyleRowBandSize w:val="1"/>
      <w:tblStyleColBandSize w:val="1"/>
    </w:tblPr>
    <w:tcPr>
      <w:shd w:val="clear" w:color="auto" w:fill="FDF0E9" w:themeFill="accent5" w:themeFillTint="19"/>
    </w:tcPr>
    <w:tblStylePr w:type="firstRow">
      <w:rPr>
        <w:b/>
        <w:bCs/>
        <w:color w:val="FFFFFF" w:themeColor="background1"/>
      </w:rPr>
      <w:tblPr/>
      <w:tcPr>
        <w:tcBorders>
          <w:bottom w:val="single" w:sz="12" w:space="0" w:color="FFFFFF" w:themeColor="background1"/>
        </w:tcBorders>
        <w:shd w:val="clear" w:color="auto" w:fill="A92C58" w:themeFill="accent6" w:themeFillShade="CC"/>
      </w:tcPr>
    </w:tblStylePr>
    <w:tblStylePr w:type="lastRow">
      <w:rPr>
        <w:b/>
        <w:bCs/>
        <w:color w:val="A92C5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8" w:themeFill="accent5" w:themeFillTint="3F"/>
      </w:tcPr>
    </w:tblStylePr>
    <w:tblStylePr w:type="band1Horz">
      <w:tblPr/>
      <w:tcPr>
        <w:shd w:val="clear" w:color="auto" w:fill="FCE0D3" w:themeFill="accent5" w:themeFillTint="33"/>
      </w:tcPr>
    </w:tblStylePr>
  </w:style>
  <w:style w:type="table" w:styleId="ColorfulList-Accent6">
    <w:name w:val="Colorful List Accent 6"/>
    <w:basedOn w:val="TableNormal"/>
    <w:uiPriority w:val="72"/>
    <w:semiHidden/>
    <w:unhideWhenUsed/>
    <w:rsid w:val="009F072B"/>
    <w:pPr>
      <w:spacing w:line="240" w:lineRule="auto"/>
    </w:pPr>
    <w:rPr>
      <w:rFonts w:eastAsiaTheme="minorHAnsi"/>
      <w:color w:val="000000" w:themeColor="text1"/>
    </w:rPr>
    <w:tblPr>
      <w:tblStyleRowBandSize w:val="1"/>
      <w:tblStyleColBandSize w:val="1"/>
    </w:tblPr>
    <w:tcPr>
      <w:shd w:val="clear" w:color="auto" w:fill="FAEBF0" w:themeFill="accent6" w:themeFillTint="19"/>
    </w:tcPr>
    <w:tblStylePr w:type="firstRow">
      <w:rPr>
        <w:b/>
        <w:bCs/>
        <w:color w:val="FFFFFF" w:themeColor="background1"/>
      </w:rPr>
      <w:tblPr/>
      <w:tcPr>
        <w:tcBorders>
          <w:bottom w:val="single" w:sz="12" w:space="0" w:color="FFFFFF" w:themeColor="background1"/>
        </w:tcBorders>
        <w:shd w:val="clear" w:color="auto" w:fill="D24E0C" w:themeFill="accent5" w:themeFillShade="CC"/>
      </w:tcPr>
    </w:tblStylePr>
    <w:tblStylePr w:type="lastRow">
      <w:rPr>
        <w:b/>
        <w:bCs/>
        <w:color w:val="D24E0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FDB" w:themeFill="accent6" w:themeFillTint="3F"/>
      </w:tcPr>
    </w:tblStylePr>
    <w:tblStylePr w:type="band1Horz">
      <w:tblPr/>
      <w:tcPr>
        <w:shd w:val="clear" w:color="auto" w:fill="F5D8E2" w:themeFill="accent6" w:themeFillTint="33"/>
      </w:tcPr>
    </w:tblStylePr>
  </w:style>
  <w:style w:type="table" w:styleId="ColorfulShading">
    <w:name w:val="Colorful Shading"/>
    <w:basedOn w:val="TableNormal"/>
    <w:uiPriority w:val="71"/>
    <w:semiHidden/>
    <w:unhideWhenUsed/>
    <w:rsid w:val="009F072B"/>
    <w:pPr>
      <w:spacing w:line="240" w:lineRule="auto"/>
    </w:pPr>
    <w:rPr>
      <w:rFonts w:eastAsiaTheme="minorHAnsi"/>
      <w:color w:val="000000" w:themeColor="text1"/>
    </w:rPr>
    <w:tblPr>
      <w:tblStyleRowBandSize w:val="1"/>
      <w:tblStyleColBandSize w:val="1"/>
      <w:tblBorders>
        <w:top w:val="single" w:sz="24" w:space="0" w:color="2297AA"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297A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F072B"/>
    <w:pPr>
      <w:spacing w:line="240" w:lineRule="auto"/>
    </w:pPr>
    <w:rPr>
      <w:rFonts w:eastAsiaTheme="minorHAnsi"/>
      <w:color w:val="000000" w:themeColor="text1"/>
    </w:rPr>
    <w:tblPr>
      <w:tblStyleRowBandSize w:val="1"/>
      <w:tblStyleColBandSize w:val="1"/>
      <w:tblBorders>
        <w:top w:val="single" w:sz="24" w:space="0" w:color="2297AA" w:themeColor="accent2"/>
        <w:left w:val="single" w:sz="4" w:space="0" w:color="2297AA" w:themeColor="accent2"/>
        <w:bottom w:val="single" w:sz="4" w:space="0" w:color="2297AA" w:themeColor="accent2"/>
        <w:right w:val="single" w:sz="4" w:space="0" w:color="2297AA" w:themeColor="accent2"/>
        <w:insideH w:val="single" w:sz="4" w:space="0" w:color="FFFFFF" w:themeColor="background1"/>
        <w:insideV w:val="single" w:sz="4" w:space="0" w:color="FFFFFF" w:themeColor="background1"/>
      </w:tblBorders>
    </w:tblPr>
    <w:tcPr>
      <w:shd w:val="clear" w:color="auto" w:fill="E6F7FA" w:themeFill="accent2" w:themeFillTint="19"/>
    </w:tcPr>
    <w:tblStylePr w:type="firstRow">
      <w:rPr>
        <w:b/>
        <w:bCs/>
      </w:rPr>
      <w:tblPr/>
      <w:tcPr>
        <w:tcBorders>
          <w:top w:val="nil"/>
          <w:left w:val="nil"/>
          <w:bottom w:val="single" w:sz="24" w:space="0" w:color="2297A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5A65" w:themeFill="accent2" w:themeFillShade="99"/>
      </w:tcPr>
    </w:tblStylePr>
    <w:tblStylePr w:type="firstCol">
      <w:rPr>
        <w:color w:val="FFFFFF" w:themeColor="background1"/>
      </w:rPr>
      <w:tblPr/>
      <w:tcPr>
        <w:tcBorders>
          <w:top w:val="nil"/>
          <w:left w:val="nil"/>
          <w:bottom w:val="nil"/>
          <w:right w:val="nil"/>
          <w:insideH w:val="single" w:sz="4" w:space="0" w:color="145A65" w:themeColor="accent2" w:themeShade="99"/>
          <w:insideV w:val="nil"/>
        </w:tcBorders>
        <w:shd w:val="clear" w:color="auto" w:fill="145A6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5A65" w:themeFill="accent2" w:themeFillShade="99"/>
      </w:tcPr>
    </w:tblStylePr>
    <w:tblStylePr w:type="band1Vert">
      <w:tblPr/>
      <w:tcPr>
        <w:shd w:val="clear" w:color="auto" w:fill="98DFEA" w:themeFill="accent2" w:themeFillTint="66"/>
      </w:tcPr>
    </w:tblStylePr>
    <w:tblStylePr w:type="band1Horz">
      <w:tblPr/>
      <w:tcPr>
        <w:shd w:val="clear" w:color="auto" w:fill="7FD7E5"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F072B"/>
    <w:pPr>
      <w:spacing w:line="240" w:lineRule="auto"/>
    </w:pPr>
    <w:rPr>
      <w:rFonts w:eastAsiaTheme="minorHAnsi"/>
      <w:color w:val="000000" w:themeColor="text1"/>
    </w:rPr>
    <w:tblPr>
      <w:tblStyleRowBandSize w:val="1"/>
      <w:tblStyleColBandSize w:val="1"/>
      <w:tblBorders>
        <w:top w:val="single" w:sz="24" w:space="0" w:color="F3BD48" w:themeColor="accent4"/>
        <w:left w:val="single" w:sz="4" w:space="0" w:color="37BA95" w:themeColor="accent3"/>
        <w:bottom w:val="single" w:sz="4" w:space="0" w:color="37BA95" w:themeColor="accent3"/>
        <w:right w:val="single" w:sz="4" w:space="0" w:color="37BA95" w:themeColor="accent3"/>
        <w:insideH w:val="single" w:sz="4" w:space="0" w:color="FFFFFF" w:themeColor="background1"/>
        <w:insideV w:val="single" w:sz="4" w:space="0" w:color="FFFFFF" w:themeColor="background1"/>
      </w:tblBorders>
    </w:tblPr>
    <w:tcPr>
      <w:shd w:val="clear" w:color="auto" w:fill="EAF9F4" w:themeFill="accent3" w:themeFillTint="19"/>
    </w:tcPr>
    <w:tblStylePr w:type="firstRow">
      <w:rPr>
        <w:b/>
        <w:bCs/>
      </w:rPr>
      <w:tblPr/>
      <w:tcPr>
        <w:tcBorders>
          <w:top w:val="nil"/>
          <w:left w:val="nil"/>
          <w:bottom w:val="single" w:sz="24" w:space="0" w:color="F3BD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F58" w:themeFill="accent3" w:themeFillShade="99"/>
      </w:tcPr>
    </w:tblStylePr>
    <w:tblStylePr w:type="firstCol">
      <w:rPr>
        <w:color w:val="FFFFFF" w:themeColor="background1"/>
      </w:rPr>
      <w:tblPr/>
      <w:tcPr>
        <w:tcBorders>
          <w:top w:val="nil"/>
          <w:left w:val="nil"/>
          <w:bottom w:val="nil"/>
          <w:right w:val="nil"/>
          <w:insideH w:val="single" w:sz="4" w:space="0" w:color="216F58" w:themeColor="accent3" w:themeShade="99"/>
          <w:insideV w:val="nil"/>
        </w:tcBorders>
        <w:shd w:val="clear" w:color="auto" w:fill="216F5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F58" w:themeFill="accent3" w:themeFillShade="99"/>
      </w:tcPr>
    </w:tblStylePr>
    <w:tblStylePr w:type="band1Vert">
      <w:tblPr/>
      <w:tcPr>
        <w:shd w:val="clear" w:color="auto" w:fill="ABE6D5" w:themeFill="accent3" w:themeFillTint="66"/>
      </w:tcPr>
    </w:tblStylePr>
    <w:tblStylePr w:type="band1Horz">
      <w:tblPr/>
      <w:tcPr>
        <w:shd w:val="clear" w:color="auto" w:fill="97E0CB" w:themeFill="accent3" w:themeFillTint="7F"/>
      </w:tcPr>
    </w:tblStylePr>
  </w:style>
  <w:style w:type="table" w:styleId="ColorfulShading-Accent4">
    <w:name w:val="Colorful Shading Accent 4"/>
    <w:basedOn w:val="TableNormal"/>
    <w:uiPriority w:val="71"/>
    <w:semiHidden/>
    <w:unhideWhenUsed/>
    <w:rsid w:val="009F072B"/>
    <w:pPr>
      <w:spacing w:line="240" w:lineRule="auto"/>
    </w:pPr>
    <w:rPr>
      <w:rFonts w:eastAsiaTheme="minorHAnsi"/>
      <w:color w:val="000000" w:themeColor="text1"/>
    </w:rPr>
    <w:tblPr>
      <w:tblStyleRowBandSize w:val="1"/>
      <w:tblStyleColBandSize w:val="1"/>
      <w:tblBorders>
        <w:top w:val="single" w:sz="24" w:space="0" w:color="37BA95" w:themeColor="accent3"/>
        <w:left w:val="single" w:sz="4" w:space="0" w:color="F3BD48" w:themeColor="accent4"/>
        <w:bottom w:val="single" w:sz="4" w:space="0" w:color="F3BD48" w:themeColor="accent4"/>
        <w:right w:val="single" w:sz="4" w:space="0" w:color="F3BD48" w:themeColor="accent4"/>
        <w:insideH w:val="single" w:sz="4" w:space="0" w:color="FFFFFF" w:themeColor="background1"/>
        <w:insideV w:val="single" w:sz="4" w:space="0" w:color="FFFFFF" w:themeColor="background1"/>
      </w:tblBorders>
    </w:tblPr>
    <w:tcPr>
      <w:shd w:val="clear" w:color="auto" w:fill="FDF8EC" w:themeFill="accent4" w:themeFillTint="19"/>
    </w:tcPr>
    <w:tblStylePr w:type="firstRow">
      <w:rPr>
        <w:b/>
        <w:bCs/>
      </w:rPr>
      <w:tblPr/>
      <w:tcPr>
        <w:tcBorders>
          <w:top w:val="nil"/>
          <w:left w:val="nil"/>
          <w:bottom w:val="single" w:sz="24" w:space="0" w:color="37BA9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17C0B" w:themeFill="accent4" w:themeFillShade="99"/>
      </w:tcPr>
    </w:tblStylePr>
    <w:tblStylePr w:type="firstCol">
      <w:rPr>
        <w:color w:val="FFFFFF" w:themeColor="background1"/>
      </w:rPr>
      <w:tblPr/>
      <w:tcPr>
        <w:tcBorders>
          <w:top w:val="nil"/>
          <w:left w:val="nil"/>
          <w:bottom w:val="nil"/>
          <w:right w:val="nil"/>
          <w:insideH w:val="single" w:sz="4" w:space="0" w:color="B17C0B" w:themeColor="accent4" w:themeShade="99"/>
          <w:insideV w:val="nil"/>
        </w:tcBorders>
        <w:shd w:val="clear" w:color="auto" w:fill="B17C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17C0B" w:themeFill="accent4" w:themeFillShade="99"/>
      </w:tcPr>
    </w:tblStylePr>
    <w:tblStylePr w:type="band1Vert">
      <w:tblPr/>
      <w:tcPr>
        <w:shd w:val="clear" w:color="auto" w:fill="FAE4B5" w:themeFill="accent4" w:themeFillTint="66"/>
      </w:tcPr>
    </w:tblStylePr>
    <w:tblStylePr w:type="band1Horz">
      <w:tblPr/>
      <w:tcPr>
        <w:shd w:val="clear" w:color="auto" w:fill="F9DD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F072B"/>
    <w:pPr>
      <w:spacing w:line="240" w:lineRule="auto"/>
    </w:pPr>
    <w:rPr>
      <w:rFonts w:eastAsiaTheme="minorHAnsi"/>
      <w:color w:val="000000" w:themeColor="text1"/>
    </w:rPr>
    <w:tblPr>
      <w:tblStyleRowBandSize w:val="1"/>
      <w:tblStyleColBandSize w:val="1"/>
      <w:tblBorders>
        <w:top w:val="single" w:sz="24" w:space="0" w:color="CD3E71" w:themeColor="accent6"/>
        <w:left w:val="single" w:sz="4" w:space="0" w:color="F26A25" w:themeColor="accent5"/>
        <w:bottom w:val="single" w:sz="4" w:space="0" w:color="F26A25" w:themeColor="accent5"/>
        <w:right w:val="single" w:sz="4" w:space="0" w:color="F26A25" w:themeColor="accent5"/>
        <w:insideH w:val="single" w:sz="4" w:space="0" w:color="FFFFFF" w:themeColor="background1"/>
        <w:insideV w:val="single" w:sz="4" w:space="0" w:color="FFFFFF" w:themeColor="background1"/>
      </w:tblBorders>
    </w:tblPr>
    <w:tcPr>
      <w:shd w:val="clear" w:color="auto" w:fill="FDF0E9" w:themeFill="accent5" w:themeFillTint="19"/>
    </w:tcPr>
    <w:tblStylePr w:type="firstRow">
      <w:rPr>
        <w:b/>
        <w:bCs/>
      </w:rPr>
      <w:tblPr/>
      <w:tcPr>
        <w:tcBorders>
          <w:top w:val="nil"/>
          <w:left w:val="nil"/>
          <w:bottom w:val="single" w:sz="24" w:space="0" w:color="CD3E7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3A09" w:themeFill="accent5" w:themeFillShade="99"/>
      </w:tcPr>
    </w:tblStylePr>
    <w:tblStylePr w:type="firstCol">
      <w:rPr>
        <w:color w:val="FFFFFF" w:themeColor="background1"/>
      </w:rPr>
      <w:tblPr/>
      <w:tcPr>
        <w:tcBorders>
          <w:top w:val="nil"/>
          <w:left w:val="nil"/>
          <w:bottom w:val="nil"/>
          <w:right w:val="nil"/>
          <w:insideH w:val="single" w:sz="4" w:space="0" w:color="9D3A09" w:themeColor="accent5" w:themeShade="99"/>
          <w:insideV w:val="nil"/>
        </w:tcBorders>
        <w:shd w:val="clear" w:color="auto" w:fill="9D3A0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D3A09" w:themeFill="accent5" w:themeFillShade="99"/>
      </w:tcPr>
    </w:tblStylePr>
    <w:tblStylePr w:type="band1Vert">
      <w:tblPr/>
      <w:tcPr>
        <w:shd w:val="clear" w:color="auto" w:fill="F9C2A7" w:themeFill="accent5" w:themeFillTint="66"/>
      </w:tcPr>
    </w:tblStylePr>
    <w:tblStylePr w:type="band1Horz">
      <w:tblPr/>
      <w:tcPr>
        <w:shd w:val="clear" w:color="auto" w:fill="F8B49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F072B"/>
    <w:pPr>
      <w:spacing w:line="240" w:lineRule="auto"/>
    </w:pPr>
    <w:rPr>
      <w:rFonts w:eastAsiaTheme="minorHAnsi"/>
      <w:color w:val="000000" w:themeColor="text1"/>
    </w:rPr>
    <w:tblPr>
      <w:tblStyleRowBandSize w:val="1"/>
      <w:tblStyleColBandSize w:val="1"/>
      <w:tblBorders>
        <w:top w:val="single" w:sz="24" w:space="0" w:color="F26A25" w:themeColor="accent5"/>
        <w:left w:val="single" w:sz="4" w:space="0" w:color="CD3E71" w:themeColor="accent6"/>
        <w:bottom w:val="single" w:sz="4" w:space="0" w:color="CD3E71" w:themeColor="accent6"/>
        <w:right w:val="single" w:sz="4" w:space="0" w:color="CD3E71" w:themeColor="accent6"/>
        <w:insideH w:val="single" w:sz="4" w:space="0" w:color="FFFFFF" w:themeColor="background1"/>
        <w:insideV w:val="single" w:sz="4" w:space="0" w:color="FFFFFF" w:themeColor="background1"/>
      </w:tblBorders>
    </w:tblPr>
    <w:tcPr>
      <w:shd w:val="clear" w:color="auto" w:fill="FAEBF0" w:themeFill="accent6" w:themeFillTint="19"/>
    </w:tcPr>
    <w:tblStylePr w:type="firstRow">
      <w:rPr>
        <w:b/>
        <w:bCs/>
      </w:rPr>
      <w:tblPr/>
      <w:tcPr>
        <w:tcBorders>
          <w:top w:val="nil"/>
          <w:left w:val="nil"/>
          <w:bottom w:val="single" w:sz="24" w:space="0" w:color="F26A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2142" w:themeFill="accent6" w:themeFillShade="99"/>
      </w:tcPr>
    </w:tblStylePr>
    <w:tblStylePr w:type="firstCol">
      <w:rPr>
        <w:color w:val="FFFFFF" w:themeColor="background1"/>
      </w:rPr>
      <w:tblPr/>
      <w:tcPr>
        <w:tcBorders>
          <w:top w:val="nil"/>
          <w:left w:val="nil"/>
          <w:bottom w:val="nil"/>
          <w:right w:val="nil"/>
          <w:insideH w:val="single" w:sz="4" w:space="0" w:color="7F2142" w:themeColor="accent6" w:themeShade="99"/>
          <w:insideV w:val="nil"/>
        </w:tcBorders>
        <w:shd w:val="clear" w:color="auto" w:fill="7F214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F2142" w:themeFill="accent6" w:themeFillShade="99"/>
      </w:tcPr>
    </w:tblStylePr>
    <w:tblStylePr w:type="band1Vert">
      <w:tblPr/>
      <w:tcPr>
        <w:shd w:val="clear" w:color="auto" w:fill="EBB1C5" w:themeFill="accent6" w:themeFillTint="66"/>
      </w:tcPr>
    </w:tblStylePr>
    <w:tblStylePr w:type="band1Horz">
      <w:tblPr/>
      <w:tcPr>
        <w:shd w:val="clear" w:color="auto" w:fill="E69EB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9F072B"/>
    <w:pPr>
      <w:spacing w:line="240" w:lineRule="auto"/>
    </w:pPr>
    <w:rPr>
      <w:rFonts w:eastAsiaTheme="minorHAnsi"/>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F072B"/>
    <w:pPr>
      <w:spacing w:line="240" w:lineRule="auto"/>
    </w:pPr>
    <w:rPr>
      <w:rFonts w:eastAsiaTheme="minorHAnsi"/>
      <w:color w:val="FFFFFF" w:themeColor="background1"/>
    </w:rPr>
    <w:tblPr>
      <w:tblStyleRowBandSize w:val="1"/>
      <w:tblStyleColBandSize w:val="1"/>
    </w:tblPr>
    <w:tcPr>
      <w:shd w:val="clear" w:color="auto" w:fill="1B3D6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1E3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42D5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42D53" w:themeFill="accent1" w:themeFillShade="BF"/>
      </w:tcPr>
    </w:tblStylePr>
    <w:tblStylePr w:type="band1Vert">
      <w:tblPr/>
      <w:tcPr>
        <w:tcBorders>
          <w:top w:val="nil"/>
          <w:left w:val="nil"/>
          <w:bottom w:val="nil"/>
          <w:right w:val="nil"/>
          <w:insideH w:val="nil"/>
          <w:insideV w:val="nil"/>
        </w:tcBorders>
        <w:shd w:val="clear" w:color="auto" w:fill="142D53" w:themeFill="accent1" w:themeFillShade="BF"/>
      </w:tcPr>
    </w:tblStylePr>
    <w:tblStylePr w:type="band1Horz">
      <w:tblPr/>
      <w:tcPr>
        <w:tcBorders>
          <w:top w:val="nil"/>
          <w:left w:val="nil"/>
          <w:bottom w:val="nil"/>
          <w:right w:val="nil"/>
          <w:insideH w:val="nil"/>
          <w:insideV w:val="nil"/>
        </w:tcBorders>
        <w:shd w:val="clear" w:color="auto" w:fill="142D53" w:themeFill="accent1" w:themeFillShade="BF"/>
      </w:tcPr>
    </w:tblStylePr>
  </w:style>
  <w:style w:type="table" w:styleId="DarkList-Accent2">
    <w:name w:val="Dark List Accent 2"/>
    <w:basedOn w:val="TableNormal"/>
    <w:uiPriority w:val="70"/>
    <w:semiHidden/>
    <w:unhideWhenUsed/>
    <w:rsid w:val="009F072B"/>
    <w:pPr>
      <w:spacing w:line="240" w:lineRule="auto"/>
    </w:pPr>
    <w:rPr>
      <w:rFonts w:eastAsiaTheme="minorHAnsi"/>
      <w:color w:val="FFFFFF" w:themeColor="background1"/>
    </w:rPr>
    <w:tblPr>
      <w:tblStyleRowBandSize w:val="1"/>
      <w:tblStyleColBandSize w:val="1"/>
    </w:tblPr>
    <w:tcPr>
      <w:shd w:val="clear" w:color="auto" w:fill="2297A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4A5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07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07F" w:themeFill="accent2" w:themeFillShade="BF"/>
      </w:tcPr>
    </w:tblStylePr>
    <w:tblStylePr w:type="band1Vert">
      <w:tblPr/>
      <w:tcPr>
        <w:tcBorders>
          <w:top w:val="nil"/>
          <w:left w:val="nil"/>
          <w:bottom w:val="nil"/>
          <w:right w:val="nil"/>
          <w:insideH w:val="nil"/>
          <w:insideV w:val="nil"/>
        </w:tcBorders>
        <w:shd w:val="clear" w:color="auto" w:fill="19707F" w:themeFill="accent2" w:themeFillShade="BF"/>
      </w:tcPr>
    </w:tblStylePr>
    <w:tblStylePr w:type="band1Horz">
      <w:tblPr/>
      <w:tcPr>
        <w:tcBorders>
          <w:top w:val="nil"/>
          <w:left w:val="nil"/>
          <w:bottom w:val="nil"/>
          <w:right w:val="nil"/>
          <w:insideH w:val="nil"/>
          <w:insideV w:val="nil"/>
        </w:tcBorders>
        <w:shd w:val="clear" w:color="auto" w:fill="19707F" w:themeFill="accent2" w:themeFillShade="BF"/>
      </w:tcPr>
    </w:tblStylePr>
  </w:style>
  <w:style w:type="table" w:styleId="DarkList-Accent3">
    <w:name w:val="Dark List Accent 3"/>
    <w:basedOn w:val="TableNormal"/>
    <w:uiPriority w:val="70"/>
    <w:semiHidden/>
    <w:unhideWhenUsed/>
    <w:rsid w:val="009F072B"/>
    <w:pPr>
      <w:spacing w:line="240" w:lineRule="auto"/>
    </w:pPr>
    <w:rPr>
      <w:rFonts w:eastAsiaTheme="minorHAnsi"/>
      <w:color w:val="FFFFFF" w:themeColor="background1"/>
    </w:rPr>
    <w:tblPr>
      <w:tblStyleRowBandSize w:val="1"/>
      <w:tblStyleColBandSize w:val="1"/>
    </w:tblPr>
    <w:tcPr>
      <w:shd w:val="clear" w:color="auto" w:fill="37BA9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C4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8B6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8B6F" w:themeFill="accent3" w:themeFillShade="BF"/>
      </w:tcPr>
    </w:tblStylePr>
    <w:tblStylePr w:type="band1Vert">
      <w:tblPr/>
      <w:tcPr>
        <w:tcBorders>
          <w:top w:val="nil"/>
          <w:left w:val="nil"/>
          <w:bottom w:val="nil"/>
          <w:right w:val="nil"/>
          <w:insideH w:val="nil"/>
          <w:insideV w:val="nil"/>
        </w:tcBorders>
        <w:shd w:val="clear" w:color="auto" w:fill="298B6F" w:themeFill="accent3" w:themeFillShade="BF"/>
      </w:tcPr>
    </w:tblStylePr>
    <w:tblStylePr w:type="band1Horz">
      <w:tblPr/>
      <w:tcPr>
        <w:tcBorders>
          <w:top w:val="nil"/>
          <w:left w:val="nil"/>
          <w:bottom w:val="nil"/>
          <w:right w:val="nil"/>
          <w:insideH w:val="nil"/>
          <w:insideV w:val="nil"/>
        </w:tcBorders>
        <w:shd w:val="clear" w:color="auto" w:fill="298B6F" w:themeFill="accent3" w:themeFillShade="BF"/>
      </w:tcPr>
    </w:tblStylePr>
  </w:style>
  <w:style w:type="table" w:styleId="DarkList-Accent4">
    <w:name w:val="Dark List Accent 4"/>
    <w:basedOn w:val="TableNormal"/>
    <w:uiPriority w:val="70"/>
    <w:semiHidden/>
    <w:unhideWhenUsed/>
    <w:rsid w:val="009F072B"/>
    <w:pPr>
      <w:spacing w:line="240" w:lineRule="auto"/>
    </w:pPr>
    <w:rPr>
      <w:rFonts w:eastAsiaTheme="minorHAnsi"/>
      <w:color w:val="FFFFFF" w:themeColor="background1"/>
    </w:rPr>
    <w:tblPr>
      <w:tblStyleRowBandSize w:val="1"/>
      <w:tblStyleColBandSize w:val="1"/>
    </w:tblPr>
    <w:tcPr>
      <w:shd w:val="clear" w:color="auto" w:fill="F3BD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7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D9B0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D9B0E" w:themeFill="accent4" w:themeFillShade="BF"/>
      </w:tcPr>
    </w:tblStylePr>
    <w:tblStylePr w:type="band1Vert">
      <w:tblPr/>
      <w:tcPr>
        <w:tcBorders>
          <w:top w:val="nil"/>
          <w:left w:val="nil"/>
          <w:bottom w:val="nil"/>
          <w:right w:val="nil"/>
          <w:insideH w:val="nil"/>
          <w:insideV w:val="nil"/>
        </w:tcBorders>
        <w:shd w:val="clear" w:color="auto" w:fill="DD9B0E" w:themeFill="accent4" w:themeFillShade="BF"/>
      </w:tcPr>
    </w:tblStylePr>
    <w:tblStylePr w:type="band1Horz">
      <w:tblPr/>
      <w:tcPr>
        <w:tcBorders>
          <w:top w:val="nil"/>
          <w:left w:val="nil"/>
          <w:bottom w:val="nil"/>
          <w:right w:val="nil"/>
          <w:insideH w:val="nil"/>
          <w:insideV w:val="nil"/>
        </w:tcBorders>
        <w:shd w:val="clear" w:color="auto" w:fill="DD9B0E" w:themeFill="accent4" w:themeFillShade="BF"/>
      </w:tcPr>
    </w:tblStylePr>
  </w:style>
  <w:style w:type="table" w:styleId="DarkList-Accent5">
    <w:name w:val="Dark List Accent 5"/>
    <w:basedOn w:val="TableNormal"/>
    <w:uiPriority w:val="70"/>
    <w:semiHidden/>
    <w:unhideWhenUsed/>
    <w:rsid w:val="009F072B"/>
    <w:pPr>
      <w:spacing w:line="240" w:lineRule="auto"/>
    </w:pPr>
    <w:rPr>
      <w:rFonts w:eastAsiaTheme="minorHAnsi"/>
      <w:color w:val="FFFFFF" w:themeColor="background1"/>
    </w:rPr>
    <w:tblPr>
      <w:tblStyleRowBandSize w:val="1"/>
      <w:tblStyleColBandSize w:val="1"/>
    </w:tblPr>
    <w:tcPr>
      <w:shd w:val="clear" w:color="auto" w:fill="F26A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00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4490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4490B" w:themeFill="accent5" w:themeFillShade="BF"/>
      </w:tcPr>
    </w:tblStylePr>
    <w:tblStylePr w:type="band1Vert">
      <w:tblPr/>
      <w:tcPr>
        <w:tcBorders>
          <w:top w:val="nil"/>
          <w:left w:val="nil"/>
          <w:bottom w:val="nil"/>
          <w:right w:val="nil"/>
          <w:insideH w:val="nil"/>
          <w:insideV w:val="nil"/>
        </w:tcBorders>
        <w:shd w:val="clear" w:color="auto" w:fill="C4490B" w:themeFill="accent5" w:themeFillShade="BF"/>
      </w:tcPr>
    </w:tblStylePr>
    <w:tblStylePr w:type="band1Horz">
      <w:tblPr/>
      <w:tcPr>
        <w:tcBorders>
          <w:top w:val="nil"/>
          <w:left w:val="nil"/>
          <w:bottom w:val="nil"/>
          <w:right w:val="nil"/>
          <w:insideH w:val="nil"/>
          <w:insideV w:val="nil"/>
        </w:tcBorders>
        <w:shd w:val="clear" w:color="auto" w:fill="C4490B" w:themeFill="accent5" w:themeFillShade="BF"/>
      </w:tcPr>
    </w:tblStylePr>
  </w:style>
  <w:style w:type="table" w:styleId="DarkList-Accent6">
    <w:name w:val="Dark List Accent 6"/>
    <w:basedOn w:val="TableNormal"/>
    <w:uiPriority w:val="70"/>
    <w:semiHidden/>
    <w:unhideWhenUsed/>
    <w:rsid w:val="009F072B"/>
    <w:pPr>
      <w:spacing w:line="240" w:lineRule="auto"/>
    </w:pPr>
    <w:rPr>
      <w:rFonts w:eastAsiaTheme="minorHAnsi"/>
      <w:color w:val="FFFFFF" w:themeColor="background1"/>
    </w:rPr>
    <w:tblPr>
      <w:tblStyleRowBandSize w:val="1"/>
      <w:tblStyleColBandSize w:val="1"/>
    </w:tblPr>
    <w:tcPr>
      <w:shd w:val="clear" w:color="auto" w:fill="CD3E7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1B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E295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E2952" w:themeFill="accent6" w:themeFillShade="BF"/>
      </w:tcPr>
    </w:tblStylePr>
    <w:tblStylePr w:type="band1Vert">
      <w:tblPr/>
      <w:tcPr>
        <w:tcBorders>
          <w:top w:val="nil"/>
          <w:left w:val="nil"/>
          <w:bottom w:val="nil"/>
          <w:right w:val="nil"/>
          <w:insideH w:val="nil"/>
          <w:insideV w:val="nil"/>
        </w:tcBorders>
        <w:shd w:val="clear" w:color="auto" w:fill="9E2952" w:themeFill="accent6" w:themeFillShade="BF"/>
      </w:tcPr>
    </w:tblStylePr>
    <w:tblStylePr w:type="band1Horz">
      <w:tblPr/>
      <w:tcPr>
        <w:tcBorders>
          <w:top w:val="nil"/>
          <w:left w:val="nil"/>
          <w:bottom w:val="nil"/>
          <w:right w:val="nil"/>
          <w:insideH w:val="nil"/>
          <w:insideV w:val="nil"/>
        </w:tcBorders>
        <w:shd w:val="clear" w:color="auto" w:fill="9E2952" w:themeFill="accent6" w:themeFillShade="BF"/>
      </w:tcPr>
    </w:tblStylePr>
  </w:style>
  <w:style w:type="paragraph" w:styleId="DocumentMap">
    <w:name w:val="Document Map"/>
    <w:basedOn w:val="Normal"/>
    <w:link w:val="DocumentMapChar"/>
    <w:uiPriority w:val="99"/>
    <w:semiHidden/>
    <w:unhideWhenUsed/>
    <w:rsid w:val="009F072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F072B"/>
    <w:rPr>
      <w:rFonts w:ascii="Segoe UI" w:eastAsiaTheme="minorHAnsi" w:hAnsi="Segoe UI" w:cs="Segoe UI"/>
      <w:sz w:val="16"/>
      <w:szCs w:val="16"/>
    </w:rPr>
  </w:style>
  <w:style w:type="paragraph" w:styleId="E-mailSignature">
    <w:name w:val="E-mail Signature"/>
    <w:basedOn w:val="Normal"/>
    <w:link w:val="E-mailSignatureChar"/>
    <w:uiPriority w:val="99"/>
    <w:semiHidden/>
    <w:unhideWhenUsed/>
    <w:rsid w:val="009F072B"/>
    <w:pPr>
      <w:spacing w:line="240" w:lineRule="auto"/>
    </w:pPr>
  </w:style>
  <w:style w:type="character" w:customStyle="1" w:styleId="E-mailSignatureChar">
    <w:name w:val="E-mail Signature Char"/>
    <w:basedOn w:val="DefaultParagraphFont"/>
    <w:link w:val="E-mailSignature"/>
    <w:uiPriority w:val="99"/>
    <w:semiHidden/>
    <w:rsid w:val="009F072B"/>
    <w:rPr>
      <w:rFonts w:eastAsiaTheme="minorHAnsi"/>
      <w:sz w:val="24"/>
    </w:rPr>
  </w:style>
  <w:style w:type="paragraph" w:styleId="EnvelopeAddress">
    <w:name w:val="envelope address"/>
    <w:basedOn w:val="Normal"/>
    <w:uiPriority w:val="99"/>
    <w:semiHidden/>
    <w:unhideWhenUsed/>
    <w:rsid w:val="009F072B"/>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9F072B"/>
    <w:pPr>
      <w:spacing w:line="240" w:lineRule="auto"/>
    </w:pPr>
    <w:rPr>
      <w:rFonts w:asciiTheme="majorHAnsi" w:eastAsiaTheme="majorEastAsia" w:hAnsiTheme="majorHAnsi" w:cstheme="majorBidi"/>
      <w:sz w:val="20"/>
      <w:szCs w:val="20"/>
    </w:rPr>
  </w:style>
  <w:style w:type="table" w:styleId="GridTable1Light">
    <w:name w:val="Grid Table 1 Light"/>
    <w:basedOn w:val="TableNormal"/>
    <w:uiPriority w:val="46"/>
    <w:unhideWhenUsed/>
    <w:rsid w:val="009F072B"/>
    <w:pPr>
      <w:spacing w:line="240" w:lineRule="auto"/>
    </w:pPr>
    <w:rPr>
      <w:rFonts w:eastAsiaTheme="minorHAns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unhideWhenUsed/>
    <w:rsid w:val="009F072B"/>
    <w:pPr>
      <w:spacing w:line="240" w:lineRule="auto"/>
    </w:pPr>
    <w:rPr>
      <w:rFonts w:eastAsiaTheme="minorHAnsi"/>
    </w:rPr>
    <w:tblPr>
      <w:tblStyleRowBandSize w:val="1"/>
      <w:tblStyleColBandSize w:val="1"/>
      <w:tblBorders>
        <w:top w:val="single" w:sz="4" w:space="0" w:color="87ABE1" w:themeColor="accent1" w:themeTint="66"/>
        <w:left w:val="single" w:sz="4" w:space="0" w:color="87ABE1" w:themeColor="accent1" w:themeTint="66"/>
        <w:bottom w:val="single" w:sz="4" w:space="0" w:color="87ABE1" w:themeColor="accent1" w:themeTint="66"/>
        <w:right w:val="single" w:sz="4" w:space="0" w:color="87ABE1" w:themeColor="accent1" w:themeTint="66"/>
        <w:insideH w:val="single" w:sz="4" w:space="0" w:color="87ABE1" w:themeColor="accent1" w:themeTint="66"/>
        <w:insideV w:val="single" w:sz="4" w:space="0" w:color="87ABE1" w:themeColor="accent1" w:themeTint="66"/>
      </w:tblBorders>
    </w:tblPr>
    <w:tblStylePr w:type="firstRow">
      <w:rPr>
        <w:b/>
        <w:bCs/>
      </w:rPr>
      <w:tblPr/>
      <w:tcPr>
        <w:tcBorders>
          <w:bottom w:val="single" w:sz="12" w:space="0" w:color="4B82D3" w:themeColor="accent1" w:themeTint="99"/>
        </w:tcBorders>
      </w:tcPr>
    </w:tblStylePr>
    <w:tblStylePr w:type="lastRow">
      <w:rPr>
        <w:b/>
        <w:bCs/>
      </w:rPr>
      <w:tblPr/>
      <w:tcPr>
        <w:tcBorders>
          <w:top w:val="double" w:sz="2" w:space="0" w:color="4B82D3"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unhideWhenUsed/>
    <w:rsid w:val="009F072B"/>
    <w:pPr>
      <w:spacing w:line="240" w:lineRule="auto"/>
    </w:pPr>
    <w:rPr>
      <w:rFonts w:eastAsiaTheme="minorHAnsi"/>
    </w:rPr>
    <w:tblPr>
      <w:tblStyleRowBandSize w:val="1"/>
      <w:tblStyleColBandSize w:val="1"/>
      <w:tblBorders>
        <w:top w:val="single" w:sz="4" w:space="0" w:color="ABE6D5" w:themeColor="accent3" w:themeTint="66"/>
        <w:left w:val="single" w:sz="4" w:space="0" w:color="ABE6D5" w:themeColor="accent3" w:themeTint="66"/>
        <w:bottom w:val="single" w:sz="4" w:space="0" w:color="ABE6D5" w:themeColor="accent3" w:themeTint="66"/>
        <w:right w:val="single" w:sz="4" w:space="0" w:color="ABE6D5" w:themeColor="accent3" w:themeTint="66"/>
        <w:insideH w:val="single" w:sz="4" w:space="0" w:color="ABE6D5" w:themeColor="accent3" w:themeTint="66"/>
        <w:insideV w:val="single" w:sz="4" w:space="0" w:color="ABE6D5" w:themeColor="accent3" w:themeTint="66"/>
      </w:tblBorders>
    </w:tblPr>
    <w:tblStylePr w:type="firstRow">
      <w:rPr>
        <w:b/>
        <w:bCs/>
      </w:rPr>
      <w:tblPr/>
      <w:tcPr>
        <w:tcBorders>
          <w:bottom w:val="single" w:sz="12" w:space="0" w:color="82DAC0" w:themeColor="accent3" w:themeTint="99"/>
        </w:tcBorders>
      </w:tcPr>
    </w:tblStylePr>
    <w:tblStylePr w:type="lastRow">
      <w:rPr>
        <w:b/>
        <w:bCs/>
      </w:rPr>
      <w:tblPr/>
      <w:tcPr>
        <w:tcBorders>
          <w:top w:val="double" w:sz="2" w:space="0" w:color="82DAC0"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unhideWhenUsed/>
    <w:rsid w:val="009F072B"/>
    <w:pPr>
      <w:spacing w:line="240" w:lineRule="auto"/>
    </w:pPr>
    <w:rPr>
      <w:rFonts w:eastAsiaTheme="minorHAnsi"/>
    </w:rPr>
    <w:tblPr>
      <w:tblStyleRowBandSize w:val="1"/>
      <w:tblStyleColBandSize w:val="1"/>
      <w:tblBorders>
        <w:top w:val="single" w:sz="4" w:space="0" w:color="FAE4B5" w:themeColor="accent4" w:themeTint="66"/>
        <w:left w:val="single" w:sz="4" w:space="0" w:color="FAE4B5" w:themeColor="accent4" w:themeTint="66"/>
        <w:bottom w:val="single" w:sz="4" w:space="0" w:color="FAE4B5" w:themeColor="accent4" w:themeTint="66"/>
        <w:right w:val="single" w:sz="4" w:space="0" w:color="FAE4B5" w:themeColor="accent4" w:themeTint="66"/>
        <w:insideH w:val="single" w:sz="4" w:space="0" w:color="FAE4B5" w:themeColor="accent4" w:themeTint="66"/>
        <w:insideV w:val="single" w:sz="4" w:space="0" w:color="FAE4B5" w:themeColor="accent4" w:themeTint="66"/>
      </w:tblBorders>
    </w:tblPr>
    <w:tblStylePr w:type="firstRow">
      <w:rPr>
        <w:b/>
        <w:bCs/>
      </w:rPr>
      <w:tblPr/>
      <w:tcPr>
        <w:tcBorders>
          <w:bottom w:val="single" w:sz="12" w:space="0" w:color="F7D791" w:themeColor="accent4" w:themeTint="99"/>
        </w:tcBorders>
      </w:tcPr>
    </w:tblStylePr>
    <w:tblStylePr w:type="lastRow">
      <w:rPr>
        <w:b/>
        <w:bCs/>
      </w:rPr>
      <w:tblPr/>
      <w:tcPr>
        <w:tcBorders>
          <w:top w:val="double" w:sz="2" w:space="0" w:color="F7D79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unhideWhenUsed/>
    <w:rsid w:val="009F072B"/>
    <w:pPr>
      <w:spacing w:line="240" w:lineRule="auto"/>
    </w:pPr>
    <w:rPr>
      <w:rFonts w:eastAsiaTheme="minorHAnsi"/>
    </w:rPr>
    <w:tblPr>
      <w:tblStyleRowBandSize w:val="1"/>
      <w:tblStyleColBandSize w:val="1"/>
      <w:tblBorders>
        <w:top w:val="single" w:sz="4" w:space="0" w:color="F9C2A7" w:themeColor="accent5" w:themeTint="66"/>
        <w:left w:val="single" w:sz="4" w:space="0" w:color="F9C2A7" w:themeColor="accent5" w:themeTint="66"/>
        <w:bottom w:val="single" w:sz="4" w:space="0" w:color="F9C2A7" w:themeColor="accent5" w:themeTint="66"/>
        <w:right w:val="single" w:sz="4" w:space="0" w:color="F9C2A7" w:themeColor="accent5" w:themeTint="66"/>
        <w:insideH w:val="single" w:sz="4" w:space="0" w:color="F9C2A7" w:themeColor="accent5" w:themeTint="66"/>
        <w:insideV w:val="single" w:sz="4" w:space="0" w:color="F9C2A7" w:themeColor="accent5" w:themeTint="66"/>
      </w:tblBorders>
    </w:tblPr>
    <w:tblStylePr w:type="firstRow">
      <w:rPr>
        <w:b/>
        <w:bCs/>
      </w:rPr>
      <w:tblPr/>
      <w:tcPr>
        <w:tcBorders>
          <w:bottom w:val="single" w:sz="12" w:space="0" w:color="F7A57C" w:themeColor="accent5" w:themeTint="99"/>
        </w:tcBorders>
      </w:tcPr>
    </w:tblStylePr>
    <w:tblStylePr w:type="lastRow">
      <w:rPr>
        <w:b/>
        <w:bCs/>
      </w:rPr>
      <w:tblPr/>
      <w:tcPr>
        <w:tcBorders>
          <w:top w:val="double" w:sz="2" w:space="0" w:color="F7A57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unhideWhenUsed/>
    <w:rsid w:val="009F072B"/>
    <w:pPr>
      <w:spacing w:line="240" w:lineRule="auto"/>
    </w:pPr>
    <w:rPr>
      <w:rFonts w:eastAsiaTheme="minorHAnsi"/>
    </w:rPr>
    <w:tblPr>
      <w:tblStyleRowBandSize w:val="1"/>
      <w:tblStyleColBandSize w:val="1"/>
      <w:tblBorders>
        <w:top w:val="single" w:sz="4" w:space="0" w:color="EBB1C5" w:themeColor="accent6" w:themeTint="66"/>
        <w:left w:val="single" w:sz="4" w:space="0" w:color="EBB1C5" w:themeColor="accent6" w:themeTint="66"/>
        <w:bottom w:val="single" w:sz="4" w:space="0" w:color="EBB1C5" w:themeColor="accent6" w:themeTint="66"/>
        <w:right w:val="single" w:sz="4" w:space="0" w:color="EBB1C5" w:themeColor="accent6" w:themeTint="66"/>
        <w:insideH w:val="single" w:sz="4" w:space="0" w:color="EBB1C5" w:themeColor="accent6" w:themeTint="66"/>
        <w:insideV w:val="single" w:sz="4" w:space="0" w:color="EBB1C5" w:themeColor="accent6" w:themeTint="66"/>
      </w:tblBorders>
    </w:tblPr>
    <w:tblStylePr w:type="firstRow">
      <w:rPr>
        <w:b/>
        <w:bCs/>
      </w:rPr>
      <w:tblPr/>
      <w:tcPr>
        <w:tcBorders>
          <w:bottom w:val="single" w:sz="12" w:space="0" w:color="E18BA9" w:themeColor="accent6" w:themeTint="99"/>
        </w:tcBorders>
      </w:tcPr>
    </w:tblStylePr>
    <w:tblStylePr w:type="lastRow">
      <w:rPr>
        <w:b/>
        <w:bCs/>
      </w:rPr>
      <w:tblPr/>
      <w:tcPr>
        <w:tcBorders>
          <w:top w:val="double" w:sz="2" w:space="0" w:color="E18BA9"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unhideWhenUsed/>
    <w:rsid w:val="009F072B"/>
    <w:pPr>
      <w:spacing w:line="240" w:lineRule="auto"/>
    </w:pPr>
    <w:rPr>
      <w:rFonts w:eastAsiaTheme="minorHAns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unhideWhenUsed/>
    <w:rsid w:val="009F072B"/>
    <w:pPr>
      <w:spacing w:line="240" w:lineRule="auto"/>
    </w:pPr>
    <w:rPr>
      <w:rFonts w:eastAsiaTheme="minorHAnsi"/>
    </w:rPr>
    <w:tblPr>
      <w:tblStyleRowBandSize w:val="1"/>
      <w:tblStyleColBandSize w:val="1"/>
      <w:tblBorders>
        <w:top w:val="single" w:sz="2" w:space="0" w:color="4B82D3" w:themeColor="accent1" w:themeTint="99"/>
        <w:bottom w:val="single" w:sz="2" w:space="0" w:color="4B82D3" w:themeColor="accent1" w:themeTint="99"/>
        <w:insideH w:val="single" w:sz="2" w:space="0" w:color="4B82D3" w:themeColor="accent1" w:themeTint="99"/>
        <w:insideV w:val="single" w:sz="2" w:space="0" w:color="4B82D3" w:themeColor="accent1" w:themeTint="99"/>
      </w:tblBorders>
    </w:tblPr>
    <w:tblStylePr w:type="firstRow">
      <w:rPr>
        <w:b/>
        <w:bCs/>
      </w:rPr>
      <w:tblPr/>
      <w:tcPr>
        <w:tcBorders>
          <w:top w:val="nil"/>
          <w:bottom w:val="single" w:sz="12" w:space="0" w:color="4B82D3" w:themeColor="accent1" w:themeTint="99"/>
          <w:insideH w:val="nil"/>
          <w:insideV w:val="nil"/>
        </w:tcBorders>
        <w:shd w:val="clear" w:color="auto" w:fill="FFFFFF" w:themeFill="background1"/>
      </w:tcPr>
    </w:tblStylePr>
    <w:tblStylePr w:type="lastRow">
      <w:rPr>
        <w:b/>
        <w:bCs/>
      </w:rPr>
      <w:tblPr/>
      <w:tcPr>
        <w:tcBorders>
          <w:top w:val="double" w:sz="2" w:space="0" w:color="4B82D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D5F0" w:themeFill="accent1" w:themeFillTint="33"/>
      </w:tcPr>
    </w:tblStylePr>
    <w:tblStylePr w:type="band1Horz">
      <w:tblPr/>
      <w:tcPr>
        <w:shd w:val="clear" w:color="auto" w:fill="C2D5F0" w:themeFill="accent1" w:themeFillTint="33"/>
      </w:tcPr>
    </w:tblStylePr>
  </w:style>
  <w:style w:type="table" w:styleId="GridTable2-Accent2">
    <w:name w:val="Grid Table 2 Accent 2"/>
    <w:basedOn w:val="TableNormal"/>
    <w:uiPriority w:val="47"/>
    <w:unhideWhenUsed/>
    <w:rsid w:val="009F072B"/>
    <w:pPr>
      <w:spacing w:line="240" w:lineRule="auto"/>
    </w:pPr>
    <w:rPr>
      <w:rFonts w:eastAsiaTheme="minorHAnsi"/>
    </w:rPr>
    <w:tblPr>
      <w:tblStyleRowBandSize w:val="1"/>
      <w:tblStyleColBandSize w:val="1"/>
      <w:tblBorders>
        <w:top w:val="single" w:sz="2" w:space="0" w:color="65CFE0" w:themeColor="accent2" w:themeTint="99"/>
        <w:bottom w:val="single" w:sz="2" w:space="0" w:color="65CFE0" w:themeColor="accent2" w:themeTint="99"/>
        <w:insideH w:val="single" w:sz="2" w:space="0" w:color="65CFE0" w:themeColor="accent2" w:themeTint="99"/>
        <w:insideV w:val="single" w:sz="2" w:space="0" w:color="65CFE0" w:themeColor="accent2" w:themeTint="99"/>
      </w:tblBorders>
    </w:tblPr>
    <w:tblStylePr w:type="firstRow">
      <w:rPr>
        <w:b/>
        <w:bCs/>
      </w:rPr>
      <w:tblPr/>
      <w:tcPr>
        <w:tcBorders>
          <w:top w:val="nil"/>
          <w:bottom w:val="single" w:sz="12" w:space="0" w:color="65CFE0" w:themeColor="accent2" w:themeTint="99"/>
          <w:insideH w:val="nil"/>
          <w:insideV w:val="nil"/>
        </w:tcBorders>
        <w:shd w:val="clear" w:color="auto" w:fill="FFFFFF" w:themeFill="background1"/>
      </w:tcPr>
    </w:tblStylePr>
    <w:tblStylePr w:type="lastRow">
      <w:rPr>
        <w:b/>
        <w:bCs/>
      </w:rPr>
      <w:tblPr/>
      <w:tcPr>
        <w:tcBorders>
          <w:top w:val="double" w:sz="2" w:space="0" w:color="65CFE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EFF4" w:themeFill="accent2" w:themeFillTint="33"/>
      </w:tcPr>
    </w:tblStylePr>
    <w:tblStylePr w:type="band1Horz">
      <w:tblPr/>
      <w:tcPr>
        <w:shd w:val="clear" w:color="auto" w:fill="CBEFF4" w:themeFill="accent2" w:themeFillTint="33"/>
      </w:tcPr>
    </w:tblStylePr>
  </w:style>
  <w:style w:type="table" w:styleId="GridTable2-Accent3">
    <w:name w:val="Grid Table 2 Accent 3"/>
    <w:basedOn w:val="TableNormal"/>
    <w:uiPriority w:val="47"/>
    <w:unhideWhenUsed/>
    <w:rsid w:val="009F072B"/>
    <w:pPr>
      <w:spacing w:line="240" w:lineRule="auto"/>
    </w:pPr>
    <w:rPr>
      <w:rFonts w:eastAsiaTheme="minorHAnsi"/>
    </w:rPr>
    <w:tblPr>
      <w:tblStyleRowBandSize w:val="1"/>
      <w:tblStyleColBandSize w:val="1"/>
      <w:tblBorders>
        <w:top w:val="single" w:sz="2" w:space="0" w:color="82DAC0" w:themeColor="accent3" w:themeTint="99"/>
        <w:bottom w:val="single" w:sz="2" w:space="0" w:color="82DAC0" w:themeColor="accent3" w:themeTint="99"/>
        <w:insideH w:val="single" w:sz="2" w:space="0" w:color="82DAC0" w:themeColor="accent3" w:themeTint="99"/>
        <w:insideV w:val="single" w:sz="2" w:space="0" w:color="82DAC0" w:themeColor="accent3" w:themeTint="99"/>
      </w:tblBorders>
    </w:tblPr>
    <w:tblStylePr w:type="firstRow">
      <w:rPr>
        <w:b/>
        <w:bCs/>
      </w:rPr>
      <w:tblPr/>
      <w:tcPr>
        <w:tcBorders>
          <w:top w:val="nil"/>
          <w:bottom w:val="single" w:sz="12" w:space="0" w:color="82DAC0" w:themeColor="accent3" w:themeTint="99"/>
          <w:insideH w:val="nil"/>
          <w:insideV w:val="nil"/>
        </w:tcBorders>
        <w:shd w:val="clear" w:color="auto" w:fill="FFFFFF" w:themeFill="background1"/>
      </w:tcPr>
    </w:tblStylePr>
    <w:tblStylePr w:type="lastRow">
      <w:rPr>
        <w:b/>
        <w:bCs/>
      </w:rPr>
      <w:tblPr/>
      <w:tcPr>
        <w:tcBorders>
          <w:top w:val="double" w:sz="2" w:space="0" w:color="82DAC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2EA" w:themeFill="accent3" w:themeFillTint="33"/>
      </w:tcPr>
    </w:tblStylePr>
    <w:tblStylePr w:type="band1Horz">
      <w:tblPr/>
      <w:tcPr>
        <w:shd w:val="clear" w:color="auto" w:fill="D5F2EA" w:themeFill="accent3" w:themeFillTint="33"/>
      </w:tcPr>
    </w:tblStylePr>
  </w:style>
  <w:style w:type="table" w:styleId="GridTable2-Accent4">
    <w:name w:val="Grid Table 2 Accent 4"/>
    <w:basedOn w:val="TableNormal"/>
    <w:uiPriority w:val="47"/>
    <w:unhideWhenUsed/>
    <w:rsid w:val="009F072B"/>
    <w:pPr>
      <w:spacing w:line="240" w:lineRule="auto"/>
    </w:pPr>
    <w:rPr>
      <w:rFonts w:eastAsiaTheme="minorHAnsi"/>
    </w:rPr>
    <w:tblPr>
      <w:tblStyleRowBandSize w:val="1"/>
      <w:tblStyleColBandSize w:val="1"/>
      <w:tblBorders>
        <w:top w:val="single" w:sz="2" w:space="0" w:color="F7D791" w:themeColor="accent4" w:themeTint="99"/>
        <w:bottom w:val="single" w:sz="2" w:space="0" w:color="F7D791" w:themeColor="accent4" w:themeTint="99"/>
        <w:insideH w:val="single" w:sz="2" w:space="0" w:color="F7D791" w:themeColor="accent4" w:themeTint="99"/>
        <w:insideV w:val="single" w:sz="2" w:space="0" w:color="F7D791" w:themeColor="accent4" w:themeTint="99"/>
      </w:tblBorders>
    </w:tblPr>
    <w:tblStylePr w:type="firstRow">
      <w:rPr>
        <w:b/>
        <w:bCs/>
      </w:rPr>
      <w:tblPr/>
      <w:tcPr>
        <w:tcBorders>
          <w:top w:val="nil"/>
          <w:bottom w:val="single" w:sz="12" w:space="0" w:color="F7D791" w:themeColor="accent4" w:themeTint="99"/>
          <w:insideH w:val="nil"/>
          <w:insideV w:val="nil"/>
        </w:tcBorders>
        <w:shd w:val="clear" w:color="auto" w:fill="FFFFFF" w:themeFill="background1"/>
      </w:tcPr>
    </w:tblStylePr>
    <w:tblStylePr w:type="lastRow">
      <w:rPr>
        <w:b/>
        <w:bCs/>
      </w:rPr>
      <w:tblPr/>
      <w:tcPr>
        <w:tcBorders>
          <w:top w:val="double" w:sz="2" w:space="0" w:color="F7D7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1DA" w:themeFill="accent4" w:themeFillTint="33"/>
      </w:tcPr>
    </w:tblStylePr>
    <w:tblStylePr w:type="band1Horz">
      <w:tblPr/>
      <w:tcPr>
        <w:shd w:val="clear" w:color="auto" w:fill="FCF1DA" w:themeFill="accent4" w:themeFillTint="33"/>
      </w:tcPr>
    </w:tblStylePr>
  </w:style>
  <w:style w:type="table" w:styleId="GridTable2-Accent5">
    <w:name w:val="Grid Table 2 Accent 5"/>
    <w:basedOn w:val="TableNormal"/>
    <w:uiPriority w:val="47"/>
    <w:unhideWhenUsed/>
    <w:rsid w:val="009F072B"/>
    <w:pPr>
      <w:spacing w:line="240" w:lineRule="auto"/>
    </w:pPr>
    <w:rPr>
      <w:rFonts w:eastAsiaTheme="minorHAnsi"/>
    </w:rPr>
    <w:tblPr>
      <w:tblStyleRowBandSize w:val="1"/>
      <w:tblStyleColBandSize w:val="1"/>
      <w:tblBorders>
        <w:top w:val="single" w:sz="2" w:space="0" w:color="F7A57C" w:themeColor="accent5" w:themeTint="99"/>
        <w:bottom w:val="single" w:sz="2" w:space="0" w:color="F7A57C" w:themeColor="accent5" w:themeTint="99"/>
        <w:insideH w:val="single" w:sz="2" w:space="0" w:color="F7A57C" w:themeColor="accent5" w:themeTint="99"/>
        <w:insideV w:val="single" w:sz="2" w:space="0" w:color="F7A57C" w:themeColor="accent5" w:themeTint="99"/>
      </w:tblBorders>
    </w:tblPr>
    <w:tblStylePr w:type="firstRow">
      <w:rPr>
        <w:b/>
        <w:bCs/>
      </w:rPr>
      <w:tblPr/>
      <w:tcPr>
        <w:tcBorders>
          <w:top w:val="nil"/>
          <w:bottom w:val="single" w:sz="12" w:space="0" w:color="F7A57C" w:themeColor="accent5" w:themeTint="99"/>
          <w:insideH w:val="nil"/>
          <w:insideV w:val="nil"/>
        </w:tcBorders>
        <w:shd w:val="clear" w:color="auto" w:fill="FFFFFF" w:themeFill="background1"/>
      </w:tcPr>
    </w:tblStylePr>
    <w:tblStylePr w:type="lastRow">
      <w:rPr>
        <w:b/>
        <w:bCs/>
      </w:rPr>
      <w:tblPr/>
      <w:tcPr>
        <w:tcBorders>
          <w:top w:val="double" w:sz="2" w:space="0" w:color="F7A5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3" w:themeFill="accent5" w:themeFillTint="33"/>
      </w:tcPr>
    </w:tblStylePr>
    <w:tblStylePr w:type="band1Horz">
      <w:tblPr/>
      <w:tcPr>
        <w:shd w:val="clear" w:color="auto" w:fill="FCE0D3" w:themeFill="accent5" w:themeFillTint="33"/>
      </w:tcPr>
    </w:tblStylePr>
  </w:style>
  <w:style w:type="table" w:styleId="GridTable2-Accent6">
    <w:name w:val="Grid Table 2 Accent 6"/>
    <w:basedOn w:val="TableNormal"/>
    <w:uiPriority w:val="47"/>
    <w:unhideWhenUsed/>
    <w:rsid w:val="009F072B"/>
    <w:pPr>
      <w:spacing w:line="240" w:lineRule="auto"/>
    </w:pPr>
    <w:rPr>
      <w:rFonts w:eastAsiaTheme="minorHAnsi"/>
    </w:rPr>
    <w:tblPr>
      <w:tblStyleRowBandSize w:val="1"/>
      <w:tblStyleColBandSize w:val="1"/>
      <w:tblBorders>
        <w:top w:val="single" w:sz="2" w:space="0" w:color="E18BA9" w:themeColor="accent6" w:themeTint="99"/>
        <w:bottom w:val="single" w:sz="2" w:space="0" w:color="E18BA9" w:themeColor="accent6" w:themeTint="99"/>
        <w:insideH w:val="single" w:sz="2" w:space="0" w:color="E18BA9" w:themeColor="accent6" w:themeTint="99"/>
        <w:insideV w:val="single" w:sz="2" w:space="0" w:color="E18BA9" w:themeColor="accent6" w:themeTint="99"/>
      </w:tblBorders>
    </w:tblPr>
    <w:tblStylePr w:type="firstRow">
      <w:rPr>
        <w:b/>
        <w:bCs/>
      </w:rPr>
      <w:tblPr/>
      <w:tcPr>
        <w:tcBorders>
          <w:top w:val="nil"/>
          <w:bottom w:val="single" w:sz="12" w:space="0" w:color="E18BA9" w:themeColor="accent6" w:themeTint="99"/>
          <w:insideH w:val="nil"/>
          <w:insideV w:val="nil"/>
        </w:tcBorders>
        <w:shd w:val="clear" w:color="auto" w:fill="FFFFFF" w:themeFill="background1"/>
      </w:tcPr>
    </w:tblStylePr>
    <w:tblStylePr w:type="lastRow">
      <w:rPr>
        <w:b/>
        <w:bCs/>
      </w:rPr>
      <w:tblPr/>
      <w:tcPr>
        <w:tcBorders>
          <w:top w:val="double" w:sz="2" w:space="0" w:color="E18BA9"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E2" w:themeFill="accent6" w:themeFillTint="33"/>
      </w:tcPr>
    </w:tblStylePr>
    <w:tblStylePr w:type="band1Horz">
      <w:tblPr/>
      <w:tcPr>
        <w:shd w:val="clear" w:color="auto" w:fill="F5D8E2" w:themeFill="accent6" w:themeFillTint="33"/>
      </w:tcPr>
    </w:tblStylePr>
  </w:style>
  <w:style w:type="table" w:styleId="GridTable3">
    <w:name w:val="Grid Table 3"/>
    <w:basedOn w:val="TableNormal"/>
    <w:uiPriority w:val="48"/>
    <w:unhideWhenUsed/>
    <w:rsid w:val="009F072B"/>
    <w:pPr>
      <w:spacing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unhideWhenUsed/>
    <w:rsid w:val="009F072B"/>
    <w:pPr>
      <w:spacing w:line="240" w:lineRule="auto"/>
    </w:pPr>
    <w:rPr>
      <w:rFonts w:eastAsiaTheme="minorHAnsi"/>
    </w:rPr>
    <w:tblPr>
      <w:tblStyleRowBandSize w:val="1"/>
      <w:tblStyleColBandSize w:val="1"/>
      <w:tblBorders>
        <w:top w:val="single" w:sz="4" w:space="0" w:color="4B82D3" w:themeColor="accent1" w:themeTint="99"/>
        <w:left w:val="single" w:sz="4" w:space="0" w:color="4B82D3" w:themeColor="accent1" w:themeTint="99"/>
        <w:bottom w:val="single" w:sz="4" w:space="0" w:color="4B82D3" w:themeColor="accent1" w:themeTint="99"/>
        <w:right w:val="single" w:sz="4" w:space="0" w:color="4B82D3" w:themeColor="accent1" w:themeTint="99"/>
        <w:insideH w:val="single" w:sz="4" w:space="0" w:color="4B82D3" w:themeColor="accent1" w:themeTint="99"/>
        <w:insideV w:val="single" w:sz="4" w:space="0" w:color="4B82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5F0" w:themeFill="accent1" w:themeFillTint="33"/>
      </w:tcPr>
    </w:tblStylePr>
    <w:tblStylePr w:type="band1Horz">
      <w:tblPr/>
      <w:tcPr>
        <w:shd w:val="clear" w:color="auto" w:fill="C2D5F0" w:themeFill="accent1" w:themeFillTint="33"/>
      </w:tcPr>
    </w:tblStylePr>
    <w:tblStylePr w:type="neCell">
      <w:tblPr/>
      <w:tcPr>
        <w:tcBorders>
          <w:bottom w:val="single" w:sz="4" w:space="0" w:color="4B82D3" w:themeColor="accent1" w:themeTint="99"/>
        </w:tcBorders>
      </w:tcPr>
    </w:tblStylePr>
    <w:tblStylePr w:type="nwCell">
      <w:tblPr/>
      <w:tcPr>
        <w:tcBorders>
          <w:bottom w:val="single" w:sz="4" w:space="0" w:color="4B82D3" w:themeColor="accent1" w:themeTint="99"/>
        </w:tcBorders>
      </w:tcPr>
    </w:tblStylePr>
    <w:tblStylePr w:type="seCell">
      <w:tblPr/>
      <w:tcPr>
        <w:tcBorders>
          <w:top w:val="single" w:sz="4" w:space="0" w:color="4B82D3" w:themeColor="accent1" w:themeTint="99"/>
        </w:tcBorders>
      </w:tcPr>
    </w:tblStylePr>
    <w:tblStylePr w:type="swCell">
      <w:tblPr/>
      <w:tcPr>
        <w:tcBorders>
          <w:top w:val="single" w:sz="4" w:space="0" w:color="4B82D3" w:themeColor="accent1" w:themeTint="99"/>
        </w:tcBorders>
      </w:tcPr>
    </w:tblStylePr>
  </w:style>
  <w:style w:type="table" w:styleId="GridTable3-Accent2">
    <w:name w:val="Grid Table 3 Accent 2"/>
    <w:basedOn w:val="TableNormal"/>
    <w:uiPriority w:val="48"/>
    <w:unhideWhenUsed/>
    <w:rsid w:val="009F072B"/>
    <w:pPr>
      <w:spacing w:line="240" w:lineRule="auto"/>
    </w:pPr>
    <w:rPr>
      <w:rFonts w:eastAsiaTheme="minorHAnsi"/>
    </w:rPr>
    <w:tblPr>
      <w:tblStyleRowBandSize w:val="1"/>
      <w:tblStyleColBandSize w:val="1"/>
      <w:tblBorders>
        <w:top w:val="single" w:sz="4" w:space="0" w:color="65CFE0" w:themeColor="accent2" w:themeTint="99"/>
        <w:left w:val="single" w:sz="4" w:space="0" w:color="65CFE0" w:themeColor="accent2" w:themeTint="99"/>
        <w:bottom w:val="single" w:sz="4" w:space="0" w:color="65CFE0" w:themeColor="accent2" w:themeTint="99"/>
        <w:right w:val="single" w:sz="4" w:space="0" w:color="65CFE0" w:themeColor="accent2" w:themeTint="99"/>
        <w:insideH w:val="single" w:sz="4" w:space="0" w:color="65CFE0" w:themeColor="accent2" w:themeTint="99"/>
        <w:insideV w:val="single" w:sz="4" w:space="0" w:color="65CF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FF4" w:themeFill="accent2" w:themeFillTint="33"/>
      </w:tcPr>
    </w:tblStylePr>
    <w:tblStylePr w:type="band1Horz">
      <w:tblPr/>
      <w:tcPr>
        <w:shd w:val="clear" w:color="auto" w:fill="CBEFF4" w:themeFill="accent2" w:themeFillTint="33"/>
      </w:tcPr>
    </w:tblStylePr>
    <w:tblStylePr w:type="neCell">
      <w:tblPr/>
      <w:tcPr>
        <w:tcBorders>
          <w:bottom w:val="single" w:sz="4" w:space="0" w:color="65CFE0" w:themeColor="accent2" w:themeTint="99"/>
        </w:tcBorders>
      </w:tcPr>
    </w:tblStylePr>
    <w:tblStylePr w:type="nwCell">
      <w:tblPr/>
      <w:tcPr>
        <w:tcBorders>
          <w:bottom w:val="single" w:sz="4" w:space="0" w:color="65CFE0" w:themeColor="accent2" w:themeTint="99"/>
        </w:tcBorders>
      </w:tcPr>
    </w:tblStylePr>
    <w:tblStylePr w:type="seCell">
      <w:tblPr/>
      <w:tcPr>
        <w:tcBorders>
          <w:top w:val="single" w:sz="4" w:space="0" w:color="65CFE0" w:themeColor="accent2" w:themeTint="99"/>
        </w:tcBorders>
      </w:tcPr>
    </w:tblStylePr>
    <w:tblStylePr w:type="swCell">
      <w:tblPr/>
      <w:tcPr>
        <w:tcBorders>
          <w:top w:val="single" w:sz="4" w:space="0" w:color="65CFE0" w:themeColor="accent2" w:themeTint="99"/>
        </w:tcBorders>
      </w:tcPr>
    </w:tblStylePr>
  </w:style>
  <w:style w:type="table" w:styleId="GridTable3-Accent3">
    <w:name w:val="Grid Table 3 Accent 3"/>
    <w:basedOn w:val="TableNormal"/>
    <w:uiPriority w:val="48"/>
    <w:unhideWhenUsed/>
    <w:rsid w:val="009F072B"/>
    <w:pPr>
      <w:spacing w:line="240" w:lineRule="auto"/>
    </w:pPr>
    <w:rPr>
      <w:rFonts w:eastAsiaTheme="minorHAnsi"/>
    </w:rPr>
    <w:tblPr>
      <w:tblStyleRowBandSize w:val="1"/>
      <w:tblStyleColBandSize w:val="1"/>
      <w:tblBorders>
        <w:top w:val="single" w:sz="4" w:space="0" w:color="82DAC0" w:themeColor="accent3" w:themeTint="99"/>
        <w:left w:val="single" w:sz="4" w:space="0" w:color="82DAC0" w:themeColor="accent3" w:themeTint="99"/>
        <w:bottom w:val="single" w:sz="4" w:space="0" w:color="82DAC0" w:themeColor="accent3" w:themeTint="99"/>
        <w:right w:val="single" w:sz="4" w:space="0" w:color="82DAC0" w:themeColor="accent3" w:themeTint="99"/>
        <w:insideH w:val="single" w:sz="4" w:space="0" w:color="82DAC0" w:themeColor="accent3" w:themeTint="99"/>
        <w:insideV w:val="single" w:sz="4" w:space="0" w:color="82DA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2EA" w:themeFill="accent3" w:themeFillTint="33"/>
      </w:tcPr>
    </w:tblStylePr>
    <w:tblStylePr w:type="band1Horz">
      <w:tblPr/>
      <w:tcPr>
        <w:shd w:val="clear" w:color="auto" w:fill="D5F2EA" w:themeFill="accent3" w:themeFillTint="33"/>
      </w:tcPr>
    </w:tblStylePr>
    <w:tblStylePr w:type="neCell">
      <w:tblPr/>
      <w:tcPr>
        <w:tcBorders>
          <w:bottom w:val="single" w:sz="4" w:space="0" w:color="82DAC0" w:themeColor="accent3" w:themeTint="99"/>
        </w:tcBorders>
      </w:tcPr>
    </w:tblStylePr>
    <w:tblStylePr w:type="nwCell">
      <w:tblPr/>
      <w:tcPr>
        <w:tcBorders>
          <w:bottom w:val="single" w:sz="4" w:space="0" w:color="82DAC0" w:themeColor="accent3" w:themeTint="99"/>
        </w:tcBorders>
      </w:tcPr>
    </w:tblStylePr>
    <w:tblStylePr w:type="seCell">
      <w:tblPr/>
      <w:tcPr>
        <w:tcBorders>
          <w:top w:val="single" w:sz="4" w:space="0" w:color="82DAC0" w:themeColor="accent3" w:themeTint="99"/>
        </w:tcBorders>
      </w:tcPr>
    </w:tblStylePr>
    <w:tblStylePr w:type="swCell">
      <w:tblPr/>
      <w:tcPr>
        <w:tcBorders>
          <w:top w:val="single" w:sz="4" w:space="0" w:color="82DAC0" w:themeColor="accent3" w:themeTint="99"/>
        </w:tcBorders>
      </w:tcPr>
    </w:tblStylePr>
  </w:style>
  <w:style w:type="table" w:styleId="GridTable3-Accent4">
    <w:name w:val="Grid Table 3 Accent 4"/>
    <w:basedOn w:val="TableNormal"/>
    <w:uiPriority w:val="48"/>
    <w:unhideWhenUsed/>
    <w:rsid w:val="009F072B"/>
    <w:pPr>
      <w:spacing w:line="240" w:lineRule="auto"/>
    </w:pPr>
    <w:rPr>
      <w:rFonts w:eastAsiaTheme="minorHAnsi"/>
    </w:rPr>
    <w:tblPr>
      <w:tblStyleRowBandSize w:val="1"/>
      <w:tblStyleColBandSize w:val="1"/>
      <w:tblBorders>
        <w:top w:val="single" w:sz="4" w:space="0" w:color="F7D791" w:themeColor="accent4" w:themeTint="99"/>
        <w:left w:val="single" w:sz="4" w:space="0" w:color="F7D791" w:themeColor="accent4" w:themeTint="99"/>
        <w:bottom w:val="single" w:sz="4" w:space="0" w:color="F7D791" w:themeColor="accent4" w:themeTint="99"/>
        <w:right w:val="single" w:sz="4" w:space="0" w:color="F7D791" w:themeColor="accent4" w:themeTint="99"/>
        <w:insideH w:val="single" w:sz="4" w:space="0" w:color="F7D791" w:themeColor="accent4" w:themeTint="99"/>
        <w:insideV w:val="single" w:sz="4" w:space="0" w:color="F7D7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DA" w:themeFill="accent4" w:themeFillTint="33"/>
      </w:tcPr>
    </w:tblStylePr>
    <w:tblStylePr w:type="band1Horz">
      <w:tblPr/>
      <w:tcPr>
        <w:shd w:val="clear" w:color="auto" w:fill="FCF1DA" w:themeFill="accent4" w:themeFillTint="33"/>
      </w:tcPr>
    </w:tblStylePr>
    <w:tblStylePr w:type="neCell">
      <w:tblPr/>
      <w:tcPr>
        <w:tcBorders>
          <w:bottom w:val="single" w:sz="4" w:space="0" w:color="F7D791" w:themeColor="accent4" w:themeTint="99"/>
        </w:tcBorders>
      </w:tcPr>
    </w:tblStylePr>
    <w:tblStylePr w:type="nwCell">
      <w:tblPr/>
      <w:tcPr>
        <w:tcBorders>
          <w:bottom w:val="single" w:sz="4" w:space="0" w:color="F7D791" w:themeColor="accent4" w:themeTint="99"/>
        </w:tcBorders>
      </w:tcPr>
    </w:tblStylePr>
    <w:tblStylePr w:type="seCell">
      <w:tblPr/>
      <w:tcPr>
        <w:tcBorders>
          <w:top w:val="single" w:sz="4" w:space="0" w:color="F7D791" w:themeColor="accent4" w:themeTint="99"/>
        </w:tcBorders>
      </w:tcPr>
    </w:tblStylePr>
    <w:tblStylePr w:type="swCell">
      <w:tblPr/>
      <w:tcPr>
        <w:tcBorders>
          <w:top w:val="single" w:sz="4" w:space="0" w:color="F7D791" w:themeColor="accent4" w:themeTint="99"/>
        </w:tcBorders>
      </w:tcPr>
    </w:tblStylePr>
  </w:style>
  <w:style w:type="table" w:styleId="GridTable3-Accent5">
    <w:name w:val="Grid Table 3 Accent 5"/>
    <w:basedOn w:val="TableNormal"/>
    <w:uiPriority w:val="48"/>
    <w:unhideWhenUsed/>
    <w:rsid w:val="009F072B"/>
    <w:pPr>
      <w:spacing w:line="240" w:lineRule="auto"/>
    </w:pPr>
    <w:rPr>
      <w:rFonts w:eastAsiaTheme="minorHAnsi"/>
    </w:rPr>
    <w:tblPr>
      <w:tblStyleRowBandSize w:val="1"/>
      <w:tblStyleColBandSize w:val="1"/>
      <w:tblBorders>
        <w:top w:val="single" w:sz="4" w:space="0" w:color="F7A57C" w:themeColor="accent5" w:themeTint="99"/>
        <w:left w:val="single" w:sz="4" w:space="0" w:color="F7A57C" w:themeColor="accent5" w:themeTint="99"/>
        <w:bottom w:val="single" w:sz="4" w:space="0" w:color="F7A57C" w:themeColor="accent5" w:themeTint="99"/>
        <w:right w:val="single" w:sz="4" w:space="0" w:color="F7A57C" w:themeColor="accent5" w:themeTint="99"/>
        <w:insideH w:val="single" w:sz="4" w:space="0" w:color="F7A57C" w:themeColor="accent5" w:themeTint="99"/>
        <w:insideV w:val="single" w:sz="4" w:space="0" w:color="F7A5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3" w:themeFill="accent5" w:themeFillTint="33"/>
      </w:tcPr>
    </w:tblStylePr>
    <w:tblStylePr w:type="band1Horz">
      <w:tblPr/>
      <w:tcPr>
        <w:shd w:val="clear" w:color="auto" w:fill="FCE0D3" w:themeFill="accent5" w:themeFillTint="33"/>
      </w:tcPr>
    </w:tblStylePr>
    <w:tblStylePr w:type="neCell">
      <w:tblPr/>
      <w:tcPr>
        <w:tcBorders>
          <w:bottom w:val="single" w:sz="4" w:space="0" w:color="F7A57C" w:themeColor="accent5" w:themeTint="99"/>
        </w:tcBorders>
      </w:tcPr>
    </w:tblStylePr>
    <w:tblStylePr w:type="nwCell">
      <w:tblPr/>
      <w:tcPr>
        <w:tcBorders>
          <w:bottom w:val="single" w:sz="4" w:space="0" w:color="F7A57C" w:themeColor="accent5" w:themeTint="99"/>
        </w:tcBorders>
      </w:tcPr>
    </w:tblStylePr>
    <w:tblStylePr w:type="seCell">
      <w:tblPr/>
      <w:tcPr>
        <w:tcBorders>
          <w:top w:val="single" w:sz="4" w:space="0" w:color="F7A57C" w:themeColor="accent5" w:themeTint="99"/>
        </w:tcBorders>
      </w:tcPr>
    </w:tblStylePr>
    <w:tblStylePr w:type="swCell">
      <w:tblPr/>
      <w:tcPr>
        <w:tcBorders>
          <w:top w:val="single" w:sz="4" w:space="0" w:color="F7A57C" w:themeColor="accent5" w:themeTint="99"/>
        </w:tcBorders>
      </w:tcPr>
    </w:tblStylePr>
  </w:style>
  <w:style w:type="table" w:styleId="GridTable3-Accent6">
    <w:name w:val="Grid Table 3 Accent 6"/>
    <w:basedOn w:val="TableNormal"/>
    <w:uiPriority w:val="48"/>
    <w:unhideWhenUsed/>
    <w:rsid w:val="009F072B"/>
    <w:pPr>
      <w:spacing w:line="240" w:lineRule="auto"/>
    </w:pPr>
    <w:rPr>
      <w:rFonts w:eastAsiaTheme="minorHAnsi"/>
    </w:rPr>
    <w:tblPr>
      <w:tblStyleRowBandSize w:val="1"/>
      <w:tblStyleColBandSize w:val="1"/>
      <w:tblBorders>
        <w:top w:val="single" w:sz="4" w:space="0" w:color="E18BA9" w:themeColor="accent6" w:themeTint="99"/>
        <w:left w:val="single" w:sz="4" w:space="0" w:color="E18BA9" w:themeColor="accent6" w:themeTint="99"/>
        <w:bottom w:val="single" w:sz="4" w:space="0" w:color="E18BA9" w:themeColor="accent6" w:themeTint="99"/>
        <w:right w:val="single" w:sz="4" w:space="0" w:color="E18BA9" w:themeColor="accent6" w:themeTint="99"/>
        <w:insideH w:val="single" w:sz="4" w:space="0" w:color="E18BA9" w:themeColor="accent6" w:themeTint="99"/>
        <w:insideV w:val="single" w:sz="4" w:space="0" w:color="E18BA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E2" w:themeFill="accent6" w:themeFillTint="33"/>
      </w:tcPr>
    </w:tblStylePr>
    <w:tblStylePr w:type="band1Horz">
      <w:tblPr/>
      <w:tcPr>
        <w:shd w:val="clear" w:color="auto" w:fill="F5D8E2" w:themeFill="accent6" w:themeFillTint="33"/>
      </w:tcPr>
    </w:tblStylePr>
    <w:tblStylePr w:type="neCell">
      <w:tblPr/>
      <w:tcPr>
        <w:tcBorders>
          <w:bottom w:val="single" w:sz="4" w:space="0" w:color="E18BA9" w:themeColor="accent6" w:themeTint="99"/>
        </w:tcBorders>
      </w:tcPr>
    </w:tblStylePr>
    <w:tblStylePr w:type="nwCell">
      <w:tblPr/>
      <w:tcPr>
        <w:tcBorders>
          <w:bottom w:val="single" w:sz="4" w:space="0" w:color="E18BA9" w:themeColor="accent6" w:themeTint="99"/>
        </w:tcBorders>
      </w:tcPr>
    </w:tblStylePr>
    <w:tblStylePr w:type="seCell">
      <w:tblPr/>
      <w:tcPr>
        <w:tcBorders>
          <w:top w:val="single" w:sz="4" w:space="0" w:color="E18BA9" w:themeColor="accent6" w:themeTint="99"/>
        </w:tcBorders>
      </w:tcPr>
    </w:tblStylePr>
    <w:tblStylePr w:type="swCell">
      <w:tblPr/>
      <w:tcPr>
        <w:tcBorders>
          <w:top w:val="single" w:sz="4" w:space="0" w:color="E18BA9" w:themeColor="accent6" w:themeTint="99"/>
        </w:tcBorders>
      </w:tcPr>
    </w:tblStylePr>
  </w:style>
  <w:style w:type="table" w:styleId="GridTable4">
    <w:name w:val="Grid Table 4"/>
    <w:basedOn w:val="TableNormal"/>
    <w:uiPriority w:val="49"/>
    <w:unhideWhenUsed/>
    <w:rsid w:val="009F072B"/>
    <w:pPr>
      <w:spacing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unhideWhenUsed/>
    <w:rsid w:val="009F072B"/>
    <w:pPr>
      <w:spacing w:line="240" w:lineRule="auto"/>
    </w:pPr>
    <w:rPr>
      <w:rFonts w:eastAsiaTheme="minorHAnsi"/>
    </w:rPr>
    <w:tblPr>
      <w:tblStyleRowBandSize w:val="1"/>
      <w:tblStyleColBandSize w:val="1"/>
      <w:tblBorders>
        <w:top w:val="single" w:sz="4" w:space="0" w:color="4B82D3" w:themeColor="accent1" w:themeTint="99"/>
        <w:left w:val="single" w:sz="4" w:space="0" w:color="4B82D3" w:themeColor="accent1" w:themeTint="99"/>
        <w:bottom w:val="single" w:sz="4" w:space="0" w:color="4B82D3" w:themeColor="accent1" w:themeTint="99"/>
        <w:right w:val="single" w:sz="4" w:space="0" w:color="4B82D3" w:themeColor="accent1" w:themeTint="99"/>
        <w:insideH w:val="single" w:sz="4" w:space="0" w:color="4B82D3" w:themeColor="accent1" w:themeTint="99"/>
        <w:insideV w:val="single" w:sz="4" w:space="0" w:color="4B82D3" w:themeColor="accent1" w:themeTint="99"/>
      </w:tblBorders>
    </w:tblPr>
    <w:tblStylePr w:type="firstRow">
      <w:rPr>
        <w:b/>
        <w:bCs/>
        <w:color w:val="FFFFFF" w:themeColor="background1"/>
      </w:rPr>
      <w:tblPr/>
      <w:tcPr>
        <w:tcBorders>
          <w:top w:val="single" w:sz="4" w:space="0" w:color="1B3D6F" w:themeColor="accent1"/>
          <w:left w:val="single" w:sz="4" w:space="0" w:color="1B3D6F" w:themeColor="accent1"/>
          <w:bottom w:val="single" w:sz="4" w:space="0" w:color="1B3D6F" w:themeColor="accent1"/>
          <w:right w:val="single" w:sz="4" w:space="0" w:color="1B3D6F" w:themeColor="accent1"/>
          <w:insideH w:val="nil"/>
          <w:insideV w:val="nil"/>
        </w:tcBorders>
        <w:shd w:val="clear" w:color="auto" w:fill="1B3D6F" w:themeFill="accent1"/>
      </w:tcPr>
    </w:tblStylePr>
    <w:tblStylePr w:type="lastRow">
      <w:rPr>
        <w:b/>
        <w:bCs/>
      </w:rPr>
      <w:tblPr/>
      <w:tcPr>
        <w:tcBorders>
          <w:top w:val="double" w:sz="4" w:space="0" w:color="1B3D6F" w:themeColor="accent1"/>
        </w:tcBorders>
      </w:tcPr>
    </w:tblStylePr>
    <w:tblStylePr w:type="firstCol">
      <w:rPr>
        <w:b/>
        <w:bCs/>
      </w:rPr>
    </w:tblStylePr>
    <w:tblStylePr w:type="lastCol">
      <w:rPr>
        <w:b/>
        <w:bCs/>
      </w:rPr>
    </w:tblStylePr>
    <w:tblStylePr w:type="band1Vert">
      <w:tblPr/>
      <w:tcPr>
        <w:shd w:val="clear" w:color="auto" w:fill="C2D5F0" w:themeFill="accent1" w:themeFillTint="33"/>
      </w:tcPr>
    </w:tblStylePr>
    <w:tblStylePr w:type="band1Horz">
      <w:tblPr/>
      <w:tcPr>
        <w:shd w:val="clear" w:color="auto" w:fill="C2D5F0" w:themeFill="accent1" w:themeFillTint="33"/>
      </w:tcPr>
    </w:tblStylePr>
  </w:style>
  <w:style w:type="table" w:styleId="GridTable4-Accent2">
    <w:name w:val="Grid Table 4 Accent 2"/>
    <w:basedOn w:val="TableNormal"/>
    <w:uiPriority w:val="49"/>
    <w:unhideWhenUsed/>
    <w:rsid w:val="009F072B"/>
    <w:pPr>
      <w:spacing w:line="240" w:lineRule="auto"/>
    </w:pPr>
    <w:rPr>
      <w:rFonts w:eastAsiaTheme="minorHAnsi"/>
    </w:rPr>
    <w:tblPr>
      <w:tblStyleRowBandSize w:val="1"/>
      <w:tblStyleColBandSize w:val="1"/>
      <w:tblBorders>
        <w:top w:val="single" w:sz="4" w:space="0" w:color="65CFE0" w:themeColor="accent2" w:themeTint="99"/>
        <w:left w:val="single" w:sz="4" w:space="0" w:color="65CFE0" w:themeColor="accent2" w:themeTint="99"/>
        <w:bottom w:val="single" w:sz="4" w:space="0" w:color="65CFE0" w:themeColor="accent2" w:themeTint="99"/>
        <w:right w:val="single" w:sz="4" w:space="0" w:color="65CFE0" w:themeColor="accent2" w:themeTint="99"/>
        <w:insideH w:val="single" w:sz="4" w:space="0" w:color="65CFE0" w:themeColor="accent2" w:themeTint="99"/>
        <w:insideV w:val="single" w:sz="4" w:space="0" w:color="65CFE0" w:themeColor="accent2" w:themeTint="99"/>
      </w:tblBorders>
    </w:tblPr>
    <w:tblStylePr w:type="firstRow">
      <w:rPr>
        <w:b/>
        <w:bCs/>
        <w:color w:val="FFFFFF" w:themeColor="background1"/>
      </w:rPr>
      <w:tblPr/>
      <w:tcPr>
        <w:tcBorders>
          <w:top w:val="single" w:sz="4" w:space="0" w:color="2297AA" w:themeColor="accent2"/>
          <w:left w:val="single" w:sz="4" w:space="0" w:color="2297AA" w:themeColor="accent2"/>
          <w:bottom w:val="single" w:sz="4" w:space="0" w:color="2297AA" w:themeColor="accent2"/>
          <w:right w:val="single" w:sz="4" w:space="0" w:color="2297AA" w:themeColor="accent2"/>
          <w:insideH w:val="nil"/>
          <w:insideV w:val="nil"/>
        </w:tcBorders>
        <w:shd w:val="clear" w:color="auto" w:fill="2297AA" w:themeFill="accent2"/>
      </w:tcPr>
    </w:tblStylePr>
    <w:tblStylePr w:type="lastRow">
      <w:rPr>
        <w:b/>
        <w:bCs/>
      </w:rPr>
      <w:tblPr/>
      <w:tcPr>
        <w:tcBorders>
          <w:top w:val="double" w:sz="4" w:space="0" w:color="2297AA" w:themeColor="accent2"/>
        </w:tcBorders>
      </w:tcPr>
    </w:tblStylePr>
    <w:tblStylePr w:type="firstCol">
      <w:rPr>
        <w:b/>
        <w:bCs/>
      </w:rPr>
    </w:tblStylePr>
    <w:tblStylePr w:type="lastCol">
      <w:rPr>
        <w:b/>
        <w:bCs/>
      </w:rPr>
    </w:tblStylePr>
    <w:tblStylePr w:type="band1Vert">
      <w:tblPr/>
      <w:tcPr>
        <w:shd w:val="clear" w:color="auto" w:fill="CBEFF4" w:themeFill="accent2" w:themeFillTint="33"/>
      </w:tcPr>
    </w:tblStylePr>
    <w:tblStylePr w:type="band1Horz">
      <w:tblPr/>
      <w:tcPr>
        <w:shd w:val="clear" w:color="auto" w:fill="CBEFF4" w:themeFill="accent2" w:themeFillTint="33"/>
      </w:tcPr>
    </w:tblStylePr>
  </w:style>
  <w:style w:type="table" w:styleId="GridTable4-Accent3">
    <w:name w:val="Grid Table 4 Accent 3"/>
    <w:basedOn w:val="TableNormal"/>
    <w:uiPriority w:val="49"/>
    <w:unhideWhenUsed/>
    <w:rsid w:val="009F072B"/>
    <w:pPr>
      <w:spacing w:line="240" w:lineRule="auto"/>
    </w:pPr>
    <w:rPr>
      <w:rFonts w:eastAsiaTheme="minorHAnsi"/>
    </w:rPr>
    <w:tblPr>
      <w:tblStyleRowBandSize w:val="1"/>
      <w:tblStyleColBandSize w:val="1"/>
      <w:tblBorders>
        <w:top w:val="single" w:sz="4" w:space="0" w:color="82DAC0" w:themeColor="accent3" w:themeTint="99"/>
        <w:left w:val="single" w:sz="4" w:space="0" w:color="82DAC0" w:themeColor="accent3" w:themeTint="99"/>
        <w:bottom w:val="single" w:sz="4" w:space="0" w:color="82DAC0" w:themeColor="accent3" w:themeTint="99"/>
        <w:right w:val="single" w:sz="4" w:space="0" w:color="82DAC0" w:themeColor="accent3" w:themeTint="99"/>
        <w:insideH w:val="single" w:sz="4" w:space="0" w:color="82DAC0" w:themeColor="accent3" w:themeTint="99"/>
        <w:insideV w:val="single" w:sz="4" w:space="0" w:color="82DAC0" w:themeColor="accent3" w:themeTint="99"/>
      </w:tblBorders>
    </w:tblPr>
    <w:tblStylePr w:type="firstRow">
      <w:rPr>
        <w:b/>
        <w:bCs/>
        <w:color w:val="FFFFFF" w:themeColor="background1"/>
      </w:rPr>
      <w:tblPr/>
      <w:tcPr>
        <w:tcBorders>
          <w:top w:val="single" w:sz="4" w:space="0" w:color="37BA95" w:themeColor="accent3"/>
          <w:left w:val="single" w:sz="4" w:space="0" w:color="37BA95" w:themeColor="accent3"/>
          <w:bottom w:val="single" w:sz="4" w:space="0" w:color="37BA95" w:themeColor="accent3"/>
          <w:right w:val="single" w:sz="4" w:space="0" w:color="37BA95" w:themeColor="accent3"/>
          <w:insideH w:val="nil"/>
          <w:insideV w:val="nil"/>
        </w:tcBorders>
        <w:shd w:val="clear" w:color="auto" w:fill="37BA95" w:themeFill="accent3"/>
      </w:tcPr>
    </w:tblStylePr>
    <w:tblStylePr w:type="lastRow">
      <w:rPr>
        <w:b/>
        <w:bCs/>
      </w:rPr>
      <w:tblPr/>
      <w:tcPr>
        <w:tcBorders>
          <w:top w:val="double" w:sz="4" w:space="0" w:color="37BA95" w:themeColor="accent3"/>
        </w:tcBorders>
      </w:tcPr>
    </w:tblStylePr>
    <w:tblStylePr w:type="firstCol">
      <w:rPr>
        <w:b/>
        <w:bCs/>
      </w:rPr>
    </w:tblStylePr>
    <w:tblStylePr w:type="lastCol">
      <w:rPr>
        <w:b/>
        <w:bCs/>
      </w:rPr>
    </w:tblStylePr>
    <w:tblStylePr w:type="band1Vert">
      <w:tblPr/>
      <w:tcPr>
        <w:shd w:val="clear" w:color="auto" w:fill="D5F2EA" w:themeFill="accent3" w:themeFillTint="33"/>
      </w:tcPr>
    </w:tblStylePr>
    <w:tblStylePr w:type="band1Horz">
      <w:tblPr/>
      <w:tcPr>
        <w:shd w:val="clear" w:color="auto" w:fill="D5F2EA" w:themeFill="accent3" w:themeFillTint="33"/>
      </w:tcPr>
    </w:tblStylePr>
  </w:style>
  <w:style w:type="table" w:styleId="GridTable4-Accent4">
    <w:name w:val="Grid Table 4 Accent 4"/>
    <w:basedOn w:val="TableNormal"/>
    <w:uiPriority w:val="49"/>
    <w:unhideWhenUsed/>
    <w:rsid w:val="009F072B"/>
    <w:pPr>
      <w:spacing w:line="240" w:lineRule="auto"/>
    </w:pPr>
    <w:rPr>
      <w:rFonts w:eastAsiaTheme="minorHAnsi"/>
    </w:rPr>
    <w:tblPr>
      <w:tblStyleRowBandSize w:val="1"/>
      <w:tblStyleColBandSize w:val="1"/>
      <w:tblBorders>
        <w:top w:val="single" w:sz="4" w:space="0" w:color="F7D791" w:themeColor="accent4" w:themeTint="99"/>
        <w:left w:val="single" w:sz="4" w:space="0" w:color="F7D791" w:themeColor="accent4" w:themeTint="99"/>
        <w:bottom w:val="single" w:sz="4" w:space="0" w:color="F7D791" w:themeColor="accent4" w:themeTint="99"/>
        <w:right w:val="single" w:sz="4" w:space="0" w:color="F7D791" w:themeColor="accent4" w:themeTint="99"/>
        <w:insideH w:val="single" w:sz="4" w:space="0" w:color="F7D791" w:themeColor="accent4" w:themeTint="99"/>
        <w:insideV w:val="single" w:sz="4" w:space="0" w:color="F7D791" w:themeColor="accent4" w:themeTint="99"/>
      </w:tblBorders>
    </w:tblPr>
    <w:tblStylePr w:type="firstRow">
      <w:rPr>
        <w:b/>
        <w:bCs/>
        <w:color w:val="FFFFFF" w:themeColor="background1"/>
      </w:rPr>
      <w:tblPr/>
      <w:tcPr>
        <w:tcBorders>
          <w:top w:val="single" w:sz="4" w:space="0" w:color="F3BD48" w:themeColor="accent4"/>
          <w:left w:val="single" w:sz="4" w:space="0" w:color="F3BD48" w:themeColor="accent4"/>
          <w:bottom w:val="single" w:sz="4" w:space="0" w:color="F3BD48" w:themeColor="accent4"/>
          <w:right w:val="single" w:sz="4" w:space="0" w:color="F3BD48" w:themeColor="accent4"/>
          <w:insideH w:val="nil"/>
          <w:insideV w:val="nil"/>
        </w:tcBorders>
        <w:shd w:val="clear" w:color="auto" w:fill="F3BD48" w:themeFill="accent4"/>
      </w:tcPr>
    </w:tblStylePr>
    <w:tblStylePr w:type="lastRow">
      <w:rPr>
        <w:b/>
        <w:bCs/>
      </w:rPr>
      <w:tblPr/>
      <w:tcPr>
        <w:tcBorders>
          <w:top w:val="double" w:sz="4" w:space="0" w:color="F3BD48" w:themeColor="accent4"/>
        </w:tcBorders>
      </w:tcPr>
    </w:tblStylePr>
    <w:tblStylePr w:type="firstCol">
      <w:rPr>
        <w:b/>
        <w:bCs/>
      </w:rPr>
    </w:tblStylePr>
    <w:tblStylePr w:type="lastCol">
      <w:rPr>
        <w:b/>
        <w:bCs/>
      </w:rPr>
    </w:tblStylePr>
    <w:tblStylePr w:type="band1Vert">
      <w:tblPr/>
      <w:tcPr>
        <w:shd w:val="clear" w:color="auto" w:fill="FCF1DA" w:themeFill="accent4" w:themeFillTint="33"/>
      </w:tcPr>
    </w:tblStylePr>
    <w:tblStylePr w:type="band1Horz">
      <w:tblPr/>
      <w:tcPr>
        <w:shd w:val="clear" w:color="auto" w:fill="FCF1DA" w:themeFill="accent4" w:themeFillTint="33"/>
      </w:tcPr>
    </w:tblStylePr>
  </w:style>
  <w:style w:type="table" w:styleId="GridTable4-Accent5">
    <w:name w:val="Grid Table 4 Accent 5"/>
    <w:basedOn w:val="TableNormal"/>
    <w:uiPriority w:val="49"/>
    <w:unhideWhenUsed/>
    <w:rsid w:val="009F072B"/>
    <w:pPr>
      <w:spacing w:line="240" w:lineRule="auto"/>
    </w:pPr>
    <w:rPr>
      <w:rFonts w:eastAsiaTheme="minorHAnsi"/>
    </w:rPr>
    <w:tblPr>
      <w:tblStyleRowBandSize w:val="1"/>
      <w:tblStyleColBandSize w:val="1"/>
      <w:tblBorders>
        <w:top w:val="single" w:sz="4" w:space="0" w:color="F7A57C" w:themeColor="accent5" w:themeTint="99"/>
        <w:left w:val="single" w:sz="4" w:space="0" w:color="F7A57C" w:themeColor="accent5" w:themeTint="99"/>
        <w:bottom w:val="single" w:sz="4" w:space="0" w:color="F7A57C" w:themeColor="accent5" w:themeTint="99"/>
        <w:right w:val="single" w:sz="4" w:space="0" w:color="F7A57C" w:themeColor="accent5" w:themeTint="99"/>
        <w:insideH w:val="single" w:sz="4" w:space="0" w:color="F7A57C" w:themeColor="accent5" w:themeTint="99"/>
        <w:insideV w:val="single" w:sz="4" w:space="0" w:color="F7A57C" w:themeColor="accent5" w:themeTint="99"/>
      </w:tblBorders>
    </w:tblPr>
    <w:tblStylePr w:type="firstRow">
      <w:rPr>
        <w:b/>
        <w:bCs/>
        <w:color w:val="FFFFFF" w:themeColor="background1"/>
      </w:rPr>
      <w:tblPr/>
      <w:tcPr>
        <w:tcBorders>
          <w:top w:val="single" w:sz="4" w:space="0" w:color="F26A25" w:themeColor="accent5"/>
          <w:left w:val="single" w:sz="4" w:space="0" w:color="F26A25" w:themeColor="accent5"/>
          <w:bottom w:val="single" w:sz="4" w:space="0" w:color="F26A25" w:themeColor="accent5"/>
          <w:right w:val="single" w:sz="4" w:space="0" w:color="F26A25" w:themeColor="accent5"/>
          <w:insideH w:val="nil"/>
          <w:insideV w:val="nil"/>
        </w:tcBorders>
        <w:shd w:val="clear" w:color="auto" w:fill="F26A25" w:themeFill="accent5"/>
      </w:tcPr>
    </w:tblStylePr>
    <w:tblStylePr w:type="lastRow">
      <w:rPr>
        <w:b/>
        <w:bCs/>
      </w:rPr>
      <w:tblPr/>
      <w:tcPr>
        <w:tcBorders>
          <w:top w:val="double" w:sz="4" w:space="0" w:color="F26A25" w:themeColor="accent5"/>
        </w:tcBorders>
      </w:tcPr>
    </w:tblStylePr>
    <w:tblStylePr w:type="firstCol">
      <w:rPr>
        <w:b/>
        <w:bCs/>
      </w:rPr>
    </w:tblStylePr>
    <w:tblStylePr w:type="lastCol">
      <w:rPr>
        <w:b/>
        <w:bCs/>
      </w:rPr>
    </w:tblStylePr>
    <w:tblStylePr w:type="band1Vert">
      <w:tblPr/>
      <w:tcPr>
        <w:shd w:val="clear" w:color="auto" w:fill="FCE0D3" w:themeFill="accent5" w:themeFillTint="33"/>
      </w:tcPr>
    </w:tblStylePr>
    <w:tblStylePr w:type="band1Horz">
      <w:tblPr/>
      <w:tcPr>
        <w:shd w:val="clear" w:color="auto" w:fill="FCE0D3" w:themeFill="accent5" w:themeFillTint="33"/>
      </w:tcPr>
    </w:tblStylePr>
  </w:style>
  <w:style w:type="table" w:styleId="GridTable4-Accent6">
    <w:name w:val="Grid Table 4 Accent 6"/>
    <w:basedOn w:val="TableNormal"/>
    <w:uiPriority w:val="49"/>
    <w:unhideWhenUsed/>
    <w:rsid w:val="009F072B"/>
    <w:pPr>
      <w:spacing w:line="240" w:lineRule="auto"/>
    </w:pPr>
    <w:rPr>
      <w:rFonts w:eastAsiaTheme="minorHAnsi"/>
    </w:rPr>
    <w:tblPr>
      <w:tblStyleRowBandSize w:val="1"/>
      <w:tblStyleColBandSize w:val="1"/>
      <w:tblBorders>
        <w:top w:val="single" w:sz="4" w:space="0" w:color="E18BA9" w:themeColor="accent6" w:themeTint="99"/>
        <w:left w:val="single" w:sz="4" w:space="0" w:color="E18BA9" w:themeColor="accent6" w:themeTint="99"/>
        <w:bottom w:val="single" w:sz="4" w:space="0" w:color="E18BA9" w:themeColor="accent6" w:themeTint="99"/>
        <w:right w:val="single" w:sz="4" w:space="0" w:color="E18BA9" w:themeColor="accent6" w:themeTint="99"/>
        <w:insideH w:val="single" w:sz="4" w:space="0" w:color="E18BA9" w:themeColor="accent6" w:themeTint="99"/>
        <w:insideV w:val="single" w:sz="4" w:space="0" w:color="E18BA9" w:themeColor="accent6" w:themeTint="99"/>
      </w:tblBorders>
    </w:tblPr>
    <w:tblStylePr w:type="firstRow">
      <w:rPr>
        <w:b/>
        <w:bCs/>
        <w:color w:val="FFFFFF" w:themeColor="background1"/>
      </w:rPr>
      <w:tblPr/>
      <w:tcPr>
        <w:tcBorders>
          <w:top w:val="single" w:sz="4" w:space="0" w:color="CD3E71" w:themeColor="accent6"/>
          <w:left w:val="single" w:sz="4" w:space="0" w:color="CD3E71" w:themeColor="accent6"/>
          <w:bottom w:val="single" w:sz="4" w:space="0" w:color="CD3E71" w:themeColor="accent6"/>
          <w:right w:val="single" w:sz="4" w:space="0" w:color="CD3E71" w:themeColor="accent6"/>
          <w:insideH w:val="nil"/>
          <w:insideV w:val="nil"/>
        </w:tcBorders>
        <w:shd w:val="clear" w:color="auto" w:fill="CD3E71" w:themeFill="accent6"/>
      </w:tcPr>
    </w:tblStylePr>
    <w:tblStylePr w:type="lastRow">
      <w:rPr>
        <w:b/>
        <w:bCs/>
      </w:rPr>
      <w:tblPr/>
      <w:tcPr>
        <w:tcBorders>
          <w:top w:val="double" w:sz="4" w:space="0" w:color="CD3E71" w:themeColor="accent6"/>
        </w:tcBorders>
      </w:tcPr>
    </w:tblStylePr>
    <w:tblStylePr w:type="firstCol">
      <w:rPr>
        <w:b/>
        <w:bCs/>
      </w:rPr>
    </w:tblStylePr>
    <w:tblStylePr w:type="lastCol">
      <w:rPr>
        <w:b/>
        <w:bCs/>
      </w:rPr>
    </w:tblStylePr>
    <w:tblStylePr w:type="band1Vert">
      <w:tblPr/>
      <w:tcPr>
        <w:shd w:val="clear" w:color="auto" w:fill="F5D8E2" w:themeFill="accent6" w:themeFillTint="33"/>
      </w:tcPr>
    </w:tblStylePr>
    <w:tblStylePr w:type="band1Horz">
      <w:tblPr/>
      <w:tcPr>
        <w:shd w:val="clear" w:color="auto" w:fill="F5D8E2" w:themeFill="accent6" w:themeFillTint="33"/>
      </w:tcPr>
    </w:tblStylePr>
  </w:style>
  <w:style w:type="table" w:styleId="GridTable5Dark">
    <w:name w:val="Grid Table 5 Dark"/>
    <w:basedOn w:val="TableNormal"/>
    <w:uiPriority w:val="50"/>
    <w:unhideWhenUsed/>
    <w:rsid w:val="009F072B"/>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unhideWhenUsed/>
    <w:rsid w:val="009F072B"/>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D5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3D6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3D6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3D6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3D6F" w:themeFill="accent1"/>
      </w:tcPr>
    </w:tblStylePr>
    <w:tblStylePr w:type="band1Vert">
      <w:tblPr/>
      <w:tcPr>
        <w:shd w:val="clear" w:color="auto" w:fill="87ABE1" w:themeFill="accent1" w:themeFillTint="66"/>
      </w:tcPr>
    </w:tblStylePr>
    <w:tblStylePr w:type="band1Horz">
      <w:tblPr/>
      <w:tcPr>
        <w:shd w:val="clear" w:color="auto" w:fill="87ABE1" w:themeFill="accent1" w:themeFillTint="66"/>
      </w:tcPr>
    </w:tblStylePr>
  </w:style>
  <w:style w:type="table" w:styleId="GridTable5Dark-Accent2">
    <w:name w:val="Grid Table 5 Dark Accent 2"/>
    <w:basedOn w:val="TableNormal"/>
    <w:uiPriority w:val="50"/>
    <w:unhideWhenUsed/>
    <w:rsid w:val="009F072B"/>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EFF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97A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97A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97A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97AA" w:themeFill="accent2"/>
      </w:tcPr>
    </w:tblStylePr>
    <w:tblStylePr w:type="band1Vert">
      <w:tblPr/>
      <w:tcPr>
        <w:shd w:val="clear" w:color="auto" w:fill="98DFEA" w:themeFill="accent2" w:themeFillTint="66"/>
      </w:tcPr>
    </w:tblStylePr>
    <w:tblStylePr w:type="band1Horz">
      <w:tblPr/>
      <w:tcPr>
        <w:shd w:val="clear" w:color="auto" w:fill="98DFEA" w:themeFill="accent2" w:themeFillTint="66"/>
      </w:tcPr>
    </w:tblStylePr>
  </w:style>
  <w:style w:type="table" w:styleId="GridTable5Dark-Accent3">
    <w:name w:val="Grid Table 5 Dark Accent 3"/>
    <w:basedOn w:val="TableNormal"/>
    <w:uiPriority w:val="50"/>
    <w:unhideWhenUsed/>
    <w:rsid w:val="009F072B"/>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2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BA9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BA9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BA9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BA95" w:themeFill="accent3"/>
      </w:tcPr>
    </w:tblStylePr>
    <w:tblStylePr w:type="band1Vert">
      <w:tblPr/>
      <w:tcPr>
        <w:shd w:val="clear" w:color="auto" w:fill="ABE6D5" w:themeFill="accent3" w:themeFillTint="66"/>
      </w:tcPr>
    </w:tblStylePr>
    <w:tblStylePr w:type="band1Horz">
      <w:tblPr/>
      <w:tcPr>
        <w:shd w:val="clear" w:color="auto" w:fill="ABE6D5" w:themeFill="accent3" w:themeFillTint="66"/>
      </w:tcPr>
    </w:tblStylePr>
  </w:style>
  <w:style w:type="table" w:styleId="GridTable5Dark-Accent4">
    <w:name w:val="Grid Table 5 Dark Accent 4"/>
    <w:basedOn w:val="TableNormal"/>
    <w:uiPriority w:val="50"/>
    <w:unhideWhenUsed/>
    <w:rsid w:val="009F072B"/>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1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3BD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BD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3BD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3BD48" w:themeFill="accent4"/>
      </w:tcPr>
    </w:tblStylePr>
    <w:tblStylePr w:type="band1Vert">
      <w:tblPr/>
      <w:tcPr>
        <w:shd w:val="clear" w:color="auto" w:fill="FAE4B5" w:themeFill="accent4" w:themeFillTint="66"/>
      </w:tcPr>
    </w:tblStylePr>
    <w:tblStylePr w:type="band1Horz">
      <w:tblPr/>
      <w:tcPr>
        <w:shd w:val="clear" w:color="auto" w:fill="FAE4B5" w:themeFill="accent4" w:themeFillTint="66"/>
      </w:tcPr>
    </w:tblStylePr>
  </w:style>
  <w:style w:type="table" w:styleId="GridTable5Dark-Accent5">
    <w:name w:val="Grid Table 5 Dark Accent 5"/>
    <w:basedOn w:val="TableNormal"/>
    <w:uiPriority w:val="50"/>
    <w:unhideWhenUsed/>
    <w:rsid w:val="009F072B"/>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0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A2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A2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A2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A25" w:themeFill="accent5"/>
      </w:tcPr>
    </w:tblStylePr>
    <w:tblStylePr w:type="band1Vert">
      <w:tblPr/>
      <w:tcPr>
        <w:shd w:val="clear" w:color="auto" w:fill="F9C2A7" w:themeFill="accent5" w:themeFillTint="66"/>
      </w:tcPr>
    </w:tblStylePr>
    <w:tblStylePr w:type="band1Horz">
      <w:tblPr/>
      <w:tcPr>
        <w:shd w:val="clear" w:color="auto" w:fill="F9C2A7" w:themeFill="accent5" w:themeFillTint="66"/>
      </w:tcPr>
    </w:tblStylePr>
  </w:style>
  <w:style w:type="table" w:styleId="GridTable5Dark-Accent6">
    <w:name w:val="Grid Table 5 Dark Accent 6"/>
    <w:basedOn w:val="TableNormal"/>
    <w:uiPriority w:val="50"/>
    <w:unhideWhenUsed/>
    <w:rsid w:val="009F072B"/>
    <w:pPr>
      <w:spacing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3E7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3E7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3E7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3E71" w:themeFill="accent6"/>
      </w:tcPr>
    </w:tblStylePr>
    <w:tblStylePr w:type="band1Vert">
      <w:tblPr/>
      <w:tcPr>
        <w:shd w:val="clear" w:color="auto" w:fill="EBB1C5" w:themeFill="accent6" w:themeFillTint="66"/>
      </w:tcPr>
    </w:tblStylePr>
    <w:tblStylePr w:type="band1Horz">
      <w:tblPr/>
      <w:tcPr>
        <w:shd w:val="clear" w:color="auto" w:fill="EBB1C5" w:themeFill="accent6" w:themeFillTint="66"/>
      </w:tcPr>
    </w:tblStylePr>
  </w:style>
  <w:style w:type="table" w:styleId="GridTable6Colorful">
    <w:name w:val="Grid Table 6 Colorful"/>
    <w:basedOn w:val="TableNormal"/>
    <w:uiPriority w:val="51"/>
    <w:unhideWhenUsed/>
    <w:rsid w:val="009F072B"/>
    <w:pPr>
      <w:spacing w:line="240" w:lineRule="auto"/>
    </w:pPr>
    <w:rPr>
      <w:rFonts w:eastAsiaTheme="minorHAns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unhideWhenUsed/>
    <w:rsid w:val="009F072B"/>
    <w:pPr>
      <w:spacing w:line="240" w:lineRule="auto"/>
    </w:pPr>
    <w:rPr>
      <w:rFonts w:eastAsiaTheme="minorHAnsi"/>
      <w:color w:val="142D53" w:themeColor="accent1" w:themeShade="BF"/>
    </w:rPr>
    <w:tblPr>
      <w:tblStyleRowBandSize w:val="1"/>
      <w:tblStyleColBandSize w:val="1"/>
      <w:tblBorders>
        <w:top w:val="single" w:sz="4" w:space="0" w:color="4B82D3" w:themeColor="accent1" w:themeTint="99"/>
        <w:left w:val="single" w:sz="4" w:space="0" w:color="4B82D3" w:themeColor="accent1" w:themeTint="99"/>
        <w:bottom w:val="single" w:sz="4" w:space="0" w:color="4B82D3" w:themeColor="accent1" w:themeTint="99"/>
        <w:right w:val="single" w:sz="4" w:space="0" w:color="4B82D3" w:themeColor="accent1" w:themeTint="99"/>
        <w:insideH w:val="single" w:sz="4" w:space="0" w:color="4B82D3" w:themeColor="accent1" w:themeTint="99"/>
        <w:insideV w:val="single" w:sz="4" w:space="0" w:color="4B82D3" w:themeColor="accent1" w:themeTint="99"/>
      </w:tblBorders>
    </w:tblPr>
    <w:tblStylePr w:type="firstRow">
      <w:rPr>
        <w:b/>
        <w:bCs/>
      </w:rPr>
      <w:tblPr/>
      <w:tcPr>
        <w:tcBorders>
          <w:bottom w:val="single" w:sz="12" w:space="0" w:color="4B82D3" w:themeColor="accent1" w:themeTint="99"/>
        </w:tcBorders>
      </w:tcPr>
    </w:tblStylePr>
    <w:tblStylePr w:type="lastRow">
      <w:rPr>
        <w:b/>
        <w:bCs/>
      </w:rPr>
      <w:tblPr/>
      <w:tcPr>
        <w:tcBorders>
          <w:top w:val="double" w:sz="4" w:space="0" w:color="4B82D3" w:themeColor="accent1" w:themeTint="99"/>
        </w:tcBorders>
      </w:tcPr>
    </w:tblStylePr>
    <w:tblStylePr w:type="firstCol">
      <w:rPr>
        <w:b/>
        <w:bCs/>
      </w:rPr>
    </w:tblStylePr>
    <w:tblStylePr w:type="lastCol">
      <w:rPr>
        <w:b/>
        <w:bCs/>
      </w:rPr>
    </w:tblStylePr>
    <w:tblStylePr w:type="band1Vert">
      <w:tblPr/>
      <w:tcPr>
        <w:shd w:val="clear" w:color="auto" w:fill="C2D5F0" w:themeFill="accent1" w:themeFillTint="33"/>
      </w:tcPr>
    </w:tblStylePr>
    <w:tblStylePr w:type="band1Horz">
      <w:tblPr/>
      <w:tcPr>
        <w:shd w:val="clear" w:color="auto" w:fill="C2D5F0" w:themeFill="accent1" w:themeFillTint="33"/>
      </w:tcPr>
    </w:tblStylePr>
  </w:style>
  <w:style w:type="table" w:styleId="GridTable6Colorful-Accent2">
    <w:name w:val="Grid Table 6 Colorful Accent 2"/>
    <w:basedOn w:val="TableNormal"/>
    <w:uiPriority w:val="51"/>
    <w:unhideWhenUsed/>
    <w:rsid w:val="009F072B"/>
    <w:pPr>
      <w:spacing w:line="240" w:lineRule="auto"/>
    </w:pPr>
    <w:rPr>
      <w:rFonts w:eastAsiaTheme="minorHAnsi"/>
      <w:color w:val="19707F" w:themeColor="accent2" w:themeShade="BF"/>
    </w:rPr>
    <w:tblPr>
      <w:tblStyleRowBandSize w:val="1"/>
      <w:tblStyleColBandSize w:val="1"/>
      <w:tblBorders>
        <w:top w:val="single" w:sz="4" w:space="0" w:color="65CFE0" w:themeColor="accent2" w:themeTint="99"/>
        <w:left w:val="single" w:sz="4" w:space="0" w:color="65CFE0" w:themeColor="accent2" w:themeTint="99"/>
        <w:bottom w:val="single" w:sz="4" w:space="0" w:color="65CFE0" w:themeColor="accent2" w:themeTint="99"/>
        <w:right w:val="single" w:sz="4" w:space="0" w:color="65CFE0" w:themeColor="accent2" w:themeTint="99"/>
        <w:insideH w:val="single" w:sz="4" w:space="0" w:color="65CFE0" w:themeColor="accent2" w:themeTint="99"/>
        <w:insideV w:val="single" w:sz="4" w:space="0" w:color="65CFE0" w:themeColor="accent2" w:themeTint="99"/>
      </w:tblBorders>
    </w:tblPr>
    <w:tblStylePr w:type="firstRow">
      <w:rPr>
        <w:b/>
        <w:bCs/>
      </w:rPr>
      <w:tblPr/>
      <w:tcPr>
        <w:tcBorders>
          <w:bottom w:val="single" w:sz="12" w:space="0" w:color="65CFE0" w:themeColor="accent2" w:themeTint="99"/>
        </w:tcBorders>
      </w:tcPr>
    </w:tblStylePr>
    <w:tblStylePr w:type="lastRow">
      <w:rPr>
        <w:b/>
        <w:bCs/>
      </w:rPr>
      <w:tblPr/>
      <w:tcPr>
        <w:tcBorders>
          <w:top w:val="double" w:sz="4" w:space="0" w:color="65CFE0" w:themeColor="accent2" w:themeTint="99"/>
        </w:tcBorders>
      </w:tcPr>
    </w:tblStylePr>
    <w:tblStylePr w:type="firstCol">
      <w:rPr>
        <w:b/>
        <w:bCs/>
      </w:rPr>
    </w:tblStylePr>
    <w:tblStylePr w:type="lastCol">
      <w:rPr>
        <w:b/>
        <w:bCs/>
      </w:rPr>
    </w:tblStylePr>
    <w:tblStylePr w:type="band1Vert">
      <w:tblPr/>
      <w:tcPr>
        <w:shd w:val="clear" w:color="auto" w:fill="CBEFF4" w:themeFill="accent2" w:themeFillTint="33"/>
      </w:tcPr>
    </w:tblStylePr>
    <w:tblStylePr w:type="band1Horz">
      <w:tblPr/>
      <w:tcPr>
        <w:shd w:val="clear" w:color="auto" w:fill="CBEFF4" w:themeFill="accent2" w:themeFillTint="33"/>
      </w:tcPr>
    </w:tblStylePr>
  </w:style>
  <w:style w:type="table" w:styleId="GridTable6Colorful-Accent3">
    <w:name w:val="Grid Table 6 Colorful Accent 3"/>
    <w:basedOn w:val="TableNormal"/>
    <w:uiPriority w:val="51"/>
    <w:unhideWhenUsed/>
    <w:rsid w:val="009F072B"/>
    <w:pPr>
      <w:spacing w:line="240" w:lineRule="auto"/>
    </w:pPr>
    <w:rPr>
      <w:rFonts w:eastAsiaTheme="minorHAnsi"/>
      <w:color w:val="298B6F" w:themeColor="accent3" w:themeShade="BF"/>
    </w:rPr>
    <w:tblPr>
      <w:tblStyleRowBandSize w:val="1"/>
      <w:tblStyleColBandSize w:val="1"/>
      <w:tblBorders>
        <w:top w:val="single" w:sz="4" w:space="0" w:color="82DAC0" w:themeColor="accent3" w:themeTint="99"/>
        <w:left w:val="single" w:sz="4" w:space="0" w:color="82DAC0" w:themeColor="accent3" w:themeTint="99"/>
        <w:bottom w:val="single" w:sz="4" w:space="0" w:color="82DAC0" w:themeColor="accent3" w:themeTint="99"/>
        <w:right w:val="single" w:sz="4" w:space="0" w:color="82DAC0" w:themeColor="accent3" w:themeTint="99"/>
        <w:insideH w:val="single" w:sz="4" w:space="0" w:color="82DAC0" w:themeColor="accent3" w:themeTint="99"/>
        <w:insideV w:val="single" w:sz="4" w:space="0" w:color="82DAC0" w:themeColor="accent3" w:themeTint="99"/>
      </w:tblBorders>
    </w:tblPr>
    <w:tblStylePr w:type="firstRow">
      <w:rPr>
        <w:b/>
        <w:bCs/>
      </w:rPr>
      <w:tblPr/>
      <w:tcPr>
        <w:tcBorders>
          <w:bottom w:val="single" w:sz="12" w:space="0" w:color="82DAC0" w:themeColor="accent3" w:themeTint="99"/>
        </w:tcBorders>
      </w:tcPr>
    </w:tblStylePr>
    <w:tblStylePr w:type="lastRow">
      <w:rPr>
        <w:b/>
        <w:bCs/>
      </w:rPr>
      <w:tblPr/>
      <w:tcPr>
        <w:tcBorders>
          <w:top w:val="double" w:sz="4" w:space="0" w:color="82DAC0" w:themeColor="accent3" w:themeTint="99"/>
        </w:tcBorders>
      </w:tcPr>
    </w:tblStylePr>
    <w:tblStylePr w:type="firstCol">
      <w:rPr>
        <w:b/>
        <w:bCs/>
      </w:rPr>
    </w:tblStylePr>
    <w:tblStylePr w:type="lastCol">
      <w:rPr>
        <w:b/>
        <w:bCs/>
      </w:rPr>
    </w:tblStylePr>
    <w:tblStylePr w:type="band1Vert">
      <w:tblPr/>
      <w:tcPr>
        <w:shd w:val="clear" w:color="auto" w:fill="D5F2EA" w:themeFill="accent3" w:themeFillTint="33"/>
      </w:tcPr>
    </w:tblStylePr>
    <w:tblStylePr w:type="band1Horz">
      <w:tblPr/>
      <w:tcPr>
        <w:shd w:val="clear" w:color="auto" w:fill="D5F2EA" w:themeFill="accent3" w:themeFillTint="33"/>
      </w:tcPr>
    </w:tblStylePr>
  </w:style>
  <w:style w:type="table" w:styleId="GridTable6Colorful-Accent4">
    <w:name w:val="Grid Table 6 Colorful Accent 4"/>
    <w:basedOn w:val="TableNormal"/>
    <w:uiPriority w:val="51"/>
    <w:unhideWhenUsed/>
    <w:rsid w:val="009F072B"/>
    <w:pPr>
      <w:spacing w:line="240" w:lineRule="auto"/>
    </w:pPr>
    <w:rPr>
      <w:rFonts w:eastAsiaTheme="minorHAnsi"/>
      <w:color w:val="DD9B0E" w:themeColor="accent4" w:themeShade="BF"/>
    </w:rPr>
    <w:tblPr>
      <w:tblStyleRowBandSize w:val="1"/>
      <w:tblStyleColBandSize w:val="1"/>
      <w:tblBorders>
        <w:top w:val="single" w:sz="4" w:space="0" w:color="F7D791" w:themeColor="accent4" w:themeTint="99"/>
        <w:left w:val="single" w:sz="4" w:space="0" w:color="F7D791" w:themeColor="accent4" w:themeTint="99"/>
        <w:bottom w:val="single" w:sz="4" w:space="0" w:color="F7D791" w:themeColor="accent4" w:themeTint="99"/>
        <w:right w:val="single" w:sz="4" w:space="0" w:color="F7D791" w:themeColor="accent4" w:themeTint="99"/>
        <w:insideH w:val="single" w:sz="4" w:space="0" w:color="F7D791" w:themeColor="accent4" w:themeTint="99"/>
        <w:insideV w:val="single" w:sz="4" w:space="0" w:color="F7D791" w:themeColor="accent4" w:themeTint="99"/>
      </w:tblBorders>
    </w:tblPr>
    <w:tblStylePr w:type="firstRow">
      <w:rPr>
        <w:b/>
        <w:bCs/>
      </w:rPr>
      <w:tblPr/>
      <w:tcPr>
        <w:tcBorders>
          <w:bottom w:val="single" w:sz="12" w:space="0" w:color="F7D791" w:themeColor="accent4" w:themeTint="99"/>
        </w:tcBorders>
      </w:tcPr>
    </w:tblStylePr>
    <w:tblStylePr w:type="lastRow">
      <w:rPr>
        <w:b/>
        <w:bCs/>
      </w:rPr>
      <w:tblPr/>
      <w:tcPr>
        <w:tcBorders>
          <w:top w:val="double" w:sz="4" w:space="0" w:color="F7D791" w:themeColor="accent4" w:themeTint="99"/>
        </w:tcBorders>
      </w:tcPr>
    </w:tblStylePr>
    <w:tblStylePr w:type="firstCol">
      <w:rPr>
        <w:b/>
        <w:bCs/>
      </w:rPr>
    </w:tblStylePr>
    <w:tblStylePr w:type="lastCol">
      <w:rPr>
        <w:b/>
        <w:bCs/>
      </w:rPr>
    </w:tblStylePr>
    <w:tblStylePr w:type="band1Vert">
      <w:tblPr/>
      <w:tcPr>
        <w:shd w:val="clear" w:color="auto" w:fill="FCF1DA" w:themeFill="accent4" w:themeFillTint="33"/>
      </w:tcPr>
    </w:tblStylePr>
    <w:tblStylePr w:type="band1Horz">
      <w:tblPr/>
      <w:tcPr>
        <w:shd w:val="clear" w:color="auto" w:fill="FCF1DA" w:themeFill="accent4" w:themeFillTint="33"/>
      </w:tcPr>
    </w:tblStylePr>
  </w:style>
  <w:style w:type="table" w:styleId="GridTable6Colorful-Accent5">
    <w:name w:val="Grid Table 6 Colorful Accent 5"/>
    <w:basedOn w:val="TableNormal"/>
    <w:uiPriority w:val="51"/>
    <w:unhideWhenUsed/>
    <w:rsid w:val="009F072B"/>
    <w:pPr>
      <w:spacing w:line="240" w:lineRule="auto"/>
    </w:pPr>
    <w:rPr>
      <w:rFonts w:eastAsiaTheme="minorHAnsi"/>
      <w:color w:val="C4490B" w:themeColor="accent5" w:themeShade="BF"/>
    </w:rPr>
    <w:tblPr>
      <w:tblStyleRowBandSize w:val="1"/>
      <w:tblStyleColBandSize w:val="1"/>
      <w:tblBorders>
        <w:top w:val="single" w:sz="4" w:space="0" w:color="F7A57C" w:themeColor="accent5" w:themeTint="99"/>
        <w:left w:val="single" w:sz="4" w:space="0" w:color="F7A57C" w:themeColor="accent5" w:themeTint="99"/>
        <w:bottom w:val="single" w:sz="4" w:space="0" w:color="F7A57C" w:themeColor="accent5" w:themeTint="99"/>
        <w:right w:val="single" w:sz="4" w:space="0" w:color="F7A57C" w:themeColor="accent5" w:themeTint="99"/>
        <w:insideH w:val="single" w:sz="4" w:space="0" w:color="F7A57C" w:themeColor="accent5" w:themeTint="99"/>
        <w:insideV w:val="single" w:sz="4" w:space="0" w:color="F7A57C" w:themeColor="accent5" w:themeTint="99"/>
      </w:tblBorders>
    </w:tblPr>
    <w:tblStylePr w:type="firstRow">
      <w:rPr>
        <w:b/>
        <w:bCs/>
      </w:rPr>
      <w:tblPr/>
      <w:tcPr>
        <w:tcBorders>
          <w:bottom w:val="single" w:sz="12" w:space="0" w:color="F7A57C" w:themeColor="accent5" w:themeTint="99"/>
        </w:tcBorders>
      </w:tcPr>
    </w:tblStylePr>
    <w:tblStylePr w:type="lastRow">
      <w:rPr>
        <w:b/>
        <w:bCs/>
      </w:rPr>
      <w:tblPr/>
      <w:tcPr>
        <w:tcBorders>
          <w:top w:val="double" w:sz="4" w:space="0" w:color="F7A57C" w:themeColor="accent5" w:themeTint="99"/>
        </w:tcBorders>
      </w:tcPr>
    </w:tblStylePr>
    <w:tblStylePr w:type="firstCol">
      <w:rPr>
        <w:b/>
        <w:bCs/>
      </w:rPr>
    </w:tblStylePr>
    <w:tblStylePr w:type="lastCol">
      <w:rPr>
        <w:b/>
        <w:bCs/>
      </w:rPr>
    </w:tblStylePr>
    <w:tblStylePr w:type="band1Vert">
      <w:tblPr/>
      <w:tcPr>
        <w:shd w:val="clear" w:color="auto" w:fill="FCE0D3" w:themeFill="accent5" w:themeFillTint="33"/>
      </w:tcPr>
    </w:tblStylePr>
    <w:tblStylePr w:type="band1Horz">
      <w:tblPr/>
      <w:tcPr>
        <w:shd w:val="clear" w:color="auto" w:fill="FCE0D3" w:themeFill="accent5" w:themeFillTint="33"/>
      </w:tcPr>
    </w:tblStylePr>
  </w:style>
  <w:style w:type="table" w:styleId="GridTable6Colorful-Accent6">
    <w:name w:val="Grid Table 6 Colorful Accent 6"/>
    <w:basedOn w:val="TableNormal"/>
    <w:uiPriority w:val="51"/>
    <w:unhideWhenUsed/>
    <w:rsid w:val="009F072B"/>
    <w:pPr>
      <w:spacing w:line="240" w:lineRule="auto"/>
    </w:pPr>
    <w:rPr>
      <w:rFonts w:eastAsiaTheme="minorHAnsi"/>
      <w:color w:val="9E2952" w:themeColor="accent6" w:themeShade="BF"/>
    </w:rPr>
    <w:tblPr>
      <w:tblStyleRowBandSize w:val="1"/>
      <w:tblStyleColBandSize w:val="1"/>
      <w:tblBorders>
        <w:top w:val="single" w:sz="4" w:space="0" w:color="E18BA9" w:themeColor="accent6" w:themeTint="99"/>
        <w:left w:val="single" w:sz="4" w:space="0" w:color="E18BA9" w:themeColor="accent6" w:themeTint="99"/>
        <w:bottom w:val="single" w:sz="4" w:space="0" w:color="E18BA9" w:themeColor="accent6" w:themeTint="99"/>
        <w:right w:val="single" w:sz="4" w:space="0" w:color="E18BA9" w:themeColor="accent6" w:themeTint="99"/>
        <w:insideH w:val="single" w:sz="4" w:space="0" w:color="E18BA9" w:themeColor="accent6" w:themeTint="99"/>
        <w:insideV w:val="single" w:sz="4" w:space="0" w:color="E18BA9" w:themeColor="accent6" w:themeTint="99"/>
      </w:tblBorders>
    </w:tblPr>
    <w:tblStylePr w:type="firstRow">
      <w:rPr>
        <w:b/>
        <w:bCs/>
      </w:rPr>
      <w:tblPr/>
      <w:tcPr>
        <w:tcBorders>
          <w:bottom w:val="single" w:sz="12" w:space="0" w:color="E18BA9" w:themeColor="accent6" w:themeTint="99"/>
        </w:tcBorders>
      </w:tcPr>
    </w:tblStylePr>
    <w:tblStylePr w:type="lastRow">
      <w:rPr>
        <w:b/>
        <w:bCs/>
      </w:rPr>
      <w:tblPr/>
      <w:tcPr>
        <w:tcBorders>
          <w:top w:val="double" w:sz="4" w:space="0" w:color="E18BA9" w:themeColor="accent6" w:themeTint="99"/>
        </w:tcBorders>
      </w:tcPr>
    </w:tblStylePr>
    <w:tblStylePr w:type="firstCol">
      <w:rPr>
        <w:b/>
        <w:bCs/>
      </w:rPr>
    </w:tblStylePr>
    <w:tblStylePr w:type="lastCol">
      <w:rPr>
        <w:b/>
        <w:bCs/>
      </w:rPr>
    </w:tblStylePr>
    <w:tblStylePr w:type="band1Vert">
      <w:tblPr/>
      <w:tcPr>
        <w:shd w:val="clear" w:color="auto" w:fill="F5D8E2" w:themeFill="accent6" w:themeFillTint="33"/>
      </w:tcPr>
    </w:tblStylePr>
    <w:tblStylePr w:type="band1Horz">
      <w:tblPr/>
      <w:tcPr>
        <w:shd w:val="clear" w:color="auto" w:fill="F5D8E2" w:themeFill="accent6" w:themeFillTint="33"/>
      </w:tcPr>
    </w:tblStylePr>
  </w:style>
  <w:style w:type="table" w:styleId="GridTable7Colorful">
    <w:name w:val="Grid Table 7 Colorful"/>
    <w:basedOn w:val="TableNormal"/>
    <w:uiPriority w:val="52"/>
    <w:unhideWhenUsed/>
    <w:rsid w:val="009F072B"/>
    <w:pPr>
      <w:spacing w:line="240" w:lineRule="auto"/>
    </w:pPr>
    <w:rPr>
      <w:rFonts w:eastAsiaTheme="minorHAns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unhideWhenUsed/>
    <w:rsid w:val="009F072B"/>
    <w:pPr>
      <w:spacing w:line="240" w:lineRule="auto"/>
    </w:pPr>
    <w:rPr>
      <w:rFonts w:eastAsiaTheme="minorHAnsi"/>
      <w:color w:val="142D53" w:themeColor="accent1" w:themeShade="BF"/>
    </w:rPr>
    <w:tblPr>
      <w:tblStyleRowBandSize w:val="1"/>
      <w:tblStyleColBandSize w:val="1"/>
      <w:tblBorders>
        <w:top w:val="single" w:sz="4" w:space="0" w:color="4B82D3" w:themeColor="accent1" w:themeTint="99"/>
        <w:left w:val="single" w:sz="4" w:space="0" w:color="4B82D3" w:themeColor="accent1" w:themeTint="99"/>
        <w:bottom w:val="single" w:sz="4" w:space="0" w:color="4B82D3" w:themeColor="accent1" w:themeTint="99"/>
        <w:right w:val="single" w:sz="4" w:space="0" w:color="4B82D3" w:themeColor="accent1" w:themeTint="99"/>
        <w:insideH w:val="single" w:sz="4" w:space="0" w:color="4B82D3" w:themeColor="accent1" w:themeTint="99"/>
        <w:insideV w:val="single" w:sz="4" w:space="0" w:color="4B82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D5F0" w:themeFill="accent1" w:themeFillTint="33"/>
      </w:tcPr>
    </w:tblStylePr>
    <w:tblStylePr w:type="band1Horz">
      <w:tblPr/>
      <w:tcPr>
        <w:shd w:val="clear" w:color="auto" w:fill="C2D5F0" w:themeFill="accent1" w:themeFillTint="33"/>
      </w:tcPr>
    </w:tblStylePr>
    <w:tblStylePr w:type="neCell">
      <w:tblPr/>
      <w:tcPr>
        <w:tcBorders>
          <w:bottom w:val="single" w:sz="4" w:space="0" w:color="4B82D3" w:themeColor="accent1" w:themeTint="99"/>
        </w:tcBorders>
      </w:tcPr>
    </w:tblStylePr>
    <w:tblStylePr w:type="nwCell">
      <w:tblPr/>
      <w:tcPr>
        <w:tcBorders>
          <w:bottom w:val="single" w:sz="4" w:space="0" w:color="4B82D3" w:themeColor="accent1" w:themeTint="99"/>
        </w:tcBorders>
      </w:tcPr>
    </w:tblStylePr>
    <w:tblStylePr w:type="seCell">
      <w:tblPr/>
      <w:tcPr>
        <w:tcBorders>
          <w:top w:val="single" w:sz="4" w:space="0" w:color="4B82D3" w:themeColor="accent1" w:themeTint="99"/>
        </w:tcBorders>
      </w:tcPr>
    </w:tblStylePr>
    <w:tblStylePr w:type="swCell">
      <w:tblPr/>
      <w:tcPr>
        <w:tcBorders>
          <w:top w:val="single" w:sz="4" w:space="0" w:color="4B82D3" w:themeColor="accent1" w:themeTint="99"/>
        </w:tcBorders>
      </w:tcPr>
    </w:tblStylePr>
  </w:style>
  <w:style w:type="table" w:styleId="GridTable7Colorful-Accent2">
    <w:name w:val="Grid Table 7 Colorful Accent 2"/>
    <w:basedOn w:val="TableNormal"/>
    <w:uiPriority w:val="52"/>
    <w:unhideWhenUsed/>
    <w:rsid w:val="009F072B"/>
    <w:pPr>
      <w:spacing w:line="240" w:lineRule="auto"/>
    </w:pPr>
    <w:rPr>
      <w:rFonts w:eastAsiaTheme="minorHAnsi"/>
      <w:color w:val="19707F" w:themeColor="accent2" w:themeShade="BF"/>
    </w:rPr>
    <w:tblPr>
      <w:tblStyleRowBandSize w:val="1"/>
      <w:tblStyleColBandSize w:val="1"/>
      <w:tblBorders>
        <w:top w:val="single" w:sz="4" w:space="0" w:color="65CFE0" w:themeColor="accent2" w:themeTint="99"/>
        <w:left w:val="single" w:sz="4" w:space="0" w:color="65CFE0" w:themeColor="accent2" w:themeTint="99"/>
        <w:bottom w:val="single" w:sz="4" w:space="0" w:color="65CFE0" w:themeColor="accent2" w:themeTint="99"/>
        <w:right w:val="single" w:sz="4" w:space="0" w:color="65CFE0" w:themeColor="accent2" w:themeTint="99"/>
        <w:insideH w:val="single" w:sz="4" w:space="0" w:color="65CFE0" w:themeColor="accent2" w:themeTint="99"/>
        <w:insideV w:val="single" w:sz="4" w:space="0" w:color="65CFE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EFF4" w:themeFill="accent2" w:themeFillTint="33"/>
      </w:tcPr>
    </w:tblStylePr>
    <w:tblStylePr w:type="band1Horz">
      <w:tblPr/>
      <w:tcPr>
        <w:shd w:val="clear" w:color="auto" w:fill="CBEFF4" w:themeFill="accent2" w:themeFillTint="33"/>
      </w:tcPr>
    </w:tblStylePr>
    <w:tblStylePr w:type="neCell">
      <w:tblPr/>
      <w:tcPr>
        <w:tcBorders>
          <w:bottom w:val="single" w:sz="4" w:space="0" w:color="65CFE0" w:themeColor="accent2" w:themeTint="99"/>
        </w:tcBorders>
      </w:tcPr>
    </w:tblStylePr>
    <w:tblStylePr w:type="nwCell">
      <w:tblPr/>
      <w:tcPr>
        <w:tcBorders>
          <w:bottom w:val="single" w:sz="4" w:space="0" w:color="65CFE0" w:themeColor="accent2" w:themeTint="99"/>
        </w:tcBorders>
      </w:tcPr>
    </w:tblStylePr>
    <w:tblStylePr w:type="seCell">
      <w:tblPr/>
      <w:tcPr>
        <w:tcBorders>
          <w:top w:val="single" w:sz="4" w:space="0" w:color="65CFE0" w:themeColor="accent2" w:themeTint="99"/>
        </w:tcBorders>
      </w:tcPr>
    </w:tblStylePr>
    <w:tblStylePr w:type="swCell">
      <w:tblPr/>
      <w:tcPr>
        <w:tcBorders>
          <w:top w:val="single" w:sz="4" w:space="0" w:color="65CFE0" w:themeColor="accent2" w:themeTint="99"/>
        </w:tcBorders>
      </w:tcPr>
    </w:tblStylePr>
  </w:style>
  <w:style w:type="table" w:styleId="GridTable7Colorful-Accent3">
    <w:name w:val="Grid Table 7 Colorful Accent 3"/>
    <w:basedOn w:val="TableNormal"/>
    <w:uiPriority w:val="52"/>
    <w:unhideWhenUsed/>
    <w:rsid w:val="009F072B"/>
    <w:pPr>
      <w:spacing w:line="240" w:lineRule="auto"/>
    </w:pPr>
    <w:rPr>
      <w:rFonts w:eastAsiaTheme="minorHAnsi"/>
      <w:color w:val="298B6F" w:themeColor="accent3" w:themeShade="BF"/>
    </w:rPr>
    <w:tblPr>
      <w:tblStyleRowBandSize w:val="1"/>
      <w:tblStyleColBandSize w:val="1"/>
      <w:tblBorders>
        <w:top w:val="single" w:sz="4" w:space="0" w:color="82DAC0" w:themeColor="accent3" w:themeTint="99"/>
        <w:left w:val="single" w:sz="4" w:space="0" w:color="82DAC0" w:themeColor="accent3" w:themeTint="99"/>
        <w:bottom w:val="single" w:sz="4" w:space="0" w:color="82DAC0" w:themeColor="accent3" w:themeTint="99"/>
        <w:right w:val="single" w:sz="4" w:space="0" w:color="82DAC0" w:themeColor="accent3" w:themeTint="99"/>
        <w:insideH w:val="single" w:sz="4" w:space="0" w:color="82DAC0" w:themeColor="accent3" w:themeTint="99"/>
        <w:insideV w:val="single" w:sz="4" w:space="0" w:color="82DA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2EA" w:themeFill="accent3" w:themeFillTint="33"/>
      </w:tcPr>
    </w:tblStylePr>
    <w:tblStylePr w:type="band1Horz">
      <w:tblPr/>
      <w:tcPr>
        <w:shd w:val="clear" w:color="auto" w:fill="D5F2EA" w:themeFill="accent3" w:themeFillTint="33"/>
      </w:tcPr>
    </w:tblStylePr>
    <w:tblStylePr w:type="neCell">
      <w:tblPr/>
      <w:tcPr>
        <w:tcBorders>
          <w:bottom w:val="single" w:sz="4" w:space="0" w:color="82DAC0" w:themeColor="accent3" w:themeTint="99"/>
        </w:tcBorders>
      </w:tcPr>
    </w:tblStylePr>
    <w:tblStylePr w:type="nwCell">
      <w:tblPr/>
      <w:tcPr>
        <w:tcBorders>
          <w:bottom w:val="single" w:sz="4" w:space="0" w:color="82DAC0" w:themeColor="accent3" w:themeTint="99"/>
        </w:tcBorders>
      </w:tcPr>
    </w:tblStylePr>
    <w:tblStylePr w:type="seCell">
      <w:tblPr/>
      <w:tcPr>
        <w:tcBorders>
          <w:top w:val="single" w:sz="4" w:space="0" w:color="82DAC0" w:themeColor="accent3" w:themeTint="99"/>
        </w:tcBorders>
      </w:tcPr>
    </w:tblStylePr>
    <w:tblStylePr w:type="swCell">
      <w:tblPr/>
      <w:tcPr>
        <w:tcBorders>
          <w:top w:val="single" w:sz="4" w:space="0" w:color="82DAC0" w:themeColor="accent3" w:themeTint="99"/>
        </w:tcBorders>
      </w:tcPr>
    </w:tblStylePr>
  </w:style>
  <w:style w:type="table" w:styleId="GridTable7Colorful-Accent4">
    <w:name w:val="Grid Table 7 Colorful Accent 4"/>
    <w:basedOn w:val="TableNormal"/>
    <w:uiPriority w:val="52"/>
    <w:unhideWhenUsed/>
    <w:rsid w:val="009F072B"/>
    <w:pPr>
      <w:spacing w:line="240" w:lineRule="auto"/>
    </w:pPr>
    <w:rPr>
      <w:rFonts w:eastAsiaTheme="minorHAnsi"/>
      <w:color w:val="DD9B0E" w:themeColor="accent4" w:themeShade="BF"/>
    </w:rPr>
    <w:tblPr>
      <w:tblStyleRowBandSize w:val="1"/>
      <w:tblStyleColBandSize w:val="1"/>
      <w:tblBorders>
        <w:top w:val="single" w:sz="4" w:space="0" w:color="F7D791" w:themeColor="accent4" w:themeTint="99"/>
        <w:left w:val="single" w:sz="4" w:space="0" w:color="F7D791" w:themeColor="accent4" w:themeTint="99"/>
        <w:bottom w:val="single" w:sz="4" w:space="0" w:color="F7D791" w:themeColor="accent4" w:themeTint="99"/>
        <w:right w:val="single" w:sz="4" w:space="0" w:color="F7D791" w:themeColor="accent4" w:themeTint="99"/>
        <w:insideH w:val="single" w:sz="4" w:space="0" w:color="F7D791" w:themeColor="accent4" w:themeTint="99"/>
        <w:insideV w:val="single" w:sz="4" w:space="0" w:color="F7D7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DA" w:themeFill="accent4" w:themeFillTint="33"/>
      </w:tcPr>
    </w:tblStylePr>
    <w:tblStylePr w:type="band1Horz">
      <w:tblPr/>
      <w:tcPr>
        <w:shd w:val="clear" w:color="auto" w:fill="FCF1DA" w:themeFill="accent4" w:themeFillTint="33"/>
      </w:tcPr>
    </w:tblStylePr>
    <w:tblStylePr w:type="neCell">
      <w:tblPr/>
      <w:tcPr>
        <w:tcBorders>
          <w:bottom w:val="single" w:sz="4" w:space="0" w:color="F7D791" w:themeColor="accent4" w:themeTint="99"/>
        </w:tcBorders>
      </w:tcPr>
    </w:tblStylePr>
    <w:tblStylePr w:type="nwCell">
      <w:tblPr/>
      <w:tcPr>
        <w:tcBorders>
          <w:bottom w:val="single" w:sz="4" w:space="0" w:color="F7D791" w:themeColor="accent4" w:themeTint="99"/>
        </w:tcBorders>
      </w:tcPr>
    </w:tblStylePr>
    <w:tblStylePr w:type="seCell">
      <w:tblPr/>
      <w:tcPr>
        <w:tcBorders>
          <w:top w:val="single" w:sz="4" w:space="0" w:color="F7D791" w:themeColor="accent4" w:themeTint="99"/>
        </w:tcBorders>
      </w:tcPr>
    </w:tblStylePr>
    <w:tblStylePr w:type="swCell">
      <w:tblPr/>
      <w:tcPr>
        <w:tcBorders>
          <w:top w:val="single" w:sz="4" w:space="0" w:color="F7D791" w:themeColor="accent4" w:themeTint="99"/>
        </w:tcBorders>
      </w:tcPr>
    </w:tblStylePr>
  </w:style>
  <w:style w:type="table" w:styleId="GridTable7Colorful-Accent5">
    <w:name w:val="Grid Table 7 Colorful Accent 5"/>
    <w:basedOn w:val="TableNormal"/>
    <w:uiPriority w:val="52"/>
    <w:unhideWhenUsed/>
    <w:rsid w:val="009F072B"/>
    <w:pPr>
      <w:spacing w:line="240" w:lineRule="auto"/>
    </w:pPr>
    <w:rPr>
      <w:rFonts w:eastAsiaTheme="minorHAnsi"/>
      <w:color w:val="C4490B" w:themeColor="accent5" w:themeShade="BF"/>
    </w:rPr>
    <w:tblPr>
      <w:tblStyleRowBandSize w:val="1"/>
      <w:tblStyleColBandSize w:val="1"/>
      <w:tblBorders>
        <w:top w:val="single" w:sz="4" w:space="0" w:color="F7A57C" w:themeColor="accent5" w:themeTint="99"/>
        <w:left w:val="single" w:sz="4" w:space="0" w:color="F7A57C" w:themeColor="accent5" w:themeTint="99"/>
        <w:bottom w:val="single" w:sz="4" w:space="0" w:color="F7A57C" w:themeColor="accent5" w:themeTint="99"/>
        <w:right w:val="single" w:sz="4" w:space="0" w:color="F7A57C" w:themeColor="accent5" w:themeTint="99"/>
        <w:insideH w:val="single" w:sz="4" w:space="0" w:color="F7A57C" w:themeColor="accent5" w:themeTint="99"/>
        <w:insideV w:val="single" w:sz="4" w:space="0" w:color="F7A57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3" w:themeFill="accent5" w:themeFillTint="33"/>
      </w:tcPr>
    </w:tblStylePr>
    <w:tblStylePr w:type="band1Horz">
      <w:tblPr/>
      <w:tcPr>
        <w:shd w:val="clear" w:color="auto" w:fill="FCE0D3" w:themeFill="accent5" w:themeFillTint="33"/>
      </w:tcPr>
    </w:tblStylePr>
    <w:tblStylePr w:type="neCell">
      <w:tblPr/>
      <w:tcPr>
        <w:tcBorders>
          <w:bottom w:val="single" w:sz="4" w:space="0" w:color="F7A57C" w:themeColor="accent5" w:themeTint="99"/>
        </w:tcBorders>
      </w:tcPr>
    </w:tblStylePr>
    <w:tblStylePr w:type="nwCell">
      <w:tblPr/>
      <w:tcPr>
        <w:tcBorders>
          <w:bottom w:val="single" w:sz="4" w:space="0" w:color="F7A57C" w:themeColor="accent5" w:themeTint="99"/>
        </w:tcBorders>
      </w:tcPr>
    </w:tblStylePr>
    <w:tblStylePr w:type="seCell">
      <w:tblPr/>
      <w:tcPr>
        <w:tcBorders>
          <w:top w:val="single" w:sz="4" w:space="0" w:color="F7A57C" w:themeColor="accent5" w:themeTint="99"/>
        </w:tcBorders>
      </w:tcPr>
    </w:tblStylePr>
    <w:tblStylePr w:type="swCell">
      <w:tblPr/>
      <w:tcPr>
        <w:tcBorders>
          <w:top w:val="single" w:sz="4" w:space="0" w:color="F7A57C" w:themeColor="accent5" w:themeTint="99"/>
        </w:tcBorders>
      </w:tcPr>
    </w:tblStylePr>
  </w:style>
  <w:style w:type="table" w:styleId="GridTable7Colorful-Accent6">
    <w:name w:val="Grid Table 7 Colorful Accent 6"/>
    <w:basedOn w:val="TableNormal"/>
    <w:uiPriority w:val="52"/>
    <w:unhideWhenUsed/>
    <w:rsid w:val="009F072B"/>
    <w:pPr>
      <w:spacing w:line="240" w:lineRule="auto"/>
    </w:pPr>
    <w:rPr>
      <w:rFonts w:eastAsiaTheme="minorHAnsi"/>
      <w:color w:val="9E2952" w:themeColor="accent6" w:themeShade="BF"/>
    </w:rPr>
    <w:tblPr>
      <w:tblStyleRowBandSize w:val="1"/>
      <w:tblStyleColBandSize w:val="1"/>
      <w:tblBorders>
        <w:top w:val="single" w:sz="4" w:space="0" w:color="E18BA9" w:themeColor="accent6" w:themeTint="99"/>
        <w:left w:val="single" w:sz="4" w:space="0" w:color="E18BA9" w:themeColor="accent6" w:themeTint="99"/>
        <w:bottom w:val="single" w:sz="4" w:space="0" w:color="E18BA9" w:themeColor="accent6" w:themeTint="99"/>
        <w:right w:val="single" w:sz="4" w:space="0" w:color="E18BA9" w:themeColor="accent6" w:themeTint="99"/>
        <w:insideH w:val="single" w:sz="4" w:space="0" w:color="E18BA9" w:themeColor="accent6" w:themeTint="99"/>
        <w:insideV w:val="single" w:sz="4" w:space="0" w:color="E18BA9"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E2" w:themeFill="accent6" w:themeFillTint="33"/>
      </w:tcPr>
    </w:tblStylePr>
    <w:tblStylePr w:type="band1Horz">
      <w:tblPr/>
      <w:tcPr>
        <w:shd w:val="clear" w:color="auto" w:fill="F5D8E2" w:themeFill="accent6" w:themeFillTint="33"/>
      </w:tcPr>
    </w:tblStylePr>
    <w:tblStylePr w:type="neCell">
      <w:tblPr/>
      <w:tcPr>
        <w:tcBorders>
          <w:bottom w:val="single" w:sz="4" w:space="0" w:color="E18BA9" w:themeColor="accent6" w:themeTint="99"/>
        </w:tcBorders>
      </w:tcPr>
    </w:tblStylePr>
    <w:tblStylePr w:type="nwCell">
      <w:tblPr/>
      <w:tcPr>
        <w:tcBorders>
          <w:bottom w:val="single" w:sz="4" w:space="0" w:color="E18BA9" w:themeColor="accent6" w:themeTint="99"/>
        </w:tcBorders>
      </w:tcPr>
    </w:tblStylePr>
    <w:tblStylePr w:type="seCell">
      <w:tblPr/>
      <w:tcPr>
        <w:tcBorders>
          <w:top w:val="single" w:sz="4" w:space="0" w:color="E18BA9" w:themeColor="accent6" w:themeTint="99"/>
        </w:tcBorders>
      </w:tcPr>
    </w:tblStylePr>
    <w:tblStylePr w:type="swCell">
      <w:tblPr/>
      <w:tcPr>
        <w:tcBorders>
          <w:top w:val="single" w:sz="4" w:space="0" w:color="E18BA9" w:themeColor="accent6" w:themeTint="99"/>
        </w:tcBorders>
      </w:tcPr>
    </w:tblStylePr>
  </w:style>
  <w:style w:type="character" w:styleId="HTMLAcronym">
    <w:name w:val="HTML Acronym"/>
    <w:basedOn w:val="DefaultParagraphFont"/>
    <w:uiPriority w:val="99"/>
    <w:semiHidden/>
    <w:unhideWhenUsed/>
    <w:rsid w:val="009F072B"/>
  </w:style>
  <w:style w:type="paragraph" w:styleId="HTMLAddress">
    <w:name w:val="HTML Address"/>
    <w:basedOn w:val="Normal"/>
    <w:link w:val="HTMLAddressChar"/>
    <w:uiPriority w:val="99"/>
    <w:semiHidden/>
    <w:unhideWhenUsed/>
    <w:rsid w:val="009F072B"/>
    <w:pPr>
      <w:spacing w:line="240" w:lineRule="auto"/>
    </w:pPr>
    <w:rPr>
      <w:i/>
      <w:iCs/>
    </w:rPr>
  </w:style>
  <w:style w:type="character" w:customStyle="1" w:styleId="HTMLAddressChar">
    <w:name w:val="HTML Address Char"/>
    <w:basedOn w:val="DefaultParagraphFont"/>
    <w:link w:val="HTMLAddress"/>
    <w:uiPriority w:val="99"/>
    <w:semiHidden/>
    <w:rsid w:val="009F072B"/>
    <w:rPr>
      <w:rFonts w:eastAsiaTheme="minorHAnsi"/>
      <w:i/>
      <w:iCs/>
      <w:sz w:val="24"/>
    </w:rPr>
  </w:style>
  <w:style w:type="character" w:styleId="HTMLCite">
    <w:name w:val="HTML Cite"/>
    <w:basedOn w:val="DefaultParagraphFont"/>
    <w:uiPriority w:val="99"/>
    <w:semiHidden/>
    <w:unhideWhenUsed/>
    <w:rsid w:val="009F072B"/>
    <w:rPr>
      <w:i/>
      <w:iCs/>
    </w:rPr>
  </w:style>
  <w:style w:type="character" w:styleId="HTMLCode">
    <w:name w:val="HTML Code"/>
    <w:basedOn w:val="DefaultParagraphFont"/>
    <w:uiPriority w:val="99"/>
    <w:semiHidden/>
    <w:unhideWhenUsed/>
    <w:rsid w:val="009F072B"/>
    <w:rPr>
      <w:rFonts w:ascii="Consolas" w:hAnsi="Consolas"/>
      <w:sz w:val="20"/>
      <w:szCs w:val="20"/>
    </w:rPr>
  </w:style>
  <w:style w:type="character" w:styleId="HTMLDefinition">
    <w:name w:val="HTML Definition"/>
    <w:basedOn w:val="DefaultParagraphFont"/>
    <w:uiPriority w:val="99"/>
    <w:semiHidden/>
    <w:unhideWhenUsed/>
    <w:rsid w:val="009F072B"/>
    <w:rPr>
      <w:i/>
      <w:iCs/>
    </w:rPr>
  </w:style>
  <w:style w:type="character" w:styleId="HTMLKeyboard">
    <w:name w:val="HTML Keyboard"/>
    <w:basedOn w:val="DefaultParagraphFont"/>
    <w:uiPriority w:val="99"/>
    <w:semiHidden/>
    <w:unhideWhenUsed/>
    <w:rsid w:val="009F072B"/>
    <w:rPr>
      <w:rFonts w:ascii="Consolas" w:hAnsi="Consolas"/>
      <w:sz w:val="20"/>
      <w:szCs w:val="20"/>
    </w:rPr>
  </w:style>
  <w:style w:type="character" w:styleId="HTMLSample">
    <w:name w:val="HTML Sample"/>
    <w:basedOn w:val="DefaultParagraphFont"/>
    <w:uiPriority w:val="99"/>
    <w:semiHidden/>
    <w:unhideWhenUsed/>
    <w:rsid w:val="009F072B"/>
    <w:rPr>
      <w:rFonts w:ascii="Consolas" w:hAnsi="Consolas"/>
      <w:sz w:val="24"/>
      <w:szCs w:val="24"/>
    </w:rPr>
  </w:style>
  <w:style w:type="character" w:styleId="HTMLTypewriter">
    <w:name w:val="HTML Typewriter"/>
    <w:basedOn w:val="DefaultParagraphFont"/>
    <w:uiPriority w:val="99"/>
    <w:semiHidden/>
    <w:unhideWhenUsed/>
    <w:rsid w:val="009F072B"/>
    <w:rPr>
      <w:rFonts w:ascii="Consolas" w:hAnsi="Consolas"/>
      <w:sz w:val="20"/>
      <w:szCs w:val="20"/>
    </w:rPr>
  </w:style>
  <w:style w:type="character" w:styleId="HTMLVariable">
    <w:name w:val="HTML Variable"/>
    <w:basedOn w:val="DefaultParagraphFont"/>
    <w:uiPriority w:val="99"/>
    <w:semiHidden/>
    <w:unhideWhenUsed/>
    <w:rsid w:val="009F072B"/>
    <w:rPr>
      <w:i/>
      <w:iCs/>
    </w:rPr>
  </w:style>
  <w:style w:type="paragraph" w:styleId="Index2">
    <w:name w:val="index 2"/>
    <w:basedOn w:val="Normal"/>
    <w:next w:val="Normal"/>
    <w:autoRedefine/>
    <w:uiPriority w:val="99"/>
    <w:semiHidden/>
    <w:unhideWhenUsed/>
    <w:rsid w:val="009F072B"/>
    <w:pPr>
      <w:spacing w:line="240" w:lineRule="auto"/>
      <w:ind w:left="440" w:hanging="220"/>
    </w:pPr>
  </w:style>
  <w:style w:type="paragraph" w:styleId="Index3">
    <w:name w:val="index 3"/>
    <w:basedOn w:val="Normal"/>
    <w:next w:val="Normal"/>
    <w:autoRedefine/>
    <w:uiPriority w:val="99"/>
    <w:semiHidden/>
    <w:unhideWhenUsed/>
    <w:rsid w:val="009F072B"/>
    <w:pPr>
      <w:spacing w:line="240" w:lineRule="auto"/>
      <w:ind w:left="660" w:hanging="220"/>
    </w:pPr>
  </w:style>
  <w:style w:type="paragraph" w:styleId="Index4">
    <w:name w:val="index 4"/>
    <w:basedOn w:val="Normal"/>
    <w:next w:val="Normal"/>
    <w:autoRedefine/>
    <w:uiPriority w:val="99"/>
    <w:semiHidden/>
    <w:unhideWhenUsed/>
    <w:rsid w:val="009F072B"/>
    <w:pPr>
      <w:spacing w:line="240" w:lineRule="auto"/>
      <w:ind w:left="880" w:hanging="220"/>
    </w:pPr>
  </w:style>
  <w:style w:type="paragraph" w:styleId="Index5">
    <w:name w:val="index 5"/>
    <w:basedOn w:val="Normal"/>
    <w:next w:val="Normal"/>
    <w:autoRedefine/>
    <w:uiPriority w:val="99"/>
    <w:semiHidden/>
    <w:unhideWhenUsed/>
    <w:rsid w:val="009F072B"/>
    <w:pPr>
      <w:spacing w:line="240" w:lineRule="auto"/>
      <w:ind w:left="1100" w:hanging="220"/>
    </w:pPr>
  </w:style>
  <w:style w:type="paragraph" w:styleId="Index6">
    <w:name w:val="index 6"/>
    <w:basedOn w:val="Normal"/>
    <w:next w:val="Normal"/>
    <w:autoRedefine/>
    <w:uiPriority w:val="99"/>
    <w:semiHidden/>
    <w:unhideWhenUsed/>
    <w:rsid w:val="009F072B"/>
    <w:pPr>
      <w:spacing w:line="240" w:lineRule="auto"/>
      <w:ind w:left="1320" w:hanging="220"/>
    </w:pPr>
  </w:style>
  <w:style w:type="paragraph" w:styleId="Index8">
    <w:name w:val="index 8"/>
    <w:basedOn w:val="Normal"/>
    <w:next w:val="Normal"/>
    <w:autoRedefine/>
    <w:uiPriority w:val="99"/>
    <w:semiHidden/>
    <w:unhideWhenUsed/>
    <w:rsid w:val="009F072B"/>
    <w:pPr>
      <w:spacing w:line="240" w:lineRule="auto"/>
      <w:ind w:left="1760" w:hanging="220"/>
    </w:pPr>
  </w:style>
  <w:style w:type="table" w:styleId="LightGrid">
    <w:name w:val="Light Grid"/>
    <w:basedOn w:val="TableNormal"/>
    <w:uiPriority w:val="62"/>
    <w:semiHidden/>
    <w:unhideWhenUsed/>
    <w:rsid w:val="009F072B"/>
    <w:pPr>
      <w:spacing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F072B"/>
    <w:pPr>
      <w:spacing w:line="240" w:lineRule="auto"/>
    </w:pPr>
    <w:rPr>
      <w:rFonts w:eastAsiaTheme="minorHAnsi"/>
    </w:rPr>
    <w:tblPr>
      <w:tblStyleRowBandSize w:val="1"/>
      <w:tblStyleColBandSize w:val="1"/>
      <w:tblBorders>
        <w:top w:val="single" w:sz="8" w:space="0" w:color="1B3D6F" w:themeColor="accent1"/>
        <w:left w:val="single" w:sz="8" w:space="0" w:color="1B3D6F" w:themeColor="accent1"/>
        <w:bottom w:val="single" w:sz="8" w:space="0" w:color="1B3D6F" w:themeColor="accent1"/>
        <w:right w:val="single" w:sz="8" w:space="0" w:color="1B3D6F" w:themeColor="accent1"/>
        <w:insideH w:val="single" w:sz="8" w:space="0" w:color="1B3D6F" w:themeColor="accent1"/>
        <w:insideV w:val="single" w:sz="8" w:space="0" w:color="1B3D6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3D6F" w:themeColor="accent1"/>
          <w:left w:val="single" w:sz="8" w:space="0" w:color="1B3D6F" w:themeColor="accent1"/>
          <w:bottom w:val="single" w:sz="18" w:space="0" w:color="1B3D6F" w:themeColor="accent1"/>
          <w:right w:val="single" w:sz="8" w:space="0" w:color="1B3D6F" w:themeColor="accent1"/>
          <w:insideH w:val="nil"/>
          <w:insideV w:val="single" w:sz="8" w:space="0" w:color="1B3D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3D6F" w:themeColor="accent1"/>
          <w:left w:val="single" w:sz="8" w:space="0" w:color="1B3D6F" w:themeColor="accent1"/>
          <w:bottom w:val="single" w:sz="8" w:space="0" w:color="1B3D6F" w:themeColor="accent1"/>
          <w:right w:val="single" w:sz="8" w:space="0" w:color="1B3D6F" w:themeColor="accent1"/>
          <w:insideH w:val="nil"/>
          <w:insideV w:val="single" w:sz="8" w:space="0" w:color="1B3D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3D6F" w:themeColor="accent1"/>
          <w:left w:val="single" w:sz="8" w:space="0" w:color="1B3D6F" w:themeColor="accent1"/>
          <w:bottom w:val="single" w:sz="8" w:space="0" w:color="1B3D6F" w:themeColor="accent1"/>
          <w:right w:val="single" w:sz="8" w:space="0" w:color="1B3D6F" w:themeColor="accent1"/>
        </w:tcBorders>
      </w:tcPr>
    </w:tblStylePr>
    <w:tblStylePr w:type="band1Vert">
      <w:tblPr/>
      <w:tcPr>
        <w:tcBorders>
          <w:top w:val="single" w:sz="8" w:space="0" w:color="1B3D6F" w:themeColor="accent1"/>
          <w:left w:val="single" w:sz="8" w:space="0" w:color="1B3D6F" w:themeColor="accent1"/>
          <w:bottom w:val="single" w:sz="8" w:space="0" w:color="1B3D6F" w:themeColor="accent1"/>
          <w:right w:val="single" w:sz="8" w:space="0" w:color="1B3D6F" w:themeColor="accent1"/>
        </w:tcBorders>
        <w:shd w:val="clear" w:color="auto" w:fill="B5CBED" w:themeFill="accent1" w:themeFillTint="3F"/>
      </w:tcPr>
    </w:tblStylePr>
    <w:tblStylePr w:type="band1Horz">
      <w:tblPr/>
      <w:tcPr>
        <w:tcBorders>
          <w:top w:val="single" w:sz="8" w:space="0" w:color="1B3D6F" w:themeColor="accent1"/>
          <w:left w:val="single" w:sz="8" w:space="0" w:color="1B3D6F" w:themeColor="accent1"/>
          <w:bottom w:val="single" w:sz="8" w:space="0" w:color="1B3D6F" w:themeColor="accent1"/>
          <w:right w:val="single" w:sz="8" w:space="0" w:color="1B3D6F" w:themeColor="accent1"/>
          <w:insideV w:val="single" w:sz="8" w:space="0" w:color="1B3D6F" w:themeColor="accent1"/>
        </w:tcBorders>
        <w:shd w:val="clear" w:color="auto" w:fill="B5CBED" w:themeFill="accent1" w:themeFillTint="3F"/>
      </w:tcPr>
    </w:tblStylePr>
    <w:tblStylePr w:type="band2Horz">
      <w:tblPr/>
      <w:tcPr>
        <w:tcBorders>
          <w:top w:val="single" w:sz="8" w:space="0" w:color="1B3D6F" w:themeColor="accent1"/>
          <w:left w:val="single" w:sz="8" w:space="0" w:color="1B3D6F" w:themeColor="accent1"/>
          <w:bottom w:val="single" w:sz="8" w:space="0" w:color="1B3D6F" w:themeColor="accent1"/>
          <w:right w:val="single" w:sz="8" w:space="0" w:color="1B3D6F" w:themeColor="accent1"/>
          <w:insideV w:val="single" w:sz="8" w:space="0" w:color="1B3D6F" w:themeColor="accent1"/>
        </w:tcBorders>
      </w:tcPr>
    </w:tblStylePr>
  </w:style>
  <w:style w:type="table" w:styleId="LightGrid-Accent2">
    <w:name w:val="Light Grid Accent 2"/>
    <w:basedOn w:val="TableNormal"/>
    <w:uiPriority w:val="62"/>
    <w:semiHidden/>
    <w:unhideWhenUsed/>
    <w:rsid w:val="009F072B"/>
    <w:pPr>
      <w:spacing w:line="240" w:lineRule="auto"/>
    </w:pPr>
    <w:rPr>
      <w:rFonts w:eastAsiaTheme="minorHAnsi"/>
    </w:rPr>
    <w:tblPr>
      <w:tblStyleRowBandSize w:val="1"/>
      <w:tblStyleColBandSize w:val="1"/>
      <w:tblBorders>
        <w:top w:val="single" w:sz="8" w:space="0" w:color="2297AA" w:themeColor="accent2"/>
        <w:left w:val="single" w:sz="8" w:space="0" w:color="2297AA" w:themeColor="accent2"/>
        <w:bottom w:val="single" w:sz="8" w:space="0" w:color="2297AA" w:themeColor="accent2"/>
        <w:right w:val="single" w:sz="8" w:space="0" w:color="2297AA" w:themeColor="accent2"/>
        <w:insideH w:val="single" w:sz="8" w:space="0" w:color="2297AA" w:themeColor="accent2"/>
        <w:insideV w:val="single" w:sz="8" w:space="0" w:color="2297A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297AA" w:themeColor="accent2"/>
          <w:left w:val="single" w:sz="8" w:space="0" w:color="2297AA" w:themeColor="accent2"/>
          <w:bottom w:val="single" w:sz="18" w:space="0" w:color="2297AA" w:themeColor="accent2"/>
          <w:right w:val="single" w:sz="8" w:space="0" w:color="2297AA" w:themeColor="accent2"/>
          <w:insideH w:val="nil"/>
          <w:insideV w:val="single" w:sz="8" w:space="0" w:color="2297A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297AA" w:themeColor="accent2"/>
          <w:left w:val="single" w:sz="8" w:space="0" w:color="2297AA" w:themeColor="accent2"/>
          <w:bottom w:val="single" w:sz="8" w:space="0" w:color="2297AA" w:themeColor="accent2"/>
          <w:right w:val="single" w:sz="8" w:space="0" w:color="2297AA" w:themeColor="accent2"/>
          <w:insideH w:val="nil"/>
          <w:insideV w:val="single" w:sz="8" w:space="0" w:color="2297A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297AA" w:themeColor="accent2"/>
          <w:left w:val="single" w:sz="8" w:space="0" w:color="2297AA" w:themeColor="accent2"/>
          <w:bottom w:val="single" w:sz="8" w:space="0" w:color="2297AA" w:themeColor="accent2"/>
          <w:right w:val="single" w:sz="8" w:space="0" w:color="2297AA" w:themeColor="accent2"/>
        </w:tcBorders>
      </w:tcPr>
    </w:tblStylePr>
    <w:tblStylePr w:type="band1Vert">
      <w:tblPr/>
      <w:tcPr>
        <w:tcBorders>
          <w:top w:val="single" w:sz="8" w:space="0" w:color="2297AA" w:themeColor="accent2"/>
          <w:left w:val="single" w:sz="8" w:space="0" w:color="2297AA" w:themeColor="accent2"/>
          <w:bottom w:val="single" w:sz="8" w:space="0" w:color="2297AA" w:themeColor="accent2"/>
          <w:right w:val="single" w:sz="8" w:space="0" w:color="2297AA" w:themeColor="accent2"/>
        </w:tcBorders>
        <w:shd w:val="clear" w:color="auto" w:fill="BFEBF2" w:themeFill="accent2" w:themeFillTint="3F"/>
      </w:tcPr>
    </w:tblStylePr>
    <w:tblStylePr w:type="band1Horz">
      <w:tblPr/>
      <w:tcPr>
        <w:tcBorders>
          <w:top w:val="single" w:sz="8" w:space="0" w:color="2297AA" w:themeColor="accent2"/>
          <w:left w:val="single" w:sz="8" w:space="0" w:color="2297AA" w:themeColor="accent2"/>
          <w:bottom w:val="single" w:sz="8" w:space="0" w:color="2297AA" w:themeColor="accent2"/>
          <w:right w:val="single" w:sz="8" w:space="0" w:color="2297AA" w:themeColor="accent2"/>
          <w:insideV w:val="single" w:sz="8" w:space="0" w:color="2297AA" w:themeColor="accent2"/>
        </w:tcBorders>
        <w:shd w:val="clear" w:color="auto" w:fill="BFEBF2" w:themeFill="accent2" w:themeFillTint="3F"/>
      </w:tcPr>
    </w:tblStylePr>
    <w:tblStylePr w:type="band2Horz">
      <w:tblPr/>
      <w:tcPr>
        <w:tcBorders>
          <w:top w:val="single" w:sz="8" w:space="0" w:color="2297AA" w:themeColor="accent2"/>
          <w:left w:val="single" w:sz="8" w:space="0" w:color="2297AA" w:themeColor="accent2"/>
          <w:bottom w:val="single" w:sz="8" w:space="0" w:color="2297AA" w:themeColor="accent2"/>
          <w:right w:val="single" w:sz="8" w:space="0" w:color="2297AA" w:themeColor="accent2"/>
          <w:insideV w:val="single" w:sz="8" w:space="0" w:color="2297AA" w:themeColor="accent2"/>
        </w:tcBorders>
      </w:tcPr>
    </w:tblStylePr>
  </w:style>
  <w:style w:type="table" w:styleId="LightGrid-Accent3">
    <w:name w:val="Light Grid Accent 3"/>
    <w:basedOn w:val="TableNormal"/>
    <w:uiPriority w:val="62"/>
    <w:semiHidden/>
    <w:unhideWhenUsed/>
    <w:rsid w:val="009F072B"/>
    <w:pPr>
      <w:spacing w:line="240" w:lineRule="auto"/>
    </w:pPr>
    <w:rPr>
      <w:rFonts w:eastAsiaTheme="minorHAnsi"/>
    </w:rPr>
    <w:tblPr>
      <w:tblStyleRowBandSize w:val="1"/>
      <w:tblStyleColBandSize w:val="1"/>
      <w:tblBorders>
        <w:top w:val="single" w:sz="8" w:space="0" w:color="37BA95" w:themeColor="accent3"/>
        <w:left w:val="single" w:sz="8" w:space="0" w:color="37BA95" w:themeColor="accent3"/>
        <w:bottom w:val="single" w:sz="8" w:space="0" w:color="37BA95" w:themeColor="accent3"/>
        <w:right w:val="single" w:sz="8" w:space="0" w:color="37BA95" w:themeColor="accent3"/>
        <w:insideH w:val="single" w:sz="8" w:space="0" w:color="37BA95" w:themeColor="accent3"/>
        <w:insideV w:val="single" w:sz="8" w:space="0" w:color="37BA9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BA95" w:themeColor="accent3"/>
          <w:left w:val="single" w:sz="8" w:space="0" w:color="37BA95" w:themeColor="accent3"/>
          <w:bottom w:val="single" w:sz="18" w:space="0" w:color="37BA95" w:themeColor="accent3"/>
          <w:right w:val="single" w:sz="8" w:space="0" w:color="37BA95" w:themeColor="accent3"/>
          <w:insideH w:val="nil"/>
          <w:insideV w:val="single" w:sz="8" w:space="0" w:color="37BA9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BA95" w:themeColor="accent3"/>
          <w:left w:val="single" w:sz="8" w:space="0" w:color="37BA95" w:themeColor="accent3"/>
          <w:bottom w:val="single" w:sz="8" w:space="0" w:color="37BA95" w:themeColor="accent3"/>
          <w:right w:val="single" w:sz="8" w:space="0" w:color="37BA95" w:themeColor="accent3"/>
          <w:insideH w:val="nil"/>
          <w:insideV w:val="single" w:sz="8" w:space="0" w:color="37BA9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BA95" w:themeColor="accent3"/>
          <w:left w:val="single" w:sz="8" w:space="0" w:color="37BA95" w:themeColor="accent3"/>
          <w:bottom w:val="single" w:sz="8" w:space="0" w:color="37BA95" w:themeColor="accent3"/>
          <w:right w:val="single" w:sz="8" w:space="0" w:color="37BA95" w:themeColor="accent3"/>
        </w:tcBorders>
      </w:tcPr>
    </w:tblStylePr>
    <w:tblStylePr w:type="band1Vert">
      <w:tblPr/>
      <w:tcPr>
        <w:tcBorders>
          <w:top w:val="single" w:sz="8" w:space="0" w:color="37BA95" w:themeColor="accent3"/>
          <w:left w:val="single" w:sz="8" w:space="0" w:color="37BA95" w:themeColor="accent3"/>
          <w:bottom w:val="single" w:sz="8" w:space="0" w:color="37BA95" w:themeColor="accent3"/>
          <w:right w:val="single" w:sz="8" w:space="0" w:color="37BA95" w:themeColor="accent3"/>
        </w:tcBorders>
        <w:shd w:val="clear" w:color="auto" w:fill="CBEFE5" w:themeFill="accent3" w:themeFillTint="3F"/>
      </w:tcPr>
    </w:tblStylePr>
    <w:tblStylePr w:type="band1Horz">
      <w:tblPr/>
      <w:tcPr>
        <w:tcBorders>
          <w:top w:val="single" w:sz="8" w:space="0" w:color="37BA95" w:themeColor="accent3"/>
          <w:left w:val="single" w:sz="8" w:space="0" w:color="37BA95" w:themeColor="accent3"/>
          <w:bottom w:val="single" w:sz="8" w:space="0" w:color="37BA95" w:themeColor="accent3"/>
          <w:right w:val="single" w:sz="8" w:space="0" w:color="37BA95" w:themeColor="accent3"/>
          <w:insideV w:val="single" w:sz="8" w:space="0" w:color="37BA95" w:themeColor="accent3"/>
        </w:tcBorders>
        <w:shd w:val="clear" w:color="auto" w:fill="CBEFE5" w:themeFill="accent3" w:themeFillTint="3F"/>
      </w:tcPr>
    </w:tblStylePr>
    <w:tblStylePr w:type="band2Horz">
      <w:tblPr/>
      <w:tcPr>
        <w:tcBorders>
          <w:top w:val="single" w:sz="8" w:space="0" w:color="37BA95" w:themeColor="accent3"/>
          <w:left w:val="single" w:sz="8" w:space="0" w:color="37BA95" w:themeColor="accent3"/>
          <w:bottom w:val="single" w:sz="8" w:space="0" w:color="37BA95" w:themeColor="accent3"/>
          <w:right w:val="single" w:sz="8" w:space="0" w:color="37BA95" w:themeColor="accent3"/>
          <w:insideV w:val="single" w:sz="8" w:space="0" w:color="37BA95" w:themeColor="accent3"/>
        </w:tcBorders>
      </w:tcPr>
    </w:tblStylePr>
  </w:style>
  <w:style w:type="table" w:styleId="LightGrid-Accent4">
    <w:name w:val="Light Grid Accent 4"/>
    <w:basedOn w:val="TableNormal"/>
    <w:uiPriority w:val="62"/>
    <w:semiHidden/>
    <w:unhideWhenUsed/>
    <w:rsid w:val="009F072B"/>
    <w:pPr>
      <w:spacing w:line="240" w:lineRule="auto"/>
    </w:pPr>
    <w:rPr>
      <w:rFonts w:eastAsiaTheme="minorHAnsi"/>
    </w:rPr>
    <w:tblPr>
      <w:tblStyleRowBandSize w:val="1"/>
      <w:tblStyleColBandSize w:val="1"/>
      <w:tblBorders>
        <w:top w:val="single" w:sz="8" w:space="0" w:color="F3BD48" w:themeColor="accent4"/>
        <w:left w:val="single" w:sz="8" w:space="0" w:color="F3BD48" w:themeColor="accent4"/>
        <w:bottom w:val="single" w:sz="8" w:space="0" w:color="F3BD48" w:themeColor="accent4"/>
        <w:right w:val="single" w:sz="8" w:space="0" w:color="F3BD48" w:themeColor="accent4"/>
        <w:insideH w:val="single" w:sz="8" w:space="0" w:color="F3BD48" w:themeColor="accent4"/>
        <w:insideV w:val="single" w:sz="8" w:space="0" w:color="F3BD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3BD48" w:themeColor="accent4"/>
          <w:left w:val="single" w:sz="8" w:space="0" w:color="F3BD48" w:themeColor="accent4"/>
          <w:bottom w:val="single" w:sz="18" w:space="0" w:color="F3BD48" w:themeColor="accent4"/>
          <w:right w:val="single" w:sz="8" w:space="0" w:color="F3BD48" w:themeColor="accent4"/>
          <w:insideH w:val="nil"/>
          <w:insideV w:val="single" w:sz="8" w:space="0" w:color="F3BD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3BD48" w:themeColor="accent4"/>
          <w:left w:val="single" w:sz="8" w:space="0" w:color="F3BD48" w:themeColor="accent4"/>
          <w:bottom w:val="single" w:sz="8" w:space="0" w:color="F3BD48" w:themeColor="accent4"/>
          <w:right w:val="single" w:sz="8" w:space="0" w:color="F3BD48" w:themeColor="accent4"/>
          <w:insideH w:val="nil"/>
          <w:insideV w:val="single" w:sz="8" w:space="0" w:color="F3BD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3BD48" w:themeColor="accent4"/>
          <w:left w:val="single" w:sz="8" w:space="0" w:color="F3BD48" w:themeColor="accent4"/>
          <w:bottom w:val="single" w:sz="8" w:space="0" w:color="F3BD48" w:themeColor="accent4"/>
          <w:right w:val="single" w:sz="8" w:space="0" w:color="F3BD48" w:themeColor="accent4"/>
        </w:tcBorders>
      </w:tcPr>
    </w:tblStylePr>
    <w:tblStylePr w:type="band1Vert">
      <w:tblPr/>
      <w:tcPr>
        <w:tcBorders>
          <w:top w:val="single" w:sz="8" w:space="0" w:color="F3BD48" w:themeColor="accent4"/>
          <w:left w:val="single" w:sz="8" w:space="0" w:color="F3BD48" w:themeColor="accent4"/>
          <w:bottom w:val="single" w:sz="8" w:space="0" w:color="F3BD48" w:themeColor="accent4"/>
          <w:right w:val="single" w:sz="8" w:space="0" w:color="F3BD48" w:themeColor="accent4"/>
        </w:tcBorders>
        <w:shd w:val="clear" w:color="auto" w:fill="FCEED1" w:themeFill="accent4" w:themeFillTint="3F"/>
      </w:tcPr>
    </w:tblStylePr>
    <w:tblStylePr w:type="band1Horz">
      <w:tblPr/>
      <w:tcPr>
        <w:tcBorders>
          <w:top w:val="single" w:sz="8" w:space="0" w:color="F3BD48" w:themeColor="accent4"/>
          <w:left w:val="single" w:sz="8" w:space="0" w:color="F3BD48" w:themeColor="accent4"/>
          <w:bottom w:val="single" w:sz="8" w:space="0" w:color="F3BD48" w:themeColor="accent4"/>
          <w:right w:val="single" w:sz="8" w:space="0" w:color="F3BD48" w:themeColor="accent4"/>
          <w:insideV w:val="single" w:sz="8" w:space="0" w:color="F3BD48" w:themeColor="accent4"/>
        </w:tcBorders>
        <w:shd w:val="clear" w:color="auto" w:fill="FCEED1" w:themeFill="accent4" w:themeFillTint="3F"/>
      </w:tcPr>
    </w:tblStylePr>
    <w:tblStylePr w:type="band2Horz">
      <w:tblPr/>
      <w:tcPr>
        <w:tcBorders>
          <w:top w:val="single" w:sz="8" w:space="0" w:color="F3BD48" w:themeColor="accent4"/>
          <w:left w:val="single" w:sz="8" w:space="0" w:color="F3BD48" w:themeColor="accent4"/>
          <w:bottom w:val="single" w:sz="8" w:space="0" w:color="F3BD48" w:themeColor="accent4"/>
          <w:right w:val="single" w:sz="8" w:space="0" w:color="F3BD48" w:themeColor="accent4"/>
          <w:insideV w:val="single" w:sz="8" w:space="0" w:color="F3BD48" w:themeColor="accent4"/>
        </w:tcBorders>
      </w:tcPr>
    </w:tblStylePr>
  </w:style>
  <w:style w:type="table" w:styleId="LightGrid-Accent5">
    <w:name w:val="Light Grid Accent 5"/>
    <w:basedOn w:val="TableNormal"/>
    <w:uiPriority w:val="62"/>
    <w:semiHidden/>
    <w:unhideWhenUsed/>
    <w:rsid w:val="009F072B"/>
    <w:pPr>
      <w:spacing w:line="240" w:lineRule="auto"/>
    </w:pPr>
    <w:rPr>
      <w:rFonts w:eastAsiaTheme="minorHAnsi"/>
    </w:rPr>
    <w:tblPr>
      <w:tblStyleRowBandSize w:val="1"/>
      <w:tblStyleColBandSize w:val="1"/>
      <w:tblBorders>
        <w:top w:val="single" w:sz="8" w:space="0" w:color="F26A25" w:themeColor="accent5"/>
        <w:left w:val="single" w:sz="8" w:space="0" w:color="F26A25" w:themeColor="accent5"/>
        <w:bottom w:val="single" w:sz="8" w:space="0" w:color="F26A25" w:themeColor="accent5"/>
        <w:right w:val="single" w:sz="8" w:space="0" w:color="F26A25" w:themeColor="accent5"/>
        <w:insideH w:val="single" w:sz="8" w:space="0" w:color="F26A25" w:themeColor="accent5"/>
        <w:insideV w:val="single" w:sz="8" w:space="0" w:color="F26A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A25" w:themeColor="accent5"/>
          <w:left w:val="single" w:sz="8" w:space="0" w:color="F26A25" w:themeColor="accent5"/>
          <w:bottom w:val="single" w:sz="18" w:space="0" w:color="F26A25" w:themeColor="accent5"/>
          <w:right w:val="single" w:sz="8" w:space="0" w:color="F26A25" w:themeColor="accent5"/>
          <w:insideH w:val="nil"/>
          <w:insideV w:val="single" w:sz="8" w:space="0" w:color="F26A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A25" w:themeColor="accent5"/>
          <w:left w:val="single" w:sz="8" w:space="0" w:color="F26A25" w:themeColor="accent5"/>
          <w:bottom w:val="single" w:sz="8" w:space="0" w:color="F26A25" w:themeColor="accent5"/>
          <w:right w:val="single" w:sz="8" w:space="0" w:color="F26A25" w:themeColor="accent5"/>
          <w:insideH w:val="nil"/>
          <w:insideV w:val="single" w:sz="8" w:space="0" w:color="F26A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A25" w:themeColor="accent5"/>
          <w:left w:val="single" w:sz="8" w:space="0" w:color="F26A25" w:themeColor="accent5"/>
          <w:bottom w:val="single" w:sz="8" w:space="0" w:color="F26A25" w:themeColor="accent5"/>
          <w:right w:val="single" w:sz="8" w:space="0" w:color="F26A25" w:themeColor="accent5"/>
        </w:tcBorders>
      </w:tcPr>
    </w:tblStylePr>
    <w:tblStylePr w:type="band1Vert">
      <w:tblPr/>
      <w:tcPr>
        <w:tcBorders>
          <w:top w:val="single" w:sz="8" w:space="0" w:color="F26A25" w:themeColor="accent5"/>
          <w:left w:val="single" w:sz="8" w:space="0" w:color="F26A25" w:themeColor="accent5"/>
          <w:bottom w:val="single" w:sz="8" w:space="0" w:color="F26A25" w:themeColor="accent5"/>
          <w:right w:val="single" w:sz="8" w:space="0" w:color="F26A25" w:themeColor="accent5"/>
        </w:tcBorders>
        <w:shd w:val="clear" w:color="auto" w:fill="FBD9C8" w:themeFill="accent5" w:themeFillTint="3F"/>
      </w:tcPr>
    </w:tblStylePr>
    <w:tblStylePr w:type="band1Horz">
      <w:tblPr/>
      <w:tcPr>
        <w:tcBorders>
          <w:top w:val="single" w:sz="8" w:space="0" w:color="F26A25" w:themeColor="accent5"/>
          <w:left w:val="single" w:sz="8" w:space="0" w:color="F26A25" w:themeColor="accent5"/>
          <w:bottom w:val="single" w:sz="8" w:space="0" w:color="F26A25" w:themeColor="accent5"/>
          <w:right w:val="single" w:sz="8" w:space="0" w:color="F26A25" w:themeColor="accent5"/>
          <w:insideV w:val="single" w:sz="8" w:space="0" w:color="F26A25" w:themeColor="accent5"/>
        </w:tcBorders>
        <w:shd w:val="clear" w:color="auto" w:fill="FBD9C8" w:themeFill="accent5" w:themeFillTint="3F"/>
      </w:tcPr>
    </w:tblStylePr>
    <w:tblStylePr w:type="band2Horz">
      <w:tblPr/>
      <w:tcPr>
        <w:tcBorders>
          <w:top w:val="single" w:sz="8" w:space="0" w:color="F26A25" w:themeColor="accent5"/>
          <w:left w:val="single" w:sz="8" w:space="0" w:color="F26A25" w:themeColor="accent5"/>
          <w:bottom w:val="single" w:sz="8" w:space="0" w:color="F26A25" w:themeColor="accent5"/>
          <w:right w:val="single" w:sz="8" w:space="0" w:color="F26A25" w:themeColor="accent5"/>
          <w:insideV w:val="single" w:sz="8" w:space="0" w:color="F26A25" w:themeColor="accent5"/>
        </w:tcBorders>
      </w:tcPr>
    </w:tblStylePr>
  </w:style>
  <w:style w:type="table" w:styleId="LightGrid-Accent6">
    <w:name w:val="Light Grid Accent 6"/>
    <w:basedOn w:val="TableNormal"/>
    <w:uiPriority w:val="62"/>
    <w:semiHidden/>
    <w:unhideWhenUsed/>
    <w:rsid w:val="009F072B"/>
    <w:pPr>
      <w:spacing w:line="240" w:lineRule="auto"/>
    </w:pPr>
    <w:rPr>
      <w:rFonts w:eastAsiaTheme="minorHAnsi"/>
    </w:rPr>
    <w:tblPr>
      <w:tblStyleRowBandSize w:val="1"/>
      <w:tblStyleColBandSize w:val="1"/>
      <w:tblBorders>
        <w:top w:val="single" w:sz="8" w:space="0" w:color="CD3E71" w:themeColor="accent6"/>
        <w:left w:val="single" w:sz="8" w:space="0" w:color="CD3E71" w:themeColor="accent6"/>
        <w:bottom w:val="single" w:sz="8" w:space="0" w:color="CD3E71" w:themeColor="accent6"/>
        <w:right w:val="single" w:sz="8" w:space="0" w:color="CD3E71" w:themeColor="accent6"/>
        <w:insideH w:val="single" w:sz="8" w:space="0" w:color="CD3E71" w:themeColor="accent6"/>
        <w:insideV w:val="single" w:sz="8" w:space="0" w:color="CD3E7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3E71" w:themeColor="accent6"/>
          <w:left w:val="single" w:sz="8" w:space="0" w:color="CD3E71" w:themeColor="accent6"/>
          <w:bottom w:val="single" w:sz="18" w:space="0" w:color="CD3E71" w:themeColor="accent6"/>
          <w:right w:val="single" w:sz="8" w:space="0" w:color="CD3E71" w:themeColor="accent6"/>
          <w:insideH w:val="nil"/>
          <w:insideV w:val="single" w:sz="8" w:space="0" w:color="CD3E7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3E71" w:themeColor="accent6"/>
          <w:left w:val="single" w:sz="8" w:space="0" w:color="CD3E71" w:themeColor="accent6"/>
          <w:bottom w:val="single" w:sz="8" w:space="0" w:color="CD3E71" w:themeColor="accent6"/>
          <w:right w:val="single" w:sz="8" w:space="0" w:color="CD3E71" w:themeColor="accent6"/>
          <w:insideH w:val="nil"/>
          <w:insideV w:val="single" w:sz="8" w:space="0" w:color="CD3E7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3E71" w:themeColor="accent6"/>
          <w:left w:val="single" w:sz="8" w:space="0" w:color="CD3E71" w:themeColor="accent6"/>
          <w:bottom w:val="single" w:sz="8" w:space="0" w:color="CD3E71" w:themeColor="accent6"/>
          <w:right w:val="single" w:sz="8" w:space="0" w:color="CD3E71" w:themeColor="accent6"/>
        </w:tcBorders>
      </w:tcPr>
    </w:tblStylePr>
    <w:tblStylePr w:type="band1Vert">
      <w:tblPr/>
      <w:tcPr>
        <w:tcBorders>
          <w:top w:val="single" w:sz="8" w:space="0" w:color="CD3E71" w:themeColor="accent6"/>
          <w:left w:val="single" w:sz="8" w:space="0" w:color="CD3E71" w:themeColor="accent6"/>
          <w:bottom w:val="single" w:sz="8" w:space="0" w:color="CD3E71" w:themeColor="accent6"/>
          <w:right w:val="single" w:sz="8" w:space="0" w:color="CD3E71" w:themeColor="accent6"/>
        </w:tcBorders>
        <w:shd w:val="clear" w:color="auto" w:fill="F2CFDB" w:themeFill="accent6" w:themeFillTint="3F"/>
      </w:tcPr>
    </w:tblStylePr>
    <w:tblStylePr w:type="band1Horz">
      <w:tblPr/>
      <w:tcPr>
        <w:tcBorders>
          <w:top w:val="single" w:sz="8" w:space="0" w:color="CD3E71" w:themeColor="accent6"/>
          <w:left w:val="single" w:sz="8" w:space="0" w:color="CD3E71" w:themeColor="accent6"/>
          <w:bottom w:val="single" w:sz="8" w:space="0" w:color="CD3E71" w:themeColor="accent6"/>
          <w:right w:val="single" w:sz="8" w:space="0" w:color="CD3E71" w:themeColor="accent6"/>
          <w:insideV w:val="single" w:sz="8" w:space="0" w:color="CD3E71" w:themeColor="accent6"/>
        </w:tcBorders>
        <w:shd w:val="clear" w:color="auto" w:fill="F2CFDB" w:themeFill="accent6" w:themeFillTint="3F"/>
      </w:tcPr>
    </w:tblStylePr>
    <w:tblStylePr w:type="band2Horz">
      <w:tblPr/>
      <w:tcPr>
        <w:tcBorders>
          <w:top w:val="single" w:sz="8" w:space="0" w:color="CD3E71" w:themeColor="accent6"/>
          <w:left w:val="single" w:sz="8" w:space="0" w:color="CD3E71" w:themeColor="accent6"/>
          <w:bottom w:val="single" w:sz="8" w:space="0" w:color="CD3E71" w:themeColor="accent6"/>
          <w:right w:val="single" w:sz="8" w:space="0" w:color="CD3E71" w:themeColor="accent6"/>
          <w:insideV w:val="single" w:sz="8" w:space="0" w:color="CD3E71" w:themeColor="accent6"/>
        </w:tcBorders>
      </w:tcPr>
    </w:tblStylePr>
  </w:style>
  <w:style w:type="table" w:styleId="LightList">
    <w:name w:val="Light List"/>
    <w:basedOn w:val="TableNormal"/>
    <w:uiPriority w:val="61"/>
    <w:semiHidden/>
    <w:unhideWhenUsed/>
    <w:rsid w:val="009F072B"/>
    <w:pPr>
      <w:spacing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F072B"/>
    <w:pPr>
      <w:spacing w:line="240" w:lineRule="auto"/>
    </w:pPr>
    <w:rPr>
      <w:rFonts w:eastAsiaTheme="minorHAnsi"/>
    </w:rPr>
    <w:tblPr>
      <w:tblStyleRowBandSize w:val="1"/>
      <w:tblStyleColBandSize w:val="1"/>
      <w:tblBorders>
        <w:top w:val="single" w:sz="8" w:space="0" w:color="1B3D6F" w:themeColor="accent1"/>
        <w:left w:val="single" w:sz="8" w:space="0" w:color="1B3D6F" w:themeColor="accent1"/>
        <w:bottom w:val="single" w:sz="8" w:space="0" w:color="1B3D6F" w:themeColor="accent1"/>
        <w:right w:val="single" w:sz="8" w:space="0" w:color="1B3D6F" w:themeColor="accent1"/>
      </w:tblBorders>
    </w:tblPr>
    <w:tblStylePr w:type="firstRow">
      <w:pPr>
        <w:spacing w:before="0" w:after="0" w:line="240" w:lineRule="auto"/>
      </w:pPr>
      <w:rPr>
        <w:b/>
        <w:bCs/>
        <w:color w:val="FFFFFF" w:themeColor="background1"/>
      </w:rPr>
      <w:tblPr/>
      <w:tcPr>
        <w:shd w:val="clear" w:color="auto" w:fill="1B3D6F" w:themeFill="accent1"/>
      </w:tcPr>
    </w:tblStylePr>
    <w:tblStylePr w:type="lastRow">
      <w:pPr>
        <w:spacing w:before="0" w:after="0" w:line="240" w:lineRule="auto"/>
      </w:pPr>
      <w:rPr>
        <w:b/>
        <w:bCs/>
      </w:rPr>
      <w:tblPr/>
      <w:tcPr>
        <w:tcBorders>
          <w:top w:val="double" w:sz="6" w:space="0" w:color="1B3D6F" w:themeColor="accent1"/>
          <w:left w:val="single" w:sz="8" w:space="0" w:color="1B3D6F" w:themeColor="accent1"/>
          <w:bottom w:val="single" w:sz="8" w:space="0" w:color="1B3D6F" w:themeColor="accent1"/>
          <w:right w:val="single" w:sz="8" w:space="0" w:color="1B3D6F" w:themeColor="accent1"/>
        </w:tcBorders>
      </w:tcPr>
    </w:tblStylePr>
    <w:tblStylePr w:type="firstCol">
      <w:rPr>
        <w:b/>
        <w:bCs/>
      </w:rPr>
    </w:tblStylePr>
    <w:tblStylePr w:type="lastCol">
      <w:rPr>
        <w:b/>
        <w:bCs/>
      </w:rPr>
    </w:tblStylePr>
    <w:tblStylePr w:type="band1Vert">
      <w:tblPr/>
      <w:tcPr>
        <w:tcBorders>
          <w:top w:val="single" w:sz="8" w:space="0" w:color="1B3D6F" w:themeColor="accent1"/>
          <w:left w:val="single" w:sz="8" w:space="0" w:color="1B3D6F" w:themeColor="accent1"/>
          <w:bottom w:val="single" w:sz="8" w:space="0" w:color="1B3D6F" w:themeColor="accent1"/>
          <w:right w:val="single" w:sz="8" w:space="0" w:color="1B3D6F" w:themeColor="accent1"/>
        </w:tcBorders>
      </w:tcPr>
    </w:tblStylePr>
    <w:tblStylePr w:type="band1Horz">
      <w:tblPr/>
      <w:tcPr>
        <w:tcBorders>
          <w:top w:val="single" w:sz="8" w:space="0" w:color="1B3D6F" w:themeColor="accent1"/>
          <w:left w:val="single" w:sz="8" w:space="0" w:color="1B3D6F" w:themeColor="accent1"/>
          <w:bottom w:val="single" w:sz="8" w:space="0" w:color="1B3D6F" w:themeColor="accent1"/>
          <w:right w:val="single" w:sz="8" w:space="0" w:color="1B3D6F" w:themeColor="accent1"/>
        </w:tcBorders>
      </w:tcPr>
    </w:tblStylePr>
  </w:style>
  <w:style w:type="table" w:styleId="LightList-Accent2">
    <w:name w:val="Light List Accent 2"/>
    <w:basedOn w:val="TableNormal"/>
    <w:uiPriority w:val="61"/>
    <w:semiHidden/>
    <w:unhideWhenUsed/>
    <w:rsid w:val="009F072B"/>
    <w:pPr>
      <w:spacing w:line="240" w:lineRule="auto"/>
    </w:pPr>
    <w:rPr>
      <w:rFonts w:eastAsiaTheme="minorHAnsi"/>
    </w:rPr>
    <w:tblPr>
      <w:tblStyleRowBandSize w:val="1"/>
      <w:tblStyleColBandSize w:val="1"/>
      <w:tblBorders>
        <w:top w:val="single" w:sz="8" w:space="0" w:color="2297AA" w:themeColor="accent2"/>
        <w:left w:val="single" w:sz="8" w:space="0" w:color="2297AA" w:themeColor="accent2"/>
        <w:bottom w:val="single" w:sz="8" w:space="0" w:color="2297AA" w:themeColor="accent2"/>
        <w:right w:val="single" w:sz="8" w:space="0" w:color="2297AA" w:themeColor="accent2"/>
      </w:tblBorders>
    </w:tblPr>
    <w:tblStylePr w:type="firstRow">
      <w:pPr>
        <w:spacing w:before="0" w:after="0" w:line="240" w:lineRule="auto"/>
      </w:pPr>
      <w:rPr>
        <w:b/>
        <w:bCs/>
        <w:color w:val="FFFFFF" w:themeColor="background1"/>
      </w:rPr>
      <w:tblPr/>
      <w:tcPr>
        <w:shd w:val="clear" w:color="auto" w:fill="2297AA" w:themeFill="accent2"/>
      </w:tcPr>
    </w:tblStylePr>
    <w:tblStylePr w:type="lastRow">
      <w:pPr>
        <w:spacing w:before="0" w:after="0" w:line="240" w:lineRule="auto"/>
      </w:pPr>
      <w:rPr>
        <w:b/>
        <w:bCs/>
      </w:rPr>
      <w:tblPr/>
      <w:tcPr>
        <w:tcBorders>
          <w:top w:val="double" w:sz="6" w:space="0" w:color="2297AA" w:themeColor="accent2"/>
          <w:left w:val="single" w:sz="8" w:space="0" w:color="2297AA" w:themeColor="accent2"/>
          <w:bottom w:val="single" w:sz="8" w:space="0" w:color="2297AA" w:themeColor="accent2"/>
          <w:right w:val="single" w:sz="8" w:space="0" w:color="2297AA" w:themeColor="accent2"/>
        </w:tcBorders>
      </w:tcPr>
    </w:tblStylePr>
    <w:tblStylePr w:type="firstCol">
      <w:rPr>
        <w:b/>
        <w:bCs/>
      </w:rPr>
    </w:tblStylePr>
    <w:tblStylePr w:type="lastCol">
      <w:rPr>
        <w:b/>
        <w:bCs/>
      </w:rPr>
    </w:tblStylePr>
    <w:tblStylePr w:type="band1Vert">
      <w:tblPr/>
      <w:tcPr>
        <w:tcBorders>
          <w:top w:val="single" w:sz="8" w:space="0" w:color="2297AA" w:themeColor="accent2"/>
          <w:left w:val="single" w:sz="8" w:space="0" w:color="2297AA" w:themeColor="accent2"/>
          <w:bottom w:val="single" w:sz="8" w:space="0" w:color="2297AA" w:themeColor="accent2"/>
          <w:right w:val="single" w:sz="8" w:space="0" w:color="2297AA" w:themeColor="accent2"/>
        </w:tcBorders>
      </w:tcPr>
    </w:tblStylePr>
    <w:tblStylePr w:type="band1Horz">
      <w:tblPr/>
      <w:tcPr>
        <w:tcBorders>
          <w:top w:val="single" w:sz="8" w:space="0" w:color="2297AA" w:themeColor="accent2"/>
          <w:left w:val="single" w:sz="8" w:space="0" w:color="2297AA" w:themeColor="accent2"/>
          <w:bottom w:val="single" w:sz="8" w:space="0" w:color="2297AA" w:themeColor="accent2"/>
          <w:right w:val="single" w:sz="8" w:space="0" w:color="2297AA" w:themeColor="accent2"/>
        </w:tcBorders>
      </w:tcPr>
    </w:tblStylePr>
  </w:style>
  <w:style w:type="table" w:styleId="LightList-Accent3">
    <w:name w:val="Light List Accent 3"/>
    <w:basedOn w:val="TableNormal"/>
    <w:uiPriority w:val="61"/>
    <w:semiHidden/>
    <w:unhideWhenUsed/>
    <w:rsid w:val="009F072B"/>
    <w:pPr>
      <w:spacing w:line="240" w:lineRule="auto"/>
    </w:pPr>
    <w:rPr>
      <w:rFonts w:eastAsiaTheme="minorHAnsi"/>
    </w:rPr>
    <w:tblPr>
      <w:tblStyleRowBandSize w:val="1"/>
      <w:tblStyleColBandSize w:val="1"/>
      <w:tblBorders>
        <w:top w:val="single" w:sz="8" w:space="0" w:color="37BA95" w:themeColor="accent3"/>
        <w:left w:val="single" w:sz="8" w:space="0" w:color="37BA95" w:themeColor="accent3"/>
        <w:bottom w:val="single" w:sz="8" w:space="0" w:color="37BA95" w:themeColor="accent3"/>
        <w:right w:val="single" w:sz="8" w:space="0" w:color="37BA95" w:themeColor="accent3"/>
      </w:tblBorders>
    </w:tblPr>
    <w:tblStylePr w:type="firstRow">
      <w:pPr>
        <w:spacing w:before="0" w:after="0" w:line="240" w:lineRule="auto"/>
      </w:pPr>
      <w:rPr>
        <w:b/>
        <w:bCs/>
        <w:color w:val="FFFFFF" w:themeColor="background1"/>
      </w:rPr>
      <w:tblPr/>
      <w:tcPr>
        <w:shd w:val="clear" w:color="auto" w:fill="37BA95" w:themeFill="accent3"/>
      </w:tcPr>
    </w:tblStylePr>
    <w:tblStylePr w:type="lastRow">
      <w:pPr>
        <w:spacing w:before="0" w:after="0" w:line="240" w:lineRule="auto"/>
      </w:pPr>
      <w:rPr>
        <w:b/>
        <w:bCs/>
      </w:rPr>
      <w:tblPr/>
      <w:tcPr>
        <w:tcBorders>
          <w:top w:val="double" w:sz="6" w:space="0" w:color="37BA95" w:themeColor="accent3"/>
          <w:left w:val="single" w:sz="8" w:space="0" w:color="37BA95" w:themeColor="accent3"/>
          <w:bottom w:val="single" w:sz="8" w:space="0" w:color="37BA95" w:themeColor="accent3"/>
          <w:right w:val="single" w:sz="8" w:space="0" w:color="37BA95" w:themeColor="accent3"/>
        </w:tcBorders>
      </w:tcPr>
    </w:tblStylePr>
    <w:tblStylePr w:type="firstCol">
      <w:rPr>
        <w:b/>
        <w:bCs/>
      </w:rPr>
    </w:tblStylePr>
    <w:tblStylePr w:type="lastCol">
      <w:rPr>
        <w:b/>
        <w:bCs/>
      </w:rPr>
    </w:tblStylePr>
    <w:tblStylePr w:type="band1Vert">
      <w:tblPr/>
      <w:tcPr>
        <w:tcBorders>
          <w:top w:val="single" w:sz="8" w:space="0" w:color="37BA95" w:themeColor="accent3"/>
          <w:left w:val="single" w:sz="8" w:space="0" w:color="37BA95" w:themeColor="accent3"/>
          <w:bottom w:val="single" w:sz="8" w:space="0" w:color="37BA95" w:themeColor="accent3"/>
          <w:right w:val="single" w:sz="8" w:space="0" w:color="37BA95" w:themeColor="accent3"/>
        </w:tcBorders>
      </w:tcPr>
    </w:tblStylePr>
    <w:tblStylePr w:type="band1Horz">
      <w:tblPr/>
      <w:tcPr>
        <w:tcBorders>
          <w:top w:val="single" w:sz="8" w:space="0" w:color="37BA95" w:themeColor="accent3"/>
          <w:left w:val="single" w:sz="8" w:space="0" w:color="37BA95" w:themeColor="accent3"/>
          <w:bottom w:val="single" w:sz="8" w:space="0" w:color="37BA95" w:themeColor="accent3"/>
          <w:right w:val="single" w:sz="8" w:space="0" w:color="37BA95" w:themeColor="accent3"/>
        </w:tcBorders>
      </w:tcPr>
    </w:tblStylePr>
  </w:style>
  <w:style w:type="table" w:styleId="LightList-Accent4">
    <w:name w:val="Light List Accent 4"/>
    <w:basedOn w:val="TableNormal"/>
    <w:uiPriority w:val="61"/>
    <w:semiHidden/>
    <w:unhideWhenUsed/>
    <w:rsid w:val="009F072B"/>
    <w:pPr>
      <w:spacing w:line="240" w:lineRule="auto"/>
    </w:pPr>
    <w:rPr>
      <w:rFonts w:eastAsiaTheme="minorHAnsi"/>
    </w:rPr>
    <w:tblPr>
      <w:tblStyleRowBandSize w:val="1"/>
      <w:tblStyleColBandSize w:val="1"/>
      <w:tblBorders>
        <w:top w:val="single" w:sz="8" w:space="0" w:color="F3BD48" w:themeColor="accent4"/>
        <w:left w:val="single" w:sz="8" w:space="0" w:color="F3BD48" w:themeColor="accent4"/>
        <w:bottom w:val="single" w:sz="8" w:space="0" w:color="F3BD48" w:themeColor="accent4"/>
        <w:right w:val="single" w:sz="8" w:space="0" w:color="F3BD48" w:themeColor="accent4"/>
      </w:tblBorders>
    </w:tblPr>
    <w:tblStylePr w:type="firstRow">
      <w:pPr>
        <w:spacing w:before="0" w:after="0" w:line="240" w:lineRule="auto"/>
      </w:pPr>
      <w:rPr>
        <w:b/>
        <w:bCs/>
        <w:color w:val="FFFFFF" w:themeColor="background1"/>
      </w:rPr>
      <w:tblPr/>
      <w:tcPr>
        <w:shd w:val="clear" w:color="auto" w:fill="F3BD48" w:themeFill="accent4"/>
      </w:tcPr>
    </w:tblStylePr>
    <w:tblStylePr w:type="lastRow">
      <w:pPr>
        <w:spacing w:before="0" w:after="0" w:line="240" w:lineRule="auto"/>
      </w:pPr>
      <w:rPr>
        <w:b/>
        <w:bCs/>
      </w:rPr>
      <w:tblPr/>
      <w:tcPr>
        <w:tcBorders>
          <w:top w:val="double" w:sz="6" w:space="0" w:color="F3BD48" w:themeColor="accent4"/>
          <w:left w:val="single" w:sz="8" w:space="0" w:color="F3BD48" w:themeColor="accent4"/>
          <w:bottom w:val="single" w:sz="8" w:space="0" w:color="F3BD48" w:themeColor="accent4"/>
          <w:right w:val="single" w:sz="8" w:space="0" w:color="F3BD48" w:themeColor="accent4"/>
        </w:tcBorders>
      </w:tcPr>
    </w:tblStylePr>
    <w:tblStylePr w:type="firstCol">
      <w:rPr>
        <w:b/>
        <w:bCs/>
      </w:rPr>
    </w:tblStylePr>
    <w:tblStylePr w:type="lastCol">
      <w:rPr>
        <w:b/>
        <w:bCs/>
      </w:rPr>
    </w:tblStylePr>
    <w:tblStylePr w:type="band1Vert">
      <w:tblPr/>
      <w:tcPr>
        <w:tcBorders>
          <w:top w:val="single" w:sz="8" w:space="0" w:color="F3BD48" w:themeColor="accent4"/>
          <w:left w:val="single" w:sz="8" w:space="0" w:color="F3BD48" w:themeColor="accent4"/>
          <w:bottom w:val="single" w:sz="8" w:space="0" w:color="F3BD48" w:themeColor="accent4"/>
          <w:right w:val="single" w:sz="8" w:space="0" w:color="F3BD48" w:themeColor="accent4"/>
        </w:tcBorders>
      </w:tcPr>
    </w:tblStylePr>
    <w:tblStylePr w:type="band1Horz">
      <w:tblPr/>
      <w:tcPr>
        <w:tcBorders>
          <w:top w:val="single" w:sz="8" w:space="0" w:color="F3BD48" w:themeColor="accent4"/>
          <w:left w:val="single" w:sz="8" w:space="0" w:color="F3BD48" w:themeColor="accent4"/>
          <w:bottom w:val="single" w:sz="8" w:space="0" w:color="F3BD48" w:themeColor="accent4"/>
          <w:right w:val="single" w:sz="8" w:space="0" w:color="F3BD48" w:themeColor="accent4"/>
        </w:tcBorders>
      </w:tcPr>
    </w:tblStylePr>
  </w:style>
  <w:style w:type="table" w:styleId="LightList-Accent6">
    <w:name w:val="Light List Accent 6"/>
    <w:basedOn w:val="TableNormal"/>
    <w:uiPriority w:val="61"/>
    <w:semiHidden/>
    <w:unhideWhenUsed/>
    <w:rsid w:val="009F072B"/>
    <w:pPr>
      <w:spacing w:line="240" w:lineRule="auto"/>
    </w:pPr>
    <w:rPr>
      <w:rFonts w:eastAsiaTheme="minorHAnsi"/>
    </w:rPr>
    <w:tblPr>
      <w:tblStyleRowBandSize w:val="1"/>
      <w:tblStyleColBandSize w:val="1"/>
      <w:tblBorders>
        <w:top w:val="single" w:sz="8" w:space="0" w:color="CD3E71" w:themeColor="accent6"/>
        <w:left w:val="single" w:sz="8" w:space="0" w:color="CD3E71" w:themeColor="accent6"/>
        <w:bottom w:val="single" w:sz="8" w:space="0" w:color="CD3E71" w:themeColor="accent6"/>
        <w:right w:val="single" w:sz="8" w:space="0" w:color="CD3E71" w:themeColor="accent6"/>
      </w:tblBorders>
    </w:tblPr>
    <w:tblStylePr w:type="firstRow">
      <w:pPr>
        <w:spacing w:before="0" w:after="0" w:line="240" w:lineRule="auto"/>
      </w:pPr>
      <w:rPr>
        <w:b/>
        <w:bCs/>
        <w:color w:val="FFFFFF" w:themeColor="background1"/>
      </w:rPr>
      <w:tblPr/>
      <w:tcPr>
        <w:shd w:val="clear" w:color="auto" w:fill="CD3E71" w:themeFill="accent6"/>
      </w:tcPr>
    </w:tblStylePr>
    <w:tblStylePr w:type="lastRow">
      <w:pPr>
        <w:spacing w:before="0" w:after="0" w:line="240" w:lineRule="auto"/>
      </w:pPr>
      <w:rPr>
        <w:b/>
        <w:bCs/>
      </w:rPr>
      <w:tblPr/>
      <w:tcPr>
        <w:tcBorders>
          <w:top w:val="double" w:sz="6" w:space="0" w:color="CD3E71" w:themeColor="accent6"/>
          <w:left w:val="single" w:sz="8" w:space="0" w:color="CD3E71" w:themeColor="accent6"/>
          <w:bottom w:val="single" w:sz="8" w:space="0" w:color="CD3E71" w:themeColor="accent6"/>
          <w:right w:val="single" w:sz="8" w:space="0" w:color="CD3E71" w:themeColor="accent6"/>
        </w:tcBorders>
      </w:tcPr>
    </w:tblStylePr>
    <w:tblStylePr w:type="firstCol">
      <w:rPr>
        <w:b/>
        <w:bCs/>
      </w:rPr>
    </w:tblStylePr>
    <w:tblStylePr w:type="lastCol">
      <w:rPr>
        <w:b/>
        <w:bCs/>
      </w:rPr>
    </w:tblStylePr>
    <w:tblStylePr w:type="band1Vert">
      <w:tblPr/>
      <w:tcPr>
        <w:tcBorders>
          <w:top w:val="single" w:sz="8" w:space="0" w:color="CD3E71" w:themeColor="accent6"/>
          <w:left w:val="single" w:sz="8" w:space="0" w:color="CD3E71" w:themeColor="accent6"/>
          <w:bottom w:val="single" w:sz="8" w:space="0" w:color="CD3E71" w:themeColor="accent6"/>
          <w:right w:val="single" w:sz="8" w:space="0" w:color="CD3E71" w:themeColor="accent6"/>
        </w:tcBorders>
      </w:tcPr>
    </w:tblStylePr>
    <w:tblStylePr w:type="band1Horz">
      <w:tblPr/>
      <w:tcPr>
        <w:tcBorders>
          <w:top w:val="single" w:sz="8" w:space="0" w:color="CD3E71" w:themeColor="accent6"/>
          <w:left w:val="single" w:sz="8" w:space="0" w:color="CD3E71" w:themeColor="accent6"/>
          <w:bottom w:val="single" w:sz="8" w:space="0" w:color="CD3E71" w:themeColor="accent6"/>
          <w:right w:val="single" w:sz="8" w:space="0" w:color="CD3E71" w:themeColor="accent6"/>
        </w:tcBorders>
      </w:tcPr>
    </w:tblStylePr>
  </w:style>
  <w:style w:type="table" w:styleId="LightShading">
    <w:name w:val="Light Shading"/>
    <w:basedOn w:val="TableNormal"/>
    <w:uiPriority w:val="60"/>
    <w:semiHidden/>
    <w:unhideWhenUsed/>
    <w:rsid w:val="009F072B"/>
    <w:pPr>
      <w:spacing w:line="240" w:lineRule="auto"/>
    </w:pPr>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F072B"/>
    <w:pPr>
      <w:spacing w:line="240" w:lineRule="auto"/>
    </w:pPr>
    <w:rPr>
      <w:rFonts w:eastAsiaTheme="minorHAnsi"/>
      <w:color w:val="142D53" w:themeColor="accent1" w:themeShade="BF"/>
    </w:rPr>
    <w:tblPr>
      <w:tblStyleRowBandSize w:val="1"/>
      <w:tblStyleColBandSize w:val="1"/>
      <w:tblBorders>
        <w:top w:val="single" w:sz="8" w:space="0" w:color="1B3D6F" w:themeColor="accent1"/>
        <w:bottom w:val="single" w:sz="8" w:space="0" w:color="1B3D6F" w:themeColor="accent1"/>
      </w:tblBorders>
    </w:tblPr>
    <w:tblStylePr w:type="firstRow">
      <w:pPr>
        <w:spacing w:before="0" w:after="0" w:line="240" w:lineRule="auto"/>
      </w:pPr>
      <w:rPr>
        <w:b/>
        <w:bCs/>
      </w:rPr>
      <w:tblPr/>
      <w:tcPr>
        <w:tcBorders>
          <w:top w:val="single" w:sz="8" w:space="0" w:color="1B3D6F" w:themeColor="accent1"/>
          <w:left w:val="nil"/>
          <w:bottom w:val="single" w:sz="8" w:space="0" w:color="1B3D6F" w:themeColor="accent1"/>
          <w:right w:val="nil"/>
          <w:insideH w:val="nil"/>
          <w:insideV w:val="nil"/>
        </w:tcBorders>
      </w:tcPr>
    </w:tblStylePr>
    <w:tblStylePr w:type="lastRow">
      <w:pPr>
        <w:spacing w:before="0" w:after="0" w:line="240" w:lineRule="auto"/>
      </w:pPr>
      <w:rPr>
        <w:b/>
        <w:bCs/>
      </w:rPr>
      <w:tblPr/>
      <w:tcPr>
        <w:tcBorders>
          <w:top w:val="single" w:sz="8" w:space="0" w:color="1B3D6F" w:themeColor="accent1"/>
          <w:left w:val="nil"/>
          <w:bottom w:val="single" w:sz="8" w:space="0" w:color="1B3D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BED" w:themeFill="accent1" w:themeFillTint="3F"/>
      </w:tcPr>
    </w:tblStylePr>
    <w:tblStylePr w:type="band1Horz">
      <w:tblPr/>
      <w:tcPr>
        <w:tcBorders>
          <w:left w:val="nil"/>
          <w:right w:val="nil"/>
          <w:insideH w:val="nil"/>
          <w:insideV w:val="nil"/>
        </w:tcBorders>
        <w:shd w:val="clear" w:color="auto" w:fill="B5CBED" w:themeFill="accent1" w:themeFillTint="3F"/>
      </w:tcPr>
    </w:tblStylePr>
  </w:style>
  <w:style w:type="table" w:styleId="LightShading-Accent2">
    <w:name w:val="Light Shading Accent 2"/>
    <w:basedOn w:val="TableNormal"/>
    <w:uiPriority w:val="60"/>
    <w:semiHidden/>
    <w:unhideWhenUsed/>
    <w:rsid w:val="009F072B"/>
    <w:pPr>
      <w:spacing w:line="240" w:lineRule="auto"/>
    </w:pPr>
    <w:rPr>
      <w:rFonts w:eastAsiaTheme="minorHAnsi"/>
      <w:color w:val="19707F" w:themeColor="accent2" w:themeShade="BF"/>
    </w:rPr>
    <w:tblPr>
      <w:tblStyleRowBandSize w:val="1"/>
      <w:tblStyleColBandSize w:val="1"/>
      <w:tblBorders>
        <w:top w:val="single" w:sz="8" w:space="0" w:color="2297AA" w:themeColor="accent2"/>
        <w:bottom w:val="single" w:sz="8" w:space="0" w:color="2297AA" w:themeColor="accent2"/>
      </w:tblBorders>
    </w:tblPr>
    <w:tblStylePr w:type="firstRow">
      <w:pPr>
        <w:spacing w:before="0" w:after="0" w:line="240" w:lineRule="auto"/>
      </w:pPr>
      <w:rPr>
        <w:b/>
        <w:bCs/>
      </w:rPr>
      <w:tblPr/>
      <w:tcPr>
        <w:tcBorders>
          <w:top w:val="single" w:sz="8" w:space="0" w:color="2297AA" w:themeColor="accent2"/>
          <w:left w:val="nil"/>
          <w:bottom w:val="single" w:sz="8" w:space="0" w:color="2297AA" w:themeColor="accent2"/>
          <w:right w:val="nil"/>
          <w:insideH w:val="nil"/>
          <w:insideV w:val="nil"/>
        </w:tcBorders>
      </w:tcPr>
    </w:tblStylePr>
    <w:tblStylePr w:type="lastRow">
      <w:pPr>
        <w:spacing w:before="0" w:after="0" w:line="240" w:lineRule="auto"/>
      </w:pPr>
      <w:rPr>
        <w:b/>
        <w:bCs/>
      </w:rPr>
      <w:tblPr/>
      <w:tcPr>
        <w:tcBorders>
          <w:top w:val="single" w:sz="8" w:space="0" w:color="2297AA" w:themeColor="accent2"/>
          <w:left w:val="nil"/>
          <w:bottom w:val="single" w:sz="8" w:space="0" w:color="2297A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EBF2" w:themeFill="accent2" w:themeFillTint="3F"/>
      </w:tcPr>
    </w:tblStylePr>
    <w:tblStylePr w:type="band1Horz">
      <w:tblPr/>
      <w:tcPr>
        <w:tcBorders>
          <w:left w:val="nil"/>
          <w:right w:val="nil"/>
          <w:insideH w:val="nil"/>
          <w:insideV w:val="nil"/>
        </w:tcBorders>
        <w:shd w:val="clear" w:color="auto" w:fill="BFEBF2" w:themeFill="accent2" w:themeFillTint="3F"/>
      </w:tcPr>
    </w:tblStylePr>
  </w:style>
  <w:style w:type="table" w:styleId="LightShading-Accent3">
    <w:name w:val="Light Shading Accent 3"/>
    <w:basedOn w:val="TableNormal"/>
    <w:uiPriority w:val="60"/>
    <w:semiHidden/>
    <w:unhideWhenUsed/>
    <w:rsid w:val="009F072B"/>
    <w:pPr>
      <w:spacing w:line="240" w:lineRule="auto"/>
    </w:pPr>
    <w:rPr>
      <w:rFonts w:eastAsiaTheme="minorHAnsi"/>
      <w:color w:val="298B6F" w:themeColor="accent3" w:themeShade="BF"/>
    </w:rPr>
    <w:tblPr>
      <w:tblStyleRowBandSize w:val="1"/>
      <w:tblStyleColBandSize w:val="1"/>
      <w:tblBorders>
        <w:top w:val="single" w:sz="8" w:space="0" w:color="37BA95" w:themeColor="accent3"/>
        <w:bottom w:val="single" w:sz="8" w:space="0" w:color="37BA95" w:themeColor="accent3"/>
      </w:tblBorders>
    </w:tblPr>
    <w:tblStylePr w:type="firstRow">
      <w:pPr>
        <w:spacing w:before="0" w:after="0" w:line="240" w:lineRule="auto"/>
      </w:pPr>
      <w:rPr>
        <w:b/>
        <w:bCs/>
      </w:rPr>
      <w:tblPr/>
      <w:tcPr>
        <w:tcBorders>
          <w:top w:val="single" w:sz="8" w:space="0" w:color="37BA95" w:themeColor="accent3"/>
          <w:left w:val="nil"/>
          <w:bottom w:val="single" w:sz="8" w:space="0" w:color="37BA95" w:themeColor="accent3"/>
          <w:right w:val="nil"/>
          <w:insideH w:val="nil"/>
          <w:insideV w:val="nil"/>
        </w:tcBorders>
      </w:tcPr>
    </w:tblStylePr>
    <w:tblStylePr w:type="lastRow">
      <w:pPr>
        <w:spacing w:before="0" w:after="0" w:line="240" w:lineRule="auto"/>
      </w:pPr>
      <w:rPr>
        <w:b/>
        <w:bCs/>
      </w:rPr>
      <w:tblPr/>
      <w:tcPr>
        <w:tcBorders>
          <w:top w:val="single" w:sz="8" w:space="0" w:color="37BA95" w:themeColor="accent3"/>
          <w:left w:val="nil"/>
          <w:bottom w:val="single" w:sz="8" w:space="0" w:color="37BA9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FE5" w:themeFill="accent3" w:themeFillTint="3F"/>
      </w:tcPr>
    </w:tblStylePr>
    <w:tblStylePr w:type="band1Horz">
      <w:tblPr/>
      <w:tcPr>
        <w:tcBorders>
          <w:left w:val="nil"/>
          <w:right w:val="nil"/>
          <w:insideH w:val="nil"/>
          <w:insideV w:val="nil"/>
        </w:tcBorders>
        <w:shd w:val="clear" w:color="auto" w:fill="CBEFE5" w:themeFill="accent3" w:themeFillTint="3F"/>
      </w:tcPr>
    </w:tblStylePr>
  </w:style>
  <w:style w:type="table" w:styleId="LightShading-Accent4">
    <w:name w:val="Light Shading Accent 4"/>
    <w:basedOn w:val="TableNormal"/>
    <w:uiPriority w:val="60"/>
    <w:semiHidden/>
    <w:unhideWhenUsed/>
    <w:rsid w:val="009F072B"/>
    <w:pPr>
      <w:spacing w:line="240" w:lineRule="auto"/>
    </w:pPr>
    <w:rPr>
      <w:rFonts w:eastAsiaTheme="minorHAnsi"/>
      <w:color w:val="DD9B0E" w:themeColor="accent4" w:themeShade="BF"/>
    </w:rPr>
    <w:tblPr>
      <w:tblStyleRowBandSize w:val="1"/>
      <w:tblStyleColBandSize w:val="1"/>
      <w:tblBorders>
        <w:top w:val="single" w:sz="8" w:space="0" w:color="F3BD48" w:themeColor="accent4"/>
        <w:bottom w:val="single" w:sz="8" w:space="0" w:color="F3BD48" w:themeColor="accent4"/>
      </w:tblBorders>
    </w:tblPr>
    <w:tblStylePr w:type="firstRow">
      <w:pPr>
        <w:spacing w:before="0" w:after="0" w:line="240" w:lineRule="auto"/>
      </w:pPr>
      <w:rPr>
        <w:b/>
        <w:bCs/>
      </w:rPr>
      <w:tblPr/>
      <w:tcPr>
        <w:tcBorders>
          <w:top w:val="single" w:sz="8" w:space="0" w:color="F3BD48" w:themeColor="accent4"/>
          <w:left w:val="nil"/>
          <w:bottom w:val="single" w:sz="8" w:space="0" w:color="F3BD48" w:themeColor="accent4"/>
          <w:right w:val="nil"/>
          <w:insideH w:val="nil"/>
          <w:insideV w:val="nil"/>
        </w:tcBorders>
      </w:tcPr>
    </w:tblStylePr>
    <w:tblStylePr w:type="lastRow">
      <w:pPr>
        <w:spacing w:before="0" w:after="0" w:line="240" w:lineRule="auto"/>
      </w:pPr>
      <w:rPr>
        <w:b/>
        <w:bCs/>
      </w:rPr>
      <w:tblPr/>
      <w:tcPr>
        <w:tcBorders>
          <w:top w:val="single" w:sz="8" w:space="0" w:color="F3BD48" w:themeColor="accent4"/>
          <w:left w:val="nil"/>
          <w:bottom w:val="single" w:sz="8" w:space="0" w:color="F3BD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ED1" w:themeFill="accent4" w:themeFillTint="3F"/>
      </w:tcPr>
    </w:tblStylePr>
    <w:tblStylePr w:type="band1Horz">
      <w:tblPr/>
      <w:tcPr>
        <w:tcBorders>
          <w:left w:val="nil"/>
          <w:right w:val="nil"/>
          <w:insideH w:val="nil"/>
          <w:insideV w:val="nil"/>
        </w:tcBorders>
        <w:shd w:val="clear" w:color="auto" w:fill="FCEED1" w:themeFill="accent4" w:themeFillTint="3F"/>
      </w:tcPr>
    </w:tblStylePr>
  </w:style>
  <w:style w:type="table" w:styleId="LightShading-Accent5">
    <w:name w:val="Light Shading Accent 5"/>
    <w:basedOn w:val="TableNormal"/>
    <w:uiPriority w:val="60"/>
    <w:semiHidden/>
    <w:unhideWhenUsed/>
    <w:rsid w:val="009F072B"/>
    <w:pPr>
      <w:spacing w:line="240" w:lineRule="auto"/>
    </w:pPr>
    <w:rPr>
      <w:rFonts w:eastAsiaTheme="minorHAnsi"/>
      <w:color w:val="C4490B" w:themeColor="accent5" w:themeShade="BF"/>
    </w:rPr>
    <w:tblPr>
      <w:tblStyleRowBandSize w:val="1"/>
      <w:tblStyleColBandSize w:val="1"/>
      <w:tblBorders>
        <w:top w:val="single" w:sz="8" w:space="0" w:color="F26A25" w:themeColor="accent5"/>
        <w:bottom w:val="single" w:sz="8" w:space="0" w:color="F26A25" w:themeColor="accent5"/>
      </w:tblBorders>
    </w:tblPr>
    <w:tblStylePr w:type="firstRow">
      <w:pPr>
        <w:spacing w:before="0" w:after="0" w:line="240" w:lineRule="auto"/>
      </w:pPr>
      <w:rPr>
        <w:b/>
        <w:bCs/>
      </w:rPr>
      <w:tblPr/>
      <w:tcPr>
        <w:tcBorders>
          <w:top w:val="single" w:sz="8" w:space="0" w:color="F26A25" w:themeColor="accent5"/>
          <w:left w:val="nil"/>
          <w:bottom w:val="single" w:sz="8" w:space="0" w:color="F26A25" w:themeColor="accent5"/>
          <w:right w:val="nil"/>
          <w:insideH w:val="nil"/>
          <w:insideV w:val="nil"/>
        </w:tcBorders>
      </w:tcPr>
    </w:tblStylePr>
    <w:tblStylePr w:type="lastRow">
      <w:pPr>
        <w:spacing w:before="0" w:after="0" w:line="240" w:lineRule="auto"/>
      </w:pPr>
      <w:rPr>
        <w:b/>
        <w:bCs/>
      </w:rPr>
      <w:tblPr/>
      <w:tcPr>
        <w:tcBorders>
          <w:top w:val="single" w:sz="8" w:space="0" w:color="F26A25" w:themeColor="accent5"/>
          <w:left w:val="nil"/>
          <w:bottom w:val="single" w:sz="8" w:space="0" w:color="F26A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8" w:themeFill="accent5" w:themeFillTint="3F"/>
      </w:tcPr>
    </w:tblStylePr>
    <w:tblStylePr w:type="band1Horz">
      <w:tblPr/>
      <w:tcPr>
        <w:tcBorders>
          <w:left w:val="nil"/>
          <w:right w:val="nil"/>
          <w:insideH w:val="nil"/>
          <w:insideV w:val="nil"/>
        </w:tcBorders>
        <w:shd w:val="clear" w:color="auto" w:fill="FBD9C8" w:themeFill="accent5" w:themeFillTint="3F"/>
      </w:tcPr>
    </w:tblStylePr>
  </w:style>
  <w:style w:type="table" w:styleId="LightShading-Accent6">
    <w:name w:val="Light Shading Accent 6"/>
    <w:basedOn w:val="TableNormal"/>
    <w:uiPriority w:val="60"/>
    <w:semiHidden/>
    <w:unhideWhenUsed/>
    <w:rsid w:val="009F072B"/>
    <w:pPr>
      <w:spacing w:line="240" w:lineRule="auto"/>
    </w:pPr>
    <w:rPr>
      <w:rFonts w:eastAsiaTheme="minorHAnsi"/>
      <w:color w:val="9E2952" w:themeColor="accent6" w:themeShade="BF"/>
    </w:rPr>
    <w:tblPr>
      <w:tblStyleRowBandSize w:val="1"/>
      <w:tblStyleColBandSize w:val="1"/>
      <w:tblBorders>
        <w:top w:val="single" w:sz="8" w:space="0" w:color="CD3E71" w:themeColor="accent6"/>
        <w:bottom w:val="single" w:sz="8" w:space="0" w:color="CD3E71" w:themeColor="accent6"/>
      </w:tblBorders>
    </w:tblPr>
    <w:tblStylePr w:type="firstRow">
      <w:pPr>
        <w:spacing w:before="0" w:after="0" w:line="240" w:lineRule="auto"/>
      </w:pPr>
      <w:rPr>
        <w:b/>
        <w:bCs/>
      </w:rPr>
      <w:tblPr/>
      <w:tcPr>
        <w:tcBorders>
          <w:top w:val="single" w:sz="8" w:space="0" w:color="CD3E71" w:themeColor="accent6"/>
          <w:left w:val="nil"/>
          <w:bottom w:val="single" w:sz="8" w:space="0" w:color="CD3E71" w:themeColor="accent6"/>
          <w:right w:val="nil"/>
          <w:insideH w:val="nil"/>
          <w:insideV w:val="nil"/>
        </w:tcBorders>
      </w:tcPr>
    </w:tblStylePr>
    <w:tblStylePr w:type="lastRow">
      <w:pPr>
        <w:spacing w:before="0" w:after="0" w:line="240" w:lineRule="auto"/>
      </w:pPr>
      <w:rPr>
        <w:b/>
        <w:bCs/>
      </w:rPr>
      <w:tblPr/>
      <w:tcPr>
        <w:tcBorders>
          <w:top w:val="single" w:sz="8" w:space="0" w:color="CD3E71" w:themeColor="accent6"/>
          <w:left w:val="nil"/>
          <w:bottom w:val="single" w:sz="8" w:space="0" w:color="CD3E7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FDB" w:themeFill="accent6" w:themeFillTint="3F"/>
      </w:tcPr>
    </w:tblStylePr>
    <w:tblStylePr w:type="band1Horz">
      <w:tblPr/>
      <w:tcPr>
        <w:tcBorders>
          <w:left w:val="nil"/>
          <w:right w:val="nil"/>
          <w:insideH w:val="nil"/>
          <w:insideV w:val="nil"/>
        </w:tcBorders>
        <w:shd w:val="clear" w:color="auto" w:fill="F2CFDB" w:themeFill="accent6" w:themeFillTint="3F"/>
      </w:tcPr>
    </w:tblStylePr>
  </w:style>
  <w:style w:type="paragraph" w:styleId="List">
    <w:name w:val="List"/>
    <w:basedOn w:val="Normal"/>
    <w:uiPriority w:val="99"/>
    <w:semiHidden/>
    <w:unhideWhenUsed/>
    <w:rsid w:val="009F072B"/>
    <w:pPr>
      <w:ind w:left="360" w:hanging="360"/>
      <w:contextualSpacing/>
    </w:pPr>
  </w:style>
  <w:style w:type="paragraph" w:styleId="List2">
    <w:name w:val="List 2"/>
    <w:basedOn w:val="Normal"/>
    <w:uiPriority w:val="99"/>
    <w:semiHidden/>
    <w:unhideWhenUsed/>
    <w:rsid w:val="009F072B"/>
    <w:pPr>
      <w:ind w:left="720" w:hanging="360"/>
      <w:contextualSpacing/>
    </w:pPr>
  </w:style>
  <w:style w:type="paragraph" w:styleId="List5">
    <w:name w:val="List 5"/>
    <w:basedOn w:val="Normal"/>
    <w:uiPriority w:val="99"/>
    <w:semiHidden/>
    <w:unhideWhenUsed/>
    <w:rsid w:val="009F072B"/>
    <w:pPr>
      <w:ind w:left="1800" w:hanging="360"/>
      <w:contextualSpacing/>
    </w:pPr>
  </w:style>
  <w:style w:type="paragraph" w:styleId="ListBullet">
    <w:name w:val="List Bullet"/>
    <w:basedOn w:val="Normal"/>
    <w:uiPriority w:val="99"/>
    <w:semiHidden/>
    <w:unhideWhenUsed/>
    <w:rsid w:val="009F072B"/>
    <w:pPr>
      <w:numPr>
        <w:numId w:val="26"/>
      </w:numPr>
      <w:contextualSpacing/>
    </w:pPr>
  </w:style>
  <w:style w:type="paragraph" w:styleId="ListContinue">
    <w:name w:val="List Continue"/>
    <w:basedOn w:val="Normal"/>
    <w:uiPriority w:val="99"/>
    <w:semiHidden/>
    <w:unhideWhenUsed/>
    <w:rsid w:val="009F072B"/>
    <w:pPr>
      <w:spacing w:after="120"/>
      <w:ind w:left="360"/>
      <w:contextualSpacing/>
    </w:pPr>
  </w:style>
  <w:style w:type="paragraph" w:styleId="ListContinue2">
    <w:name w:val="List Continue 2"/>
    <w:basedOn w:val="Normal"/>
    <w:uiPriority w:val="99"/>
    <w:semiHidden/>
    <w:unhideWhenUsed/>
    <w:rsid w:val="009F072B"/>
    <w:pPr>
      <w:spacing w:after="120"/>
      <w:ind w:left="720"/>
      <w:contextualSpacing/>
    </w:pPr>
  </w:style>
  <w:style w:type="paragraph" w:styleId="ListContinue4">
    <w:name w:val="List Continue 4"/>
    <w:basedOn w:val="Normal"/>
    <w:uiPriority w:val="99"/>
    <w:semiHidden/>
    <w:unhideWhenUsed/>
    <w:rsid w:val="009F072B"/>
    <w:pPr>
      <w:spacing w:after="120"/>
      <w:ind w:left="1440"/>
      <w:contextualSpacing/>
    </w:pPr>
  </w:style>
  <w:style w:type="paragraph" w:styleId="ListContinue5">
    <w:name w:val="List Continue 5"/>
    <w:basedOn w:val="Normal"/>
    <w:uiPriority w:val="99"/>
    <w:semiHidden/>
    <w:unhideWhenUsed/>
    <w:rsid w:val="009F072B"/>
    <w:pPr>
      <w:spacing w:after="120"/>
      <w:ind w:left="1800"/>
      <w:contextualSpacing/>
    </w:pPr>
  </w:style>
  <w:style w:type="paragraph" w:styleId="ListNumber5">
    <w:name w:val="List Number 5"/>
    <w:basedOn w:val="Normal"/>
    <w:uiPriority w:val="99"/>
    <w:semiHidden/>
    <w:unhideWhenUsed/>
    <w:rsid w:val="009F072B"/>
    <w:pPr>
      <w:numPr>
        <w:numId w:val="28"/>
      </w:numPr>
      <w:contextualSpacing/>
    </w:pPr>
  </w:style>
  <w:style w:type="table" w:styleId="ListTable1Light">
    <w:name w:val="List Table 1 Light"/>
    <w:basedOn w:val="TableNormal"/>
    <w:uiPriority w:val="46"/>
    <w:unhideWhenUsed/>
    <w:rsid w:val="009F072B"/>
    <w:pPr>
      <w:spacing w:line="240" w:lineRule="auto"/>
    </w:pPr>
    <w:rPr>
      <w:rFonts w:eastAsiaTheme="minorHAnsi"/>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unhideWhenUsed/>
    <w:rsid w:val="009F072B"/>
    <w:pPr>
      <w:spacing w:line="240" w:lineRule="auto"/>
    </w:pPr>
    <w:rPr>
      <w:rFonts w:eastAsiaTheme="minorHAnsi"/>
    </w:rPr>
    <w:tblPr>
      <w:tblStyleRowBandSize w:val="1"/>
      <w:tblStyleColBandSize w:val="1"/>
    </w:tblPr>
    <w:tblStylePr w:type="firstRow">
      <w:rPr>
        <w:b/>
        <w:bCs/>
      </w:rPr>
      <w:tblPr/>
      <w:tcPr>
        <w:tcBorders>
          <w:bottom w:val="single" w:sz="4" w:space="0" w:color="4B82D3" w:themeColor="accent1" w:themeTint="99"/>
        </w:tcBorders>
      </w:tcPr>
    </w:tblStylePr>
    <w:tblStylePr w:type="lastRow">
      <w:rPr>
        <w:b/>
        <w:bCs/>
      </w:rPr>
      <w:tblPr/>
      <w:tcPr>
        <w:tcBorders>
          <w:top w:val="single" w:sz="4" w:space="0" w:color="4B82D3" w:themeColor="accent1" w:themeTint="99"/>
        </w:tcBorders>
      </w:tcPr>
    </w:tblStylePr>
    <w:tblStylePr w:type="firstCol">
      <w:rPr>
        <w:b/>
        <w:bCs/>
      </w:rPr>
    </w:tblStylePr>
    <w:tblStylePr w:type="lastCol">
      <w:rPr>
        <w:b/>
        <w:bCs/>
      </w:rPr>
    </w:tblStylePr>
    <w:tblStylePr w:type="band1Vert">
      <w:tblPr/>
      <w:tcPr>
        <w:shd w:val="clear" w:color="auto" w:fill="C2D5F0" w:themeFill="accent1" w:themeFillTint="33"/>
      </w:tcPr>
    </w:tblStylePr>
    <w:tblStylePr w:type="band1Horz">
      <w:tblPr/>
      <w:tcPr>
        <w:shd w:val="clear" w:color="auto" w:fill="C2D5F0" w:themeFill="accent1" w:themeFillTint="33"/>
      </w:tcPr>
    </w:tblStylePr>
  </w:style>
  <w:style w:type="table" w:styleId="ListTable1Light-Accent2">
    <w:name w:val="List Table 1 Light Accent 2"/>
    <w:basedOn w:val="TableNormal"/>
    <w:uiPriority w:val="46"/>
    <w:unhideWhenUsed/>
    <w:rsid w:val="009F072B"/>
    <w:pPr>
      <w:spacing w:line="240" w:lineRule="auto"/>
    </w:pPr>
    <w:rPr>
      <w:rFonts w:eastAsiaTheme="minorHAnsi"/>
    </w:rPr>
    <w:tblPr>
      <w:tblStyleRowBandSize w:val="1"/>
      <w:tblStyleColBandSize w:val="1"/>
    </w:tblPr>
    <w:tblStylePr w:type="firstRow">
      <w:rPr>
        <w:b/>
        <w:bCs/>
      </w:rPr>
      <w:tblPr/>
      <w:tcPr>
        <w:tcBorders>
          <w:bottom w:val="single" w:sz="4" w:space="0" w:color="65CFE0" w:themeColor="accent2" w:themeTint="99"/>
        </w:tcBorders>
      </w:tcPr>
    </w:tblStylePr>
    <w:tblStylePr w:type="lastRow">
      <w:rPr>
        <w:b/>
        <w:bCs/>
      </w:rPr>
      <w:tblPr/>
      <w:tcPr>
        <w:tcBorders>
          <w:top w:val="single" w:sz="4" w:space="0" w:color="65CFE0" w:themeColor="accent2" w:themeTint="99"/>
        </w:tcBorders>
      </w:tcPr>
    </w:tblStylePr>
    <w:tblStylePr w:type="firstCol">
      <w:rPr>
        <w:b/>
        <w:bCs/>
      </w:rPr>
    </w:tblStylePr>
    <w:tblStylePr w:type="lastCol">
      <w:rPr>
        <w:b/>
        <w:bCs/>
      </w:rPr>
    </w:tblStylePr>
    <w:tblStylePr w:type="band1Vert">
      <w:tblPr/>
      <w:tcPr>
        <w:shd w:val="clear" w:color="auto" w:fill="CBEFF4" w:themeFill="accent2" w:themeFillTint="33"/>
      </w:tcPr>
    </w:tblStylePr>
    <w:tblStylePr w:type="band1Horz">
      <w:tblPr/>
      <w:tcPr>
        <w:shd w:val="clear" w:color="auto" w:fill="CBEFF4" w:themeFill="accent2" w:themeFillTint="33"/>
      </w:tcPr>
    </w:tblStylePr>
  </w:style>
  <w:style w:type="table" w:styleId="ListTable1Light-Accent3">
    <w:name w:val="List Table 1 Light Accent 3"/>
    <w:basedOn w:val="TableNormal"/>
    <w:uiPriority w:val="46"/>
    <w:unhideWhenUsed/>
    <w:rsid w:val="009F072B"/>
    <w:pPr>
      <w:spacing w:line="240" w:lineRule="auto"/>
    </w:pPr>
    <w:rPr>
      <w:rFonts w:eastAsiaTheme="minorHAnsi"/>
    </w:rPr>
    <w:tblPr>
      <w:tblStyleRowBandSize w:val="1"/>
      <w:tblStyleColBandSize w:val="1"/>
    </w:tblPr>
    <w:tblStylePr w:type="firstRow">
      <w:rPr>
        <w:b/>
        <w:bCs/>
      </w:rPr>
      <w:tblPr/>
      <w:tcPr>
        <w:tcBorders>
          <w:bottom w:val="single" w:sz="4" w:space="0" w:color="82DAC0" w:themeColor="accent3" w:themeTint="99"/>
        </w:tcBorders>
      </w:tcPr>
    </w:tblStylePr>
    <w:tblStylePr w:type="lastRow">
      <w:rPr>
        <w:b/>
        <w:bCs/>
      </w:rPr>
      <w:tblPr/>
      <w:tcPr>
        <w:tcBorders>
          <w:top w:val="single" w:sz="4" w:space="0" w:color="82DAC0" w:themeColor="accent3" w:themeTint="99"/>
        </w:tcBorders>
      </w:tcPr>
    </w:tblStylePr>
    <w:tblStylePr w:type="firstCol">
      <w:rPr>
        <w:b/>
        <w:bCs/>
      </w:rPr>
    </w:tblStylePr>
    <w:tblStylePr w:type="lastCol">
      <w:rPr>
        <w:b/>
        <w:bCs/>
      </w:rPr>
    </w:tblStylePr>
    <w:tblStylePr w:type="band1Vert">
      <w:tblPr/>
      <w:tcPr>
        <w:shd w:val="clear" w:color="auto" w:fill="D5F2EA" w:themeFill="accent3" w:themeFillTint="33"/>
      </w:tcPr>
    </w:tblStylePr>
    <w:tblStylePr w:type="band1Horz">
      <w:tblPr/>
      <w:tcPr>
        <w:shd w:val="clear" w:color="auto" w:fill="D5F2EA" w:themeFill="accent3" w:themeFillTint="33"/>
      </w:tcPr>
    </w:tblStylePr>
  </w:style>
  <w:style w:type="table" w:styleId="ListTable1Light-Accent4">
    <w:name w:val="List Table 1 Light Accent 4"/>
    <w:basedOn w:val="TableNormal"/>
    <w:uiPriority w:val="46"/>
    <w:unhideWhenUsed/>
    <w:rsid w:val="009F072B"/>
    <w:pPr>
      <w:spacing w:line="240" w:lineRule="auto"/>
    </w:pPr>
    <w:rPr>
      <w:rFonts w:eastAsiaTheme="minorHAnsi"/>
    </w:rPr>
    <w:tblPr>
      <w:tblStyleRowBandSize w:val="1"/>
      <w:tblStyleColBandSize w:val="1"/>
    </w:tblPr>
    <w:tblStylePr w:type="firstRow">
      <w:rPr>
        <w:b/>
        <w:bCs/>
      </w:rPr>
      <w:tblPr/>
      <w:tcPr>
        <w:tcBorders>
          <w:bottom w:val="single" w:sz="4" w:space="0" w:color="F7D791" w:themeColor="accent4" w:themeTint="99"/>
        </w:tcBorders>
      </w:tcPr>
    </w:tblStylePr>
    <w:tblStylePr w:type="lastRow">
      <w:rPr>
        <w:b/>
        <w:bCs/>
      </w:rPr>
      <w:tblPr/>
      <w:tcPr>
        <w:tcBorders>
          <w:top w:val="single" w:sz="4" w:space="0" w:color="F7D791" w:themeColor="accent4" w:themeTint="99"/>
        </w:tcBorders>
      </w:tcPr>
    </w:tblStylePr>
    <w:tblStylePr w:type="firstCol">
      <w:rPr>
        <w:b/>
        <w:bCs/>
      </w:rPr>
    </w:tblStylePr>
    <w:tblStylePr w:type="lastCol">
      <w:rPr>
        <w:b/>
        <w:bCs/>
      </w:rPr>
    </w:tblStylePr>
    <w:tblStylePr w:type="band1Vert">
      <w:tblPr/>
      <w:tcPr>
        <w:shd w:val="clear" w:color="auto" w:fill="FCF1DA" w:themeFill="accent4" w:themeFillTint="33"/>
      </w:tcPr>
    </w:tblStylePr>
    <w:tblStylePr w:type="band1Horz">
      <w:tblPr/>
      <w:tcPr>
        <w:shd w:val="clear" w:color="auto" w:fill="FCF1DA" w:themeFill="accent4" w:themeFillTint="33"/>
      </w:tcPr>
    </w:tblStylePr>
  </w:style>
  <w:style w:type="table" w:styleId="ListTable1Light-Accent5">
    <w:name w:val="List Table 1 Light Accent 5"/>
    <w:basedOn w:val="TableNormal"/>
    <w:uiPriority w:val="46"/>
    <w:unhideWhenUsed/>
    <w:rsid w:val="009F072B"/>
    <w:pPr>
      <w:spacing w:line="240" w:lineRule="auto"/>
    </w:pPr>
    <w:rPr>
      <w:rFonts w:eastAsiaTheme="minorHAnsi"/>
    </w:rPr>
    <w:tblPr>
      <w:tblStyleRowBandSize w:val="1"/>
      <w:tblStyleColBandSize w:val="1"/>
    </w:tblPr>
    <w:tblStylePr w:type="firstRow">
      <w:rPr>
        <w:b/>
        <w:bCs/>
      </w:rPr>
      <w:tblPr/>
      <w:tcPr>
        <w:tcBorders>
          <w:bottom w:val="single" w:sz="4" w:space="0" w:color="F7A57C" w:themeColor="accent5" w:themeTint="99"/>
        </w:tcBorders>
      </w:tcPr>
    </w:tblStylePr>
    <w:tblStylePr w:type="lastRow">
      <w:rPr>
        <w:b/>
        <w:bCs/>
      </w:rPr>
      <w:tblPr/>
      <w:tcPr>
        <w:tcBorders>
          <w:top w:val="single" w:sz="4" w:space="0" w:color="F7A57C" w:themeColor="accent5" w:themeTint="99"/>
        </w:tcBorders>
      </w:tcPr>
    </w:tblStylePr>
    <w:tblStylePr w:type="firstCol">
      <w:rPr>
        <w:b/>
        <w:bCs/>
      </w:rPr>
    </w:tblStylePr>
    <w:tblStylePr w:type="lastCol">
      <w:rPr>
        <w:b/>
        <w:bCs/>
      </w:rPr>
    </w:tblStylePr>
    <w:tblStylePr w:type="band1Vert">
      <w:tblPr/>
      <w:tcPr>
        <w:shd w:val="clear" w:color="auto" w:fill="FCE0D3" w:themeFill="accent5" w:themeFillTint="33"/>
      </w:tcPr>
    </w:tblStylePr>
    <w:tblStylePr w:type="band1Horz">
      <w:tblPr/>
      <w:tcPr>
        <w:shd w:val="clear" w:color="auto" w:fill="FCE0D3" w:themeFill="accent5" w:themeFillTint="33"/>
      </w:tcPr>
    </w:tblStylePr>
  </w:style>
  <w:style w:type="table" w:styleId="ListTable1Light-Accent6">
    <w:name w:val="List Table 1 Light Accent 6"/>
    <w:basedOn w:val="TableNormal"/>
    <w:uiPriority w:val="46"/>
    <w:unhideWhenUsed/>
    <w:rsid w:val="009F072B"/>
    <w:pPr>
      <w:spacing w:line="240" w:lineRule="auto"/>
    </w:pPr>
    <w:rPr>
      <w:rFonts w:eastAsiaTheme="minorHAnsi"/>
    </w:rPr>
    <w:tblPr>
      <w:tblStyleRowBandSize w:val="1"/>
      <w:tblStyleColBandSize w:val="1"/>
    </w:tblPr>
    <w:tblStylePr w:type="firstRow">
      <w:rPr>
        <w:b/>
        <w:bCs/>
      </w:rPr>
      <w:tblPr/>
      <w:tcPr>
        <w:tcBorders>
          <w:bottom w:val="single" w:sz="4" w:space="0" w:color="E18BA9" w:themeColor="accent6" w:themeTint="99"/>
        </w:tcBorders>
      </w:tcPr>
    </w:tblStylePr>
    <w:tblStylePr w:type="lastRow">
      <w:rPr>
        <w:b/>
        <w:bCs/>
      </w:rPr>
      <w:tblPr/>
      <w:tcPr>
        <w:tcBorders>
          <w:top w:val="single" w:sz="4" w:space="0" w:color="E18BA9" w:themeColor="accent6" w:themeTint="99"/>
        </w:tcBorders>
      </w:tcPr>
    </w:tblStylePr>
    <w:tblStylePr w:type="firstCol">
      <w:rPr>
        <w:b/>
        <w:bCs/>
      </w:rPr>
    </w:tblStylePr>
    <w:tblStylePr w:type="lastCol">
      <w:rPr>
        <w:b/>
        <w:bCs/>
      </w:rPr>
    </w:tblStylePr>
    <w:tblStylePr w:type="band1Vert">
      <w:tblPr/>
      <w:tcPr>
        <w:shd w:val="clear" w:color="auto" w:fill="F5D8E2" w:themeFill="accent6" w:themeFillTint="33"/>
      </w:tcPr>
    </w:tblStylePr>
    <w:tblStylePr w:type="band1Horz">
      <w:tblPr/>
      <w:tcPr>
        <w:shd w:val="clear" w:color="auto" w:fill="F5D8E2" w:themeFill="accent6" w:themeFillTint="33"/>
      </w:tcPr>
    </w:tblStylePr>
  </w:style>
  <w:style w:type="table" w:styleId="ListTable2">
    <w:name w:val="List Table 2"/>
    <w:basedOn w:val="TableNormal"/>
    <w:uiPriority w:val="47"/>
    <w:unhideWhenUsed/>
    <w:rsid w:val="009F072B"/>
    <w:pPr>
      <w:spacing w:line="240" w:lineRule="auto"/>
    </w:pPr>
    <w:rPr>
      <w:rFonts w:eastAsiaTheme="minorHAns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unhideWhenUsed/>
    <w:rsid w:val="009F072B"/>
    <w:pPr>
      <w:spacing w:line="240" w:lineRule="auto"/>
    </w:pPr>
    <w:rPr>
      <w:rFonts w:eastAsiaTheme="minorHAnsi"/>
    </w:rPr>
    <w:tblPr>
      <w:tblStyleRowBandSize w:val="1"/>
      <w:tblStyleColBandSize w:val="1"/>
      <w:tblBorders>
        <w:top w:val="single" w:sz="4" w:space="0" w:color="4B82D3" w:themeColor="accent1" w:themeTint="99"/>
        <w:bottom w:val="single" w:sz="4" w:space="0" w:color="4B82D3" w:themeColor="accent1" w:themeTint="99"/>
        <w:insideH w:val="single" w:sz="4" w:space="0" w:color="4B82D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D5F0" w:themeFill="accent1" w:themeFillTint="33"/>
      </w:tcPr>
    </w:tblStylePr>
    <w:tblStylePr w:type="band1Horz">
      <w:tblPr/>
      <w:tcPr>
        <w:shd w:val="clear" w:color="auto" w:fill="C2D5F0" w:themeFill="accent1" w:themeFillTint="33"/>
      </w:tcPr>
    </w:tblStylePr>
  </w:style>
  <w:style w:type="table" w:styleId="ListTable2-Accent2">
    <w:name w:val="List Table 2 Accent 2"/>
    <w:basedOn w:val="TableNormal"/>
    <w:uiPriority w:val="47"/>
    <w:unhideWhenUsed/>
    <w:rsid w:val="009F072B"/>
    <w:pPr>
      <w:spacing w:line="240" w:lineRule="auto"/>
    </w:pPr>
    <w:rPr>
      <w:rFonts w:eastAsiaTheme="minorHAnsi"/>
    </w:rPr>
    <w:tblPr>
      <w:tblStyleRowBandSize w:val="1"/>
      <w:tblStyleColBandSize w:val="1"/>
      <w:tblBorders>
        <w:top w:val="single" w:sz="4" w:space="0" w:color="65CFE0" w:themeColor="accent2" w:themeTint="99"/>
        <w:bottom w:val="single" w:sz="4" w:space="0" w:color="65CFE0" w:themeColor="accent2" w:themeTint="99"/>
        <w:insideH w:val="single" w:sz="4" w:space="0" w:color="65CFE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EFF4" w:themeFill="accent2" w:themeFillTint="33"/>
      </w:tcPr>
    </w:tblStylePr>
    <w:tblStylePr w:type="band1Horz">
      <w:tblPr/>
      <w:tcPr>
        <w:shd w:val="clear" w:color="auto" w:fill="CBEFF4" w:themeFill="accent2" w:themeFillTint="33"/>
      </w:tcPr>
    </w:tblStylePr>
  </w:style>
  <w:style w:type="table" w:styleId="ListTable2-Accent3">
    <w:name w:val="List Table 2 Accent 3"/>
    <w:basedOn w:val="TableNormal"/>
    <w:uiPriority w:val="47"/>
    <w:unhideWhenUsed/>
    <w:rsid w:val="009F072B"/>
    <w:pPr>
      <w:spacing w:line="240" w:lineRule="auto"/>
    </w:pPr>
    <w:rPr>
      <w:rFonts w:eastAsiaTheme="minorHAnsi"/>
    </w:rPr>
    <w:tblPr>
      <w:tblStyleRowBandSize w:val="1"/>
      <w:tblStyleColBandSize w:val="1"/>
      <w:tblBorders>
        <w:top w:val="single" w:sz="4" w:space="0" w:color="82DAC0" w:themeColor="accent3" w:themeTint="99"/>
        <w:bottom w:val="single" w:sz="4" w:space="0" w:color="82DAC0" w:themeColor="accent3" w:themeTint="99"/>
        <w:insideH w:val="single" w:sz="4" w:space="0" w:color="82DAC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2EA" w:themeFill="accent3" w:themeFillTint="33"/>
      </w:tcPr>
    </w:tblStylePr>
    <w:tblStylePr w:type="band1Horz">
      <w:tblPr/>
      <w:tcPr>
        <w:shd w:val="clear" w:color="auto" w:fill="D5F2EA" w:themeFill="accent3" w:themeFillTint="33"/>
      </w:tcPr>
    </w:tblStylePr>
  </w:style>
  <w:style w:type="table" w:styleId="ListTable2-Accent4">
    <w:name w:val="List Table 2 Accent 4"/>
    <w:basedOn w:val="TableNormal"/>
    <w:uiPriority w:val="47"/>
    <w:unhideWhenUsed/>
    <w:rsid w:val="009F072B"/>
    <w:pPr>
      <w:spacing w:line="240" w:lineRule="auto"/>
    </w:pPr>
    <w:rPr>
      <w:rFonts w:eastAsiaTheme="minorHAnsi"/>
    </w:rPr>
    <w:tblPr>
      <w:tblStyleRowBandSize w:val="1"/>
      <w:tblStyleColBandSize w:val="1"/>
      <w:tblBorders>
        <w:top w:val="single" w:sz="4" w:space="0" w:color="F7D791" w:themeColor="accent4" w:themeTint="99"/>
        <w:bottom w:val="single" w:sz="4" w:space="0" w:color="F7D791" w:themeColor="accent4" w:themeTint="99"/>
        <w:insideH w:val="single" w:sz="4" w:space="0" w:color="F7D7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1DA" w:themeFill="accent4" w:themeFillTint="33"/>
      </w:tcPr>
    </w:tblStylePr>
    <w:tblStylePr w:type="band1Horz">
      <w:tblPr/>
      <w:tcPr>
        <w:shd w:val="clear" w:color="auto" w:fill="FCF1DA" w:themeFill="accent4" w:themeFillTint="33"/>
      </w:tcPr>
    </w:tblStylePr>
  </w:style>
  <w:style w:type="table" w:styleId="ListTable2-Accent5">
    <w:name w:val="List Table 2 Accent 5"/>
    <w:basedOn w:val="TableNormal"/>
    <w:uiPriority w:val="47"/>
    <w:unhideWhenUsed/>
    <w:rsid w:val="009F072B"/>
    <w:pPr>
      <w:spacing w:line="240" w:lineRule="auto"/>
    </w:pPr>
    <w:rPr>
      <w:rFonts w:eastAsiaTheme="minorHAnsi"/>
    </w:rPr>
    <w:tblPr>
      <w:tblStyleRowBandSize w:val="1"/>
      <w:tblStyleColBandSize w:val="1"/>
      <w:tblBorders>
        <w:top w:val="single" w:sz="4" w:space="0" w:color="F7A57C" w:themeColor="accent5" w:themeTint="99"/>
        <w:bottom w:val="single" w:sz="4" w:space="0" w:color="F7A57C" w:themeColor="accent5" w:themeTint="99"/>
        <w:insideH w:val="single" w:sz="4" w:space="0" w:color="F7A57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3" w:themeFill="accent5" w:themeFillTint="33"/>
      </w:tcPr>
    </w:tblStylePr>
    <w:tblStylePr w:type="band1Horz">
      <w:tblPr/>
      <w:tcPr>
        <w:shd w:val="clear" w:color="auto" w:fill="FCE0D3" w:themeFill="accent5" w:themeFillTint="33"/>
      </w:tcPr>
    </w:tblStylePr>
  </w:style>
  <w:style w:type="table" w:styleId="ListTable2-Accent6">
    <w:name w:val="List Table 2 Accent 6"/>
    <w:basedOn w:val="TableNormal"/>
    <w:uiPriority w:val="47"/>
    <w:unhideWhenUsed/>
    <w:rsid w:val="009F072B"/>
    <w:pPr>
      <w:spacing w:line="240" w:lineRule="auto"/>
    </w:pPr>
    <w:rPr>
      <w:rFonts w:eastAsiaTheme="minorHAnsi"/>
    </w:rPr>
    <w:tblPr>
      <w:tblStyleRowBandSize w:val="1"/>
      <w:tblStyleColBandSize w:val="1"/>
      <w:tblBorders>
        <w:top w:val="single" w:sz="4" w:space="0" w:color="E18BA9" w:themeColor="accent6" w:themeTint="99"/>
        <w:bottom w:val="single" w:sz="4" w:space="0" w:color="E18BA9" w:themeColor="accent6" w:themeTint="99"/>
        <w:insideH w:val="single" w:sz="4" w:space="0" w:color="E18BA9"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E2" w:themeFill="accent6" w:themeFillTint="33"/>
      </w:tcPr>
    </w:tblStylePr>
    <w:tblStylePr w:type="band1Horz">
      <w:tblPr/>
      <w:tcPr>
        <w:shd w:val="clear" w:color="auto" w:fill="F5D8E2" w:themeFill="accent6" w:themeFillTint="33"/>
      </w:tcPr>
    </w:tblStylePr>
  </w:style>
  <w:style w:type="table" w:styleId="ListTable3">
    <w:name w:val="List Table 3"/>
    <w:basedOn w:val="TableNormal"/>
    <w:uiPriority w:val="48"/>
    <w:unhideWhenUsed/>
    <w:rsid w:val="009F072B"/>
    <w:pPr>
      <w:spacing w:line="240" w:lineRule="auto"/>
    </w:pPr>
    <w:rPr>
      <w:rFonts w:eastAsiaTheme="minorHAns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unhideWhenUsed/>
    <w:rsid w:val="009F072B"/>
    <w:pPr>
      <w:spacing w:line="240" w:lineRule="auto"/>
    </w:pPr>
    <w:rPr>
      <w:rFonts w:eastAsiaTheme="minorHAnsi"/>
    </w:rPr>
    <w:tblPr>
      <w:tblStyleRowBandSize w:val="1"/>
      <w:tblStyleColBandSize w:val="1"/>
      <w:tblBorders>
        <w:top w:val="single" w:sz="4" w:space="0" w:color="1B3D6F" w:themeColor="accent1"/>
        <w:left w:val="single" w:sz="4" w:space="0" w:color="1B3D6F" w:themeColor="accent1"/>
        <w:bottom w:val="single" w:sz="4" w:space="0" w:color="1B3D6F" w:themeColor="accent1"/>
        <w:right w:val="single" w:sz="4" w:space="0" w:color="1B3D6F" w:themeColor="accent1"/>
      </w:tblBorders>
    </w:tblPr>
    <w:tblStylePr w:type="firstRow">
      <w:rPr>
        <w:b/>
        <w:bCs/>
        <w:color w:val="FFFFFF" w:themeColor="background1"/>
      </w:rPr>
      <w:tblPr/>
      <w:tcPr>
        <w:shd w:val="clear" w:color="auto" w:fill="1B3D6F" w:themeFill="accent1"/>
      </w:tcPr>
    </w:tblStylePr>
    <w:tblStylePr w:type="lastRow">
      <w:rPr>
        <w:b/>
        <w:bCs/>
      </w:rPr>
      <w:tblPr/>
      <w:tcPr>
        <w:tcBorders>
          <w:top w:val="double" w:sz="4" w:space="0" w:color="1B3D6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3D6F" w:themeColor="accent1"/>
          <w:right w:val="single" w:sz="4" w:space="0" w:color="1B3D6F" w:themeColor="accent1"/>
        </w:tcBorders>
      </w:tcPr>
    </w:tblStylePr>
    <w:tblStylePr w:type="band1Horz">
      <w:tblPr/>
      <w:tcPr>
        <w:tcBorders>
          <w:top w:val="single" w:sz="4" w:space="0" w:color="1B3D6F" w:themeColor="accent1"/>
          <w:bottom w:val="single" w:sz="4" w:space="0" w:color="1B3D6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3D6F" w:themeColor="accent1"/>
          <w:left w:val="nil"/>
        </w:tcBorders>
      </w:tcPr>
    </w:tblStylePr>
    <w:tblStylePr w:type="swCell">
      <w:tblPr/>
      <w:tcPr>
        <w:tcBorders>
          <w:top w:val="double" w:sz="4" w:space="0" w:color="1B3D6F" w:themeColor="accent1"/>
          <w:right w:val="nil"/>
        </w:tcBorders>
      </w:tcPr>
    </w:tblStylePr>
  </w:style>
  <w:style w:type="table" w:styleId="ListTable3-Accent2">
    <w:name w:val="List Table 3 Accent 2"/>
    <w:basedOn w:val="TableNormal"/>
    <w:uiPriority w:val="48"/>
    <w:unhideWhenUsed/>
    <w:rsid w:val="009F072B"/>
    <w:pPr>
      <w:spacing w:line="240" w:lineRule="auto"/>
    </w:pPr>
    <w:rPr>
      <w:rFonts w:eastAsiaTheme="minorHAnsi"/>
    </w:rPr>
    <w:tblPr>
      <w:tblStyleRowBandSize w:val="1"/>
      <w:tblStyleColBandSize w:val="1"/>
      <w:tblBorders>
        <w:top w:val="single" w:sz="4" w:space="0" w:color="2297AA" w:themeColor="accent2"/>
        <w:left w:val="single" w:sz="4" w:space="0" w:color="2297AA" w:themeColor="accent2"/>
        <w:bottom w:val="single" w:sz="4" w:space="0" w:color="2297AA" w:themeColor="accent2"/>
        <w:right w:val="single" w:sz="4" w:space="0" w:color="2297AA" w:themeColor="accent2"/>
      </w:tblBorders>
    </w:tblPr>
    <w:tblStylePr w:type="firstRow">
      <w:rPr>
        <w:b/>
        <w:bCs/>
        <w:color w:val="FFFFFF" w:themeColor="background1"/>
      </w:rPr>
      <w:tblPr/>
      <w:tcPr>
        <w:shd w:val="clear" w:color="auto" w:fill="2297AA" w:themeFill="accent2"/>
      </w:tcPr>
    </w:tblStylePr>
    <w:tblStylePr w:type="lastRow">
      <w:rPr>
        <w:b/>
        <w:bCs/>
      </w:rPr>
      <w:tblPr/>
      <w:tcPr>
        <w:tcBorders>
          <w:top w:val="double" w:sz="4" w:space="0" w:color="2297A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97AA" w:themeColor="accent2"/>
          <w:right w:val="single" w:sz="4" w:space="0" w:color="2297AA" w:themeColor="accent2"/>
        </w:tcBorders>
      </w:tcPr>
    </w:tblStylePr>
    <w:tblStylePr w:type="band1Horz">
      <w:tblPr/>
      <w:tcPr>
        <w:tcBorders>
          <w:top w:val="single" w:sz="4" w:space="0" w:color="2297AA" w:themeColor="accent2"/>
          <w:bottom w:val="single" w:sz="4" w:space="0" w:color="2297A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97AA" w:themeColor="accent2"/>
          <w:left w:val="nil"/>
        </w:tcBorders>
      </w:tcPr>
    </w:tblStylePr>
    <w:tblStylePr w:type="swCell">
      <w:tblPr/>
      <w:tcPr>
        <w:tcBorders>
          <w:top w:val="double" w:sz="4" w:space="0" w:color="2297AA" w:themeColor="accent2"/>
          <w:right w:val="nil"/>
        </w:tcBorders>
      </w:tcPr>
    </w:tblStylePr>
  </w:style>
  <w:style w:type="table" w:styleId="ListTable3-Accent3">
    <w:name w:val="List Table 3 Accent 3"/>
    <w:basedOn w:val="TableNormal"/>
    <w:uiPriority w:val="48"/>
    <w:unhideWhenUsed/>
    <w:rsid w:val="009F072B"/>
    <w:pPr>
      <w:spacing w:line="240" w:lineRule="auto"/>
    </w:pPr>
    <w:rPr>
      <w:rFonts w:eastAsiaTheme="minorHAnsi"/>
    </w:rPr>
    <w:tblPr>
      <w:tblStyleRowBandSize w:val="1"/>
      <w:tblStyleColBandSize w:val="1"/>
      <w:tblBorders>
        <w:top w:val="single" w:sz="4" w:space="0" w:color="37BA95" w:themeColor="accent3"/>
        <w:left w:val="single" w:sz="4" w:space="0" w:color="37BA95" w:themeColor="accent3"/>
        <w:bottom w:val="single" w:sz="4" w:space="0" w:color="37BA95" w:themeColor="accent3"/>
        <w:right w:val="single" w:sz="4" w:space="0" w:color="37BA95" w:themeColor="accent3"/>
      </w:tblBorders>
    </w:tblPr>
    <w:tblStylePr w:type="firstRow">
      <w:rPr>
        <w:b/>
        <w:bCs/>
        <w:color w:val="FFFFFF" w:themeColor="background1"/>
      </w:rPr>
      <w:tblPr/>
      <w:tcPr>
        <w:shd w:val="clear" w:color="auto" w:fill="37BA95" w:themeFill="accent3"/>
      </w:tcPr>
    </w:tblStylePr>
    <w:tblStylePr w:type="lastRow">
      <w:rPr>
        <w:b/>
        <w:bCs/>
      </w:rPr>
      <w:tblPr/>
      <w:tcPr>
        <w:tcBorders>
          <w:top w:val="double" w:sz="4" w:space="0" w:color="37BA9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BA95" w:themeColor="accent3"/>
          <w:right w:val="single" w:sz="4" w:space="0" w:color="37BA95" w:themeColor="accent3"/>
        </w:tcBorders>
      </w:tcPr>
    </w:tblStylePr>
    <w:tblStylePr w:type="band1Horz">
      <w:tblPr/>
      <w:tcPr>
        <w:tcBorders>
          <w:top w:val="single" w:sz="4" w:space="0" w:color="37BA95" w:themeColor="accent3"/>
          <w:bottom w:val="single" w:sz="4" w:space="0" w:color="37BA9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BA95" w:themeColor="accent3"/>
          <w:left w:val="nil"/>
        </w:tcBorders>
      </w:tcPr>
    </w:tblStylePr>
    <w:tblStylePr w:type="swCell">
      <w:tblPr/>
      <w:tcPr>
        <w:tcBorders>
          <w:top w:val="double" w:sz="4" w:space="0" w:color="37BA95" w:themeColor="accent3"/>
          <w:right w:val="nil"/>
        </w:tcBorders>
      </w:tcPr>
    </w:tblStylePr>
  </w:style>
  <w:style w:type="table" w:styleId="ListTable3-Accent4">
    <w:name w:val="List Table 3 Accent 4"/>
    <w:basedOn w:val="TableNormal"/>
    <w:uiPriority w:val="48"/>
    <w:unhideWhenUsed/>
    <w:rsid w:val="009F072B"/>
    <w:pPr>
      <w:spacing w:line="240" w:lineRule="auto"/>
    </w:pPr>
    <w:rPr>
      <w:rFonts w:eastAsiaTheme="minorHAnsi"/>
    </w:rPr>
    <w:tblPr>
      <w:tblStyleRowBandSize w:val="1"/>
      <w:tblStyleColBandSize w:val="1"/>
      <w:tblBorders>
        <w:top w:val="single" w:sz="4" w:space="0" w:color="F3BD48" w:themeColor="accent4"/>
        <w:left w:val="single" w:sz="4" w:space="0" w:color="F3BD48" w:themeColor="accent4"/>
        <w:bottom w:val="single" w:sz="4" w:space="0" w:color="F3BD48" w:themeColor="accent4"/>
        <w:right w:val="single" w:sz="4" w:space="0" w:color="F3BD48" w:themeColor="accent4"/>
      </w:tblBorders>
    </w:tblPr>
    <w:tblStylePr w:type="firstRow">
      <w:rPr>
        <w:b/>
        <w:bCs/>
        <w:color w:val="FFFFFF" w:themeColor="background1"/>
      </w:rPr>
      <w:tblPr/>
      <w:tcPr>
        <w:shd w:val="clear" w:color="auto" w:fill="F3BD48" w:themeFill="accent4"/>
      </w:tcPr>
    </w:tblStylePr>
    <w:tblStylePr w:type="lastRow">
      <w:rPr>
        <w:b/>
        <w:bCs/>
      </w:rPr>
      <w:tblPr/>
      <w:tcPr>
        <w:tcBorders>
          <w:top w:val="double" w:sz="4" w:space="0" w:color="F3BD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BD48" w:themeColor="accent4"/>
          <w:right w:val="single" w:sz="4" w:space="0" w:color="F3BD48" w:themeColor="accent4"/>
        </w:tcBorders>
      </w:tcPr>
    </w:tblStylePr>
    <w:tblStylePr w:type="band1Horz">
      <w:tblPr/>
      <w:tcPr>
        <w:tcBorders>
          <w:top w:val="single" w:sz="4" w:space="0" w:color="F3BD48" w:themeColor="accent4"/>
          <w:bottom w:val="single" w:sz="4" w:space="0" w:color="F3BD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BD48" w:themeColor="accent4"/>
          <w:left w:val="nil"/>
        </w:tcBorders>
      </w:tcPr>
    </w:tblStylePr>
    <w:tblStylePr w:type="swCell">
      <w:tblPr/>
      <w:tcPr>
        <w:tcBorders>
          <w:top w:val="double" w:sz="4" w:space="0" w:color="F3BD48" w:themeColor="accent4"/>
          <w:right w:val="nil"/>
        </w:tcBorders>
      </w:tcPr>
    </w:tblStylePr>
  </w:style>
  <w:style w:type="table" w:styleId="ListTable3-Accent5">
    <w:name w:val="List Table 3 Accent 5"/>
    <w:basedOn w:val="TableNormal"/>
    <w:uiPriority w:val="48"/>
    <w:unhideWhenUsed/>
    <w:rsid w:val="009F072B"/>
    <w:pPr>
      <w:spacing w:line="240" w:lineRule="auto"/>
    </w:pPr>
    <w:rPr>
      <w:rFonts w:eastAsiaTheme="minorHAnsi"/>
    </w:rPr>
    <w:tblPr>
      <w:tblStyleRowBandSize w:val="1"/>
      <w:tblStyleColBandSize w:val="1"/>
      <w:tblBorders>
        <w:top w:val="single" w:sz="4" w:space="0" w:color="F26A25" w:themeColor="accent5"/>
        <w:left w:val="single" w:sz="4" w:space="0" w:color="F26A25" w:themeColor="accent5"/>
        <w:bottom w:val="single" w:sz="4" w:space="0" w:color="F26A25" w:themeColor="accent5"/>
        <w:right w:val="single" w:sz="4" w:space="0" w:color="F26A25" w:themeColor="accent5"/>
      </w:tblBorders>
    </w:tblPr>
    <w:tblStylePr w:type="firstRow">
      <w:rPr>
        <w:b/>
        <w:bCs/>
        <w:color w:val="FFFFFF" w:themeColor="background1"/>
      </w:rPr>
      <w:tblPr/>
      <w:tcPr>
        <w:shd w:val="clear" w:color="auto" w:fill="F26A25" w:themeFill="accent5"/>
      </w:tcPr>
    </w:tblStylePr>
    <w:tblStylePr w:type="lastRow">
      <w:rPr>
        <w:b/>
        <w:bCs/>
      </w:rPr>
      <w:tblPr/>
      <w:tcPr>
        <w:tcBorders>
          <w:top w:val="double" w:sz="4" w:space="0" w:color="F26A2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A25" w:themeColor="accent5"/>
          <w:right w:val="single" w:sz="4" w:space="0" w:color="F26A25" w:themeColor="accent5"/>
        </w:tcBorders>
      </w:tcPr>
    </w:tblStylePr>
    <w:tblStylePr w:type="band1Horz">
      <w:tblPr/>
      <w:tcPr>
        <w:tcBorders>
          <w:top w:val="single" w:sz="4" w:space="0" w:color="F26A25" w:themeColor="accent5"/>
          <w:bottom w:val="single" w:sz="4" w:space="0" w:color="F26A2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A25" w:themeColor="accent5"/>
          <w:left w:val="nil"/>
        </w:tcBorders>
      </w:tcPr>
    </w:tblStylePr>
    <w:tblStylePr w:type="swCell">
      <w:tblPr/>
      <w:tcPr>
        <w:tcBorders>
          <w:top w:val="double" w:sz="4" w:space="0" w:color="F26A25" w:themeColor="accent5"/>
          <w:right w:val="nil"/>
        </w:tcBorders>
      </w:tcPr>
    </w:tblStylePr>
  </w:style>
  <w:style w:type="table" w:styleId="ListTable3-Accent6">
    <w:name w:val="List Table 3 Accent 6"/>
    <w:basedOn w:val="TableNormal"/>
    <w:uiPriority w:val="48"/>
    <w:unhideWhenUsed/>
    <w:rsid w:val="009F072B"/>
    <w:pPr>
      <w:spacing w:line="240" w:lineRule="auto"/>
    </w:pPr>
    <w:rPr>
      <w:rFonts w:eastAsiaTheme="minorHAnsi"/>
    </w:rPr>
    <w:tblPr>
      <w:tblStyleRowBandSize w:val="1"/>
      <w:tblStyleColBandSize w:val="1"/>
      <w:tblBorders>
        <w:top w:val="single" w:sz="4" w:space="0" w:color="CD3E71" w:themeColor="accent6"/>
        <w:left w:val="single" w:sz="4" w:space="0" w:color="CD3E71" w:themeColor="accent6"/>
        <w:bottom w:val="single" w:sz="4" w:space="0" w:color="CD3E71" w:themeColor="accent6"/>
        <w:right w:val="single" w:sz="4" w:space="0" w:color="CD3E71" w:themeColor="accent6"/>
      </w:tblBorders>
    </w:tblPr>
    <w:tblStylePr w:type="firstRow">
      <w:rPr>
        <w:b/>
        <w:bCs/>
        <w:color w:val="FFFFFF" w:themeColor="background1"/>
      </w:rPr>
      <w:tblPr/>
      <w:tcPr>
        <w:shd w:val="clear" w:color="auto" w:fill="CD3E71" w:themeFill="accent6"/>
      </w:tcPr>
    </w:tblStylePr>
    <w:tblStylePr w:type="lastRow">
      <w:rPr>
        <w:b/>
        <w:bCs/>
      </w:rPr>
      <w:tblPr/>
      <w:tcPr>
        <w:tcBorders>
          <w:top w:val="double" w:sz="4" w:space="0" w:color="CD3E7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3E71" w:themeColor="accent6"/>
          <w:right w:val="single" w:sz="4" w:space="0" w:color="CD3E71" w:themeColor="accent6"/>
        </w:tcBorders>
      </w:tcPr>
    </w:tblStylePr>
    <w:tblStylePr w:type="band1Horz">
      <w:tblPr/>
      <w:tcPr>
        <w:tcBorders>
          <w:top w:val="single" w:sz="4" w:space="0" w:color="CD3E71" w:themeColor="accent6"/>
          <w:bottom w:val="single" w:sz="4" w:space="0" w:color="CD3E7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3E71" w:themeColor="accent6"/>
          <w:left w:val="nil"/>
        </w:tcBorders>
      </w:tcPr>
    </w:tblStylePr>
    <w:tblStylePr w:type="swCell">
      <w:tblPr/>
      <w:tcPr>
        <w:tcBorders>
          <w:top w:val="double" w:sz="4" w:space="0" w:color="CD3E71" w:themeColor="accent6"/>
          <w:right w:val="nil"/>
        </w:tcBorders>
      </w:tcPr>
    </w:tblStylePr>
  </w:style>
  <w:style w:type="table" w:styleId="ListTable4">
    <w:name w:val="List Table 4"/>
    <w:basedOn w:val="TableNormal"/>
    <w:uiPriority w:val="49"/>
    <w:unhideWhenUsed/>
    <w:rsid w:val="009F072B"/>
    <w:pPr>
      <w:spacing w:line="240" w:lineRule="auto"/>
    </w:pPr>
    <w:rPr>
      <w:rFonts w:eastAsiaTheme="minorHAnsi"/>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unhideWhenUsed/>
    <w:rsid w:val="009F072B"/>
    <w:pPr>
      <w:spacing w:line="240" w:lineRule="auto"/>
    </w:pPr>
    <w:rPr>
      <w:rFonts w:eastAsiaTheme="minorHAnsi"/>
    </w:rPr>
    <w:tblPr>
      <w:tblStyleRowBandSize w:val="1"/>
      <w:tblStyleColBandSize w:val="1"/>
      <w:tblBorders>
        <w:top w:val="single" w:sz="4" w:space="0" w:color="4B82D3" w:themeColor="accent1" w:themeTint="99"/>
        <w:left w:val="single" w:sz="4" w:space="0" w:color="4B82D3" w:themeColor="accent1" w:themeTint="99"/>
        <w:bottom w:val="single" w:sz="4" w:space="0" w:color="4B82D3" w:themeColor="accent1" w:themeTint="99"/>
        <w:right w:val="single" w:sz="4" w:space="0" w:color="4B82D3" w:themeColor="accent1" w:themeTint="99"/>
        <w:insideH w:val="single" w:sz="4" w:space="0" w:color="4B82D3" w:themeColor="accent1" w:themeTint="99"/>
      </w:tblBorders>
    </w:tblPr>
    <w:tblStylePr w:type="firstRow">
      <w:rPr>
        <w:b/>
        <w:bCs/>
        <w:color w:val="FFFFFF" w:themeColor="background1"/>
      </w:rPr>
      <w:tblPr/>
      <w:tcPr>
        <w:tcBorders>
          <w:top w:val="single" w:sz="4" w:space="0" w:color="1B3D6F" w:themeColor="accent1"/>
          <w:left w:val="single" w:sz="4" w:space="0" w:color="1B3D6F" w:themeColor="accent1"/>
          <w:bottom w:val="single" w:sz="4" w:space="0" w:color="1B3D6F" w:themeColor="accent1"/>
          <w:right w:val="single" w:sz="4" w:space="0" w:color="1B3D6F" w:themeColor="accent1"/>
          <w:insideH w:val="nil"/>
        </w:tcBorders>
        <w:shd w:val="clear" w:color="auto" w:fill="1B3D6F" w:themeFill="accent1"/>
      </w:tcPr>
    </w:tblStylePr>
    <w:tblStylePr w:type="lastRow">
      <w:rPr>
        <w:b/>
        <w:bCs/>
      </w:rPr>
      <w:tblPr/>
      <w:tcPr>
        <w:tcBorders>
          <w:top w:val="double" w:sz="4" w:space="0" w:color="4B82D3" w:themeColor="accent1" w:themeTint="99"/>
        </w:tcBorders>
      </w:tcPr>
    </w:tblStylePr>
    <w:tblStylePr w:type="firstCol">
      <w:rPr>
        <w:b/>
        <w:bCs/>
      </w:rPr>
    </w:tblStylePr>
    <w:tblStylePr w:type="lastCol">
      <w:rPr>
        <w:b/>
        <w:bCs/>
      </w:rPr>
    </w:tblStylePr>
    <w:tblStylePr w:type="band1Vert">
      <w:tblPr/>
      <w:tcPr>
        <w:shd w:val="clear" w:color="auto" w:fill="C2D5F0" w:themeFill="accent1" w:themeFillTint="33"/>
      </w:tcPr>
    </w:tblStylePr>
    <w:tblStylePr w:type="band1Horz">
      <w:tblPr/>
      <w:tcPr>
        <w:shd w:val="clear" w:color="auto" w:fill="C2D5F0" w:themeFill="accent1" w:themeFillTint="33"/>
      </w:tcPr>
    </w:tblStylePr>
  </w:style>
  <w:style w:type="table" w:styleId="ListTable4-Accent3">
    <w:name w:val="List Table 4 Accent 3"/>
    <w:basedOn w:val="TableNormal"/>
    <w:uiPriority w:val="49"/>
    <w:unhideWhenUsed/>
    <w:rsid w:val="009F072B"/>
    <w:pPr>
      <w:spacing w:line="240" w:lineRule="auto"/>
    </w:pPr>
    <w:rPr>
      <w:rFonts w:eastAsiaTheme="minorHAnsi"/>
    </w:rPr>
    <w:tblPr>
      <w:tblStyleRowBandSize w:val="1"/>
      <w:tblStyleColBandSize w:val="1"/>
      <w:tblBorders>
        <w:top w:val="single" w:sz="4" w:space="0" w:color="82DAC0" w:themeColor="accent3" w:themeTint="99"/>
        <w:left w:val="single" w:sz="4" w:space="0" w:color="82DAC0" w:themeColor="accent3" w:themeTint="99"/>
        <w:bottom w:val="single" w:sz="4" w:space="0" w:color="82DAC0" w:themeColor="accent3" w:themeTint="99"/>
        <w:right w:val="single" w:sz="4" w:space="0" w:color="82DAC0" w:themeColor="accent3" w:themeTint="99"/>
        <w:insideH w:val="single" w:sz="4" w:space="0" w:color="82DAC0" w:themeColor="accent3" w:themeTint="99"/>
      </w:tblBorders>
    </w:tblPr>
    <w:tblStylePr w:type="firstRow">
      <w:rPr>
        <w:b/>
        <w:bCs/>
        <w:color w:val="FFFFFF" w:themeColor="background1"/>
      </w:rPr>
      <w:tblPr/>
      <w:tcPr>
        <w:tcBorders>
          <w:top w:val="single" w:sz="4" w:space="0" w:color="37BA95" w:themeColor="accent3"/>
          <w:left w:val="single" w:sz="4" w:space="0" w:color="37BA95" w:themeColor="accent3"/>
          <w:bottom w:val="single" w:sz="4" w:space="0" w:color="37BA95" w:themeColor="accent3"/>
          <w:right w:val="single" w:sz="4" w:space="0" w:color="37BA95" w:themeColor="accent3"/>
          <w:insideH w:val="nil"/>
        </w:tcBorders>
        <w:shd w:val="clear" w:color="auto" w:fill="37BA95" w:themeFill="accent3"/>
      </w:tcPr>
    </w:tblStylePr>
    <w:tblStylePr w:type="lastRow">
      <w:rPr>
        <w:b/>
        <w:bCs/>
      </w:rPr>
      <w:tblPr/>
      <w:tcPr>
        <w:tcBorders>
          <w:top w:val="double" w:sz="4" w:space="0" w:color="82DAC0" w:themeColor="accent3" w:themeTint="99"/>
        </w:tcBorders>
      </w:tcPr>
    </w:tblStylePr>
    <w:tblStylePr w:type="firstCol">
      <w:rPr>
        <w:b/>
        <w:bCs/>
      </w:rPr>
    </w:tblStylePr>
    <w:tblStylePr w:type="lastCol">
      <w:rPr>
        <w:b/>
        <w:bCs/>
      </w:rPr>
    </w:tblStylePr>
    <w:tblStylePr w:type="band1Vert">
      <w:tblPr/>
      <w:tcPr>
        <w:shd w:val="clear" w:color="auto" w:fill="D5F2EA" w:themeFill="accent3" w:themeFillTint="33"/>
      </w:tcPr>
    </w:tblStylePr>
    <w:tblStylePr w:type="band1Horz">
      <w:tblPr/>
      <w:tcPr>
        <w:shd w:val="clear" w:color="auto" w:fill="D5F2EA" w:themeFill="accent3" w:themeFillTint="33"/>
      </w:tcPr>
    </w:tblStylePr>
  </w:style>
  <w:style w:type="table" w:styleId="ListTable4-Accent4">
    <w:name w:val="List Table 4 Accent 4"/>
    <w:basedOn w:val="TableNormal"/>
    <w:uiPriority w:val="49"/>
    <w:unhideWhenUsed/>
    <w:rsid w:val="009F072B"/>
    <w:pPr>
      <w:spacing w:line="240" w:lineRule="auto"/>
    </w:pPr>
    <w:rPr>
      <w:rFonts w:eastAsiaTheme="minorHAnsi"/>
    </w:rPr>
    <w:tblPr>
      <w:tblStyleRowBandSize w:val="1"/>
      <w:tblStyleColBandSize w:val="1"/>
      <w:tblBorders>
        <w:top w:val="single" w:sz="4" w:space="0" w:color="F7D791" w:themeColor="accent4" w:themeTint="99"/>
        <w:left w:val="single" w:sz="4" w:space="0" w:color="F7D791" w:themeColor="accent4" w:themeTint="99"/>
        <w:bottom w:val="single" w:sz="4" w:space="0" w:color="F7D791" w:themeColor="accent4" w:themeTint="99"/>
        <w:right w:val="single" w:sz="4" w:space="0" w:color="F7D791" w:themeColor="accent4" w:themeTint="99"/>
        <w:insideH w:val="single" w:sz="4" w:space="0" w:color="F7D791" w:themeColor="accent4" w:themeTint="99"/>
      </w:tblBorders>
    </w:tblPr>
    <w:tblStylePr w:type="firstRow">
      <w:rPr>
        <w:b/>
        <w:bCs/>
        <w:color w:val="FFFFFF" w:themeColor="background1"/>
      </w:rPr>
      <w:tblPr/>
      <w:tcPr>
        <w:tcBorders>
          <w:top w:val="single" w:sz="4" w:space="0" w:color="F3BD48" w:themeColor="accent4"/>
          <w:left w:val="single" w:sz="4" w:space="0" w:color="F3BD48" w:themeColor="accent4"/>
          <w:bottom w:val="single" w:sz="4" w:space="0" w:color="F3BD48" w:themeColor="accent4"/>
          <w:right w:val="single" w:sz="4" w:space="0" w:color="F3BD48" w:themeColor="accent4"/>
          <w:insideH w:val="nil"/>
        </w:tcBorders>
        <w:shd w:val="clear" w:color="auto" w:fill="F3BD48" w:themeFill="accent4"/>
      </w:tcPr>
    </w:tblStylePr>
    <w:tblStylePr w:type="lastRow">
      <w:rPr>
        <w:b/>
        <w:bCs/>
      </w:rPr>
      <w:tblPr/>
      <w:tcPr>
        <w:tcBorders>
          <w:top w:val="double" w:sz="4" w:space="0" w:color="F7D791" w:themeColor="accent4" w:themeTint="99"/>
        </w:tcBorders>
      </w:tcPr>
    </w:tblStylePr>
    <w:tblStylePr w:type="firstCol">
      <w:rPr>
        <w:b/>
        <w:bCs/>
      </w:rPr>
    </w:tblStylePr>
    <w:tblStylePr w:type="lastCol">
      <w:rPr>
        <w:b/>
        <w:bCs/>
      </w:rPr>
    </w:tblStylePr>
    <w:tblStylePr w:type="band1Vert">
      <w:tblPr/>
      <w:tcPr>
        <w:shd w:val="clear" w:color="auto" w:fill="FCF1DA" w:themeFill="accent4" w:themeFillTint="33"/>
      </w:tcPr>
    </w:tblStylePr>
    <w:tblStylePr w:type="band1Horz">
      <w:tblPr/>
      <w:tcPr>
        <w:shd w:val="clear" w:color="auto" w:fill="FCF1DA" w:themeFill="accent4" w:themeFillTint="33"/>
      </w:tcPr>
    </w:tblStylePr>
  </w:style>
  <w:style w:type="table" w:styleId="ListTable4-Accent5">
    <w:name w:val="List Table 4 Accent 5"/>
    <w:basedOn w:val="TableNormal"/>
    <w:uiPriority w:val="49"/>
    <w:unhideWhenUsed/>
    <w:rsid w:val="009F072B"/>
    <w:pPr>
      <w:spacing w:line="240" w:lineRule="auto"/>
    </w:pPr>
    <w:rPr>
      <w:rFonts w:eastAsiaTheme="minorHAnsi"/>
    </w:rPr>
    <w:tblPr>
      <w:tblStyleRowBandSize w:val="1"/>
      <w:tblStyleColBandSize w:val="1"/>
      <w:tblBorders>
        <w:top w:val="single" w:sz="4" w:space="0" w:color="F7A57C" w:themeColor="accent5" w:themeTint="99"/>
        <w:left w:val="single" w:sz="4" w:space="0" w:color="F7A57C" w:themeColor="accent5" w:themeTint="99"/>
        <w:bottom w:val="single" w:sz="4" w:space="0" w:color="F7A57C" w:themeColor="accent5" w:themeTint="99"/>
        <w:right w:val="single" w:sz="4" w:space="0" w:color="F7A57C" w:themeColor="accent5" w:themeTint="99"/>
        <w:insideH w:val="single" w:sz="4" w:space="0" w:color="F7A57C" w:themeColor="accent5" w:themeTint="99"/>
      </w:tblBorders>
    </w:tblPr>
    <w:tblStylePr w:type="firstRow">
      <w:rPr>
        <w:b/>
        <w:bCs/>
        <w:color w:val="FFFFFF" w:themeColor="background1"/>
      </w:rPr>
      <w:tblPr/>
      <w:tcPr>
        <w:tcBorders>
          <w:top w:val="single" w:sz="4" w:space="0" w:color="F26A25" w:themeColor="accent5"/>
          <w:left w:val="single" w:sz="4" w:space="0" w:color="F26A25" w:themeColor="accent5"/>
          <w:bottom w:val="single" w:sz="4" w:space="0" w:color="F26A25" w:themeColor="accent5"/>
          <w:right w:val="single" w:sz="4" w:space="0" w:color="F26A25" w:themeColor="accent5"/>
          <w:insideH w:val="nil"/>
        </w:tcBorders>
        <w:shd w:val="clear" w:color="auto" w:fill="F26A25" w:themeFill="accent5"/>
      </w:tcPr>
    </w:tblStylePr>
    <w:tblStylePr w:type="lastRow">
      <w:rPr>
        <w:b/>
        <w:bCs/>
      </w:rPr>
      <w:tblPr/>
      <w:tcPr>
        <w:tcBorders>
          <w:top w:val="double" w:sz="4" w:space="0" w:color="F7A57C" w:themeColor="accent5" w:themeTint="99"/>
        </w:tcBorders>
      </w:tcPr>
    </w:tblStylePr>
    <w:tblStylePr w:type="firstCol">
      <w:rPr>
        <w:b/>
        <w:bCs/>
      </w:rPr>
    </w:tblStylePr>
    <w:tblStylePr w:type="lastCol">
      <w:rPr>
        <w:b/>
        <w:bCs/>
      </w:rPr>
    </w:tblStylePr>
    <w:tblStylePr w:type="band1Vert">
      <w:tblPr/>
      <w:tcPr>
        <w:shd w:val="clear" w:color="auto" w:fill="FCE0D3" w:themeFill="accent5" w:themeFillTint="33"/>
      </w:tcPr>
    </w:tblStylePr>
    <w:tblStylePr w:type="band1Horz">
      <w:tblPr/>
      <w:tcPr>
        <w:shd w:val="clear" w:color="auto" w:fill="FCE0D3" w:themeFill="accent5" w:themeFillTint="33"/>
      </w:tcPr>
    </w:tblStylePr>
  </w:style>
  <w:style w:type="table" w:styleId="ListTable4-Accent6">
    <w:name w:val="List Table 4 Accent 6"/>
    <w:basedOn w:val="TableNormal"/>
    <w:uiPriority w:val="49"/>
    <w:unhideWhenUsed/>
    <w:rsid w:val="009F072B"/>
    <w:pPr>
      <w:spacing w:line="240" w:lineRule="auto"/>
    </w:pPr>
    <w:rPr>
      <w:rFonts w:eastAsiaTheme="minorHAnsi"/>
    </w:rPr>
    <w:tblPr>
      <w:tblStyleRowBandSize w:val="1"/>
      <w:tblStyleColBandSize w:val="1"/>
      <w:tblBorders>
        <w:top w:val="single" w:sz="4" w:space="0" w:color="E18BA9" w:themeColor="accent6" w:themeTint="99"/>
        <w:left w:val="single" w:sz="4" w:space="0" w:color="E18BA9" w:themeColor="accent6" w:themeTint="99"/>
        <w:bottom w:val="single" w:sz="4" w:space="0" w:color="E18BA9" w:themeColor="accent6" w:themeTint="99"/>
        <w:right w:val="single" w:sz="4" w:space="0" w:color="E18BA9" w:themeColor="accent6" w:themeTint="99"/>
        <w:insideH w:val="single" w:sz="4" w:space="0" w:color="E18BA9" w:themeColor="accent6" w:themeTint="99"/>
      </w:tblBorders>
    </w:tblPr>
    <w:tblStylePr w:type="firstRow">
      <w:rPr>
        <w:b/>
        <w:bCs/>
        <w:color w:val="FFFFFF" w:themeColor="background1"/>
      </w:rPr>
      <w:tblPr/>
      <w:tcPr>
        <w:tcBorders>
          <w:top w:val="single" w:sz="4" w:space="0" w:color="CD3E71" w:themeColor="accent6"/>
          <w:left w:val="single" w:sz="4" w:space="0" w:color="CD3E71" w:themeColor="accent6"/>
          <w:bottom w:val="single" w:sz="4" w:space="0" w:color="CD3E71" w:themeColor="accent6"/>
          <w:right w:val="single" w:sz="4" w:space="0" w:color="CD3E71" w:themeColor="accent6"/>
          <w:insideH w:val="nil"/>
        </w:tcBorders>
        <w:shd w:val="clear" w:color="auto" w:fill="CD3E71" w:themeFill="accent6"/>
      </w:tcPr>
    </w:tblStylePr>
    <w:tblStylePr w:type="lastRow">
      <w:rPr>
        <w:b/>
        <w:bCs/>
      </w:rPr>
      <w:tblPr/>
      <w:tcPr>
        <w:tcBorders>
          <w:top w:val="double" w:sz="4" w:space="0" w:color="E18BA9" w:themeColor="accent6" w:themeTint="99"/>
        </w:tcBorders>
      </w:tcPr>
    </w:tblStylePr>
    <w:tblStylePr w:type="firstCol">
      <w:rPr>
        <w:b/>
        <w:bCs/>
      </w:rPr>
    </w:tblStylePr>
    <w:tblStylePr w:type="lastCol">
      <w:rPr>
        <w:b/>
        <w:bCs/>
      </w:rPr>
    </w:tblStylePr>
    <w:tblStylePr w:type="band1Vert">
      <w:tblPr/>
      <w:tcPr>
        <w:shd w:val="clear" w:color="auto" w:fill="F5D8E2" w:themeFill="accent6" w:themeFillTint="33"/>
      </w:tcPr>
    </w:tblStylePr>
    <w:tblStylePr w:type="band1Horz">
      <w:tblPr/>
      <w:tcPr>
        <w:shd w:val="clear" w:color="auto" w:fill="F5D8E2" w:themeFill="accent6" w:themeFillTint="33"/>
      </w:tcPr>
    </w:tblStylePr>
  </w:style>
  <w:style w:type="table" w:styleId="ListTable5Dark">
    <w:name w:val="List Table 5 Dark"/>
    <w:basedOn w:val="TableNormal"/>
    <w:uiPriority w:val="50"/>
    <w:unhideWhenUsed/>
    <w:rsid w:val="009F072B"/>
    <w:pPr>
      <w:spacing w:line="240" w:lineRule="auto"/>
    </w:pPr>
    <w:rPr>
      <w:rFonts w:eastAsiaTheme="minorHAnsi"/>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unhideWhenUsed/>
    <w:rsid w:val="009F072B"/>
    <w:pPr>
      <w:spacing w:line="240" w:lineRule="auto"/>
    </w:pPr>
    <w:rPr>
      <w:rFonts w:eastAsiaTheme="minorHAnsi"/>
      <w:color w:val="FFFFFF" w:themeColor="background1"/>
    </w:rPr>
    <w:tblPr>
      <w:tblStyleRowBandSize w:val="1"/>
      <w:tblStyleColBandSize w:val="1"/>
      <w:tblBorders>
        <w:top w:val="single" w:sz="24" w:space="0" w:color="1B3D6F" w:themeColor="accent1"/>
        <w:left w:val="single" w:sz="24" w:space="0" w:color="1B3D6F" w:themeColor="accent1"/>
        <w:bottom w:val="single" w:sz="24" w:space="0" w:color="1B3D6F" w:themeColor="accent1"/>
        <w:right w:val="single" w:sz="24" w:space="0" w:color="1B3D6F" w:themeColor="accent1"/>
      </w:tblBorders>
    </w:tblPr>
    <w:tcPr>
      <w:shd w:val="clear" w:color="auto" w:fill="1B3D6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unhideWhenUsed/>
    <w:rsid w:val="009F072B"/>
    <w:pPr>
      <w:spacing w:line="240" w:lineRule="auto"/>
    </w:pPr>
    <w:rPr>
      <w:rFonts w:eastAsiaTheme="minorHAnsi"/>
      <w:color w:val="FFFFFF" w:themeColor="background1"/>
    </w:rPr>
    <w:tblPr>
      <w:tblStyleRowBandSize w:val="1"/>
      <w:tblStyleColBandSize w:val="1"/>
      <w:tblBorders>
        <w:top w:val="single" w:sz="24" w:space="0" w:color="2297AA" w:themeColor="accent2"/>
        <w:left w:val="single" w:sz="24" w:space="0" w:color="2297AA" w:themeColor="accent2"/>
        <w:bottom w:val="single" w:sz="24" w:space="0" w:color="2297AA" w:themeColor="accent2"/>
        <w:right w:val="single" w:sz="24" w:space="0" w:color="2297AA" w:themeColor="accent2"/>
      </w:tblBorders>
    </w:tblPr>
    <w:tcPr>
      <w:shd w:val="clear" w:color="auto" w:fill="2297A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unhideWhenUsed/>
    <w:rsid w:val="009F072B"/>
    <w:pPr>
      <w:spacing w:line="240" w:lineRule="auto"/>
    </w:pPr>
    <w:rPr>
      <w:rFonts w:eastAsiaTheme="minorHAnsi"/>
      <w:color w:val="FFFFFF" w:themeColor="background1"/>
    </w:rPr>
    <w:tblPr>
      <w:tblStyleRowBandSize w:val="1"/>
      <w:tblStyleColBandSize w:val="1"/>
      <w:tblBorders>
        <w:top w:val="single" w:sz="24" w:space="0" w:color="37BA95" w:themeColor="accent3"/>
        <w:left w:val="single" w:sz="24" w:space="0" w:color="37BA95" w:themeColor="accent3"/>
        <w:bottom w:val="single" w:sz="24" w:space="0" w:color="37BA95" w:themeColor="accent3"/>
        <w:right w:val="single" w:sz="24" w:space="0" w:color="37BA95" w:themeColor="accent3"/>
      </w:tblBorders>
    </w:tblPr>
    <w:tcPr>
      <w:shd w:val="clear" w:color="auto" w:fill="37BA9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unhideWhenUsed/>
    <w:rsid w:val="009F072B"/>
    <w:pPr>
      <w:spacing w:line="240" w:lineRule="auto"/>
    </w:pPr>
    <w:rPr>
      <w:rFonts w:eastAsiaTheme="minorHAnsi"/>
      <w:color w:val="FFFFFF" w:themeColor="background1"/>
    </w:rPr>
    <w:tblPr>
      <w:tblStyleRowBandSize w:val="1"/>
      <w:tblStyleColBandSize w:val="1"/>
      <w:tblBorders>
        <w:top w:val="single" w:sz="24" w:space="0" w:color="F3BD48" w:themeColor="accent4"/>
        <w:left w:val="single" w:sz="24" w:space="0" w:color="F3BD48" w:themeColor="accent4"/>
        <w:bottom w:val="single" w:sz="24" w:space="0" w:color="F3BD48" w:themeColor="accent4"/>
        <w:right w:val="single" w:sz="24" w:space="0" w:color="F3BD48" w:themeColor="accent4"/>
      </w:tblBorders>
    </w:tblPr>
    <w:tcPr>
      <w:shd w:val="clear" w:color="auto" w:fill="F3BD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unhideWhenUsed/>
    <w:rsid w:val="009F072B"/>
    <w:pPr>
      <w:spacing w:line="240" w:lineRule="auto"/>
    </w:pPr>
    <w:rPr>
      <w:rFonts w:eastAsiaTheme="minorHAnsi"/>
      <w:color w:val="FFFFFF" w:themeColor="background1"/>
    </w:rPr>
    <w:tblPr>
      <w:tblStyleRowBandSize w:val="1"/>
      <w:tblStyleColBandSize w:val="1"/>
      <w:tblBorders>
        <w:top w:val="single" w:sz="24" w:space="0" w:color="F26A25" w:themeColor="accent5"/>
        <w:left w:val="single" w:sz="24" w:space="0" w:color="F26A25" w:themeColor="accent5"/>
        <w:bottom w:val="single" w:sz="24" w:space="0" w:color="F26A25" w:themeColor="accent5"/>
        <w:right w:val="single" w:sz="24" w:space="0" w:color="F26A25" w:themeColor="accent5"/>
      </w:tblBorders>
    </w:tblPr>
    <w:tcPr>
      <w:shd w:val="clear" w:color="auto" w:fill="F26A2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unhideWhenUsed/>
    <w:rsid w:val="009F072B"/>
    <w:pPr>
      <w:spacing w:line="240" w:lineRule="auto"/>
    </w:pPr>
    <w:rPr>
      <w:rFonts w:eastAsiaTheme="minorHAnsi"/>
      <w:color w:val="FFFFFF" w:themeColor="background1"/>
    </w:rPr>
    <w:tblPr>
      <w:tblStyleRowBandSize w:val="1"/>
      <w:tblStyleColBandSize w:val="1"/>
      <w:tblBorders>
        <w:top w:val="single" w:sz="24" w:space="0" w:color="CD3E71" w:themeColor="accent6"/>
        <w:left w:val="single" w:sz="24" w:space="0" w:color="CD3E71" w:themeColor="accent6"/>
        <w:bottom w:val="single" w:sz="24" w:space="0" w:color="CD3E71" w:themeColor="accent6"/>
        <w:right w:val="single" w:sz="24" w:space="0" w:color="CD3E71" w:themeColor="accent6"/>
      </w:tblBorders>
    </w:tblPr>
    <w:tcPr>
      <w:shd w:val="clear" w:color="auto" w:fill="CD3E7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unhideWhenUsed/>
    <w:rsid w:val="009F072B"/>
    <w:pPr>
      <w:spacing w:line="240" w:lineRule="auto"/>
    </w:pPr>
    <w:rPr>
      <w:rFonts w:eastAsia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unhideWhenUsed/>
    <w:rsid w:val="009F072B"/>
    <w:pPr>
      <w:spacing w:line="240" w:lineRule="auto"/>
    </w:pPr>
    <w:rPr>
      <w:rFonts w:eastAsiaTheme="minorHAnsi"/>
      <w:color w:val="142D53" w:themeColor="accent1" w:themeShade="BF"/>
    </w:rPr>
    <w:tblPr>
      <w:tblStyleRowBandSize w:val="1"/>
      <w:tblStyleColBandSize w:val="1"/>
      <w:tblBorders>
        <w:top w:val="single" w:sz="4" w:space="0" w:color="1B3D6F" w:themeColor="accent1"/>
        <w:bottom w:val="single" w:sz="4" w:space="0" w:color="1B3D6F" w:themeColor="accent1"/>
      </w:tblBorders>
    </w:tblPr>
    <w:tblStylePr w:type="firstRow">
      <w:rPr>
        <w:b/>
        <w:bCs/>
      </w:rPr>
      <w:tblPr/>
      <w:tcPr>
        <w:tcBorders>
          <w:bottom w:val="single" w:sz="4" w:space="0" w:color="1B3D6F" w:themeColor="accent1"/>
        </w:tcBorders>
      </w:tcPr>
    </w:tblStylePr>
    <w:tblStylePr w:type="lastRow">
      <w:rPr>
        <w:b/>
        <w:bCs/>
      </w:rPr>
      <w:tblPr/>
      <w:tcPr>
        <w:tcBorders>
          <w:top w:val="double" w:sz="4" w:space="0" w:color="1B3D6F" w:themeColor="accent1"/>
        </w:tcBorders>
      </w:tcPr>
    </w:tblStylePr>
    <w:tblStylePr w:type="firstCol">
      <w:rPr>
        <w:b/>
        <w:bCs/>
      </w:rPr>
    </w:tblStylePr>
    <w:tblStylePr w:type="lastCol">
      <w:rPr>
        <w:b/>
        <w:bCs/>
      </w:rPr>
    </w:tblStylePr>
    <w:tblStylePr w:type="band1Vert">
      <w:tblPr/>
      <w:tcPr>
        <w:shd w:val="clear" w:color="auto" w:fill="C2D5F0" w:themeFill="accent1" w:themeFillTint="33"/>
      </w:tcPr>
    </w:tblStylePr>
    <w:tblStylePr w:type="band1Horz">
      <w:tblPr/>
      <w:tcPr>
        <w:shd w:val="clear" w:color="auto" w:fill="C2D5F0" w:themeFill="accent1" w:themeFillTint="33"/>
      </w:tcPr>
    </w:tblStylePr>
  </w:style>
  <w:style w:type="table" w:styleId="ListTable6Colorful-Accent2">
    <w:name w:val="List Table 6 Colorful Accent 2"/>
    <w:basedOn w:val="TableNormal"/>
    <w:uiPriority w:val="51"/>
    <w:unhideWhenUsed/>
    <w:rsid w:val="009F072B"/>
    <w:pPr>
      <w:spacing w:line="240" w:lineRule="auto"/>
    </w:pPr>
    <w:rPr>
      <w:rFonts w:eastAsiaTheme="minorHAnsi"/>
      <w:color w:val="19707F" w:themeColor="accent2" w:themeShade="BF"/>
    </w:rPr>
    <w:tblPr>
      <w:tblStyleRowBandSize w:val="1"/>
      <w:tblStyleColBandSize w:val="1"/>
      <w:tblBorders>
        <w:top w:val="single" w:sz="4" w:space="0" w:color="2297AA" w:themeColor="accent2"/>
        <w:bottom w:val="single" w:sz="4" w:space="0" w:color="2297AA" w:themeColor="accent2"/>
      </w:tblBorders>
    </w:tblPr>
    <w:tblStylePr w:type="firstRow">
      <w:rPr>
        <w:b/>
        <w:bCs/>
      </w:rPr>
      <w:tblPr/>
      <w:tcPr>
        <w:tcBorders>
          <w:bottom w:val="single" w:sz="4" w:space="0" w:color="2297AA" w:themeColor="accent2"/>
        </w:tcBorders>
      </w:tcPr>
    </w:tblStylePr>
    <w:tblStylePr w:type="lastRow">
      <w:rPr>
        <w:b/>
        <w:bCs/>
      </w:rPr>
      <w:tblPr/>
      <w:tcPr>
        <w:tcBorders>
          <w:top w:val="double" w:sz="4" w:space="0" w:color="2297AA" w:themeColor="accent2"/>
        </w:tcBorders>
      </w:tcPr>
    </w:tblStylePr>
    <w:tblStylePr w:type="firstCol">
      <w:rPr>
        <w:b/>
        <w:bCs/>
      </w:rPr>
    </w:tblStylePr>
    <w:tblStylePr w:type="lastCol">
      <w:rPr>
        <w:b/>
        <w:bCs/>
      </w:rPr>
    </w:tblStylePr>
    <w:tblStylePr w:type="band1Vert">
      <w:tblPr/>
      <w:tcPr>
        <w:shd w:val="clear" w:color="auto" w:fill="CBEFF4" w:themeFill="accent2" w:themeFillTint="33"/>
      </w:tcPr>
    </w:tblStylePr>
    <w:tblStylePr w:type="band1Horz">
      <w:tblPr/>
      <w:tcPr>
        <w:shd w:val="clear" w:color="auto" w:fill="CBEFF4" w:themeFill="accent2" w:themeFillTint="33"/>
      </w:tcPr>
    </w:tblStylePr>
  </w:style>
  <w:style w:type="table" w:styleId="ListTable6Colorful-Accent3">
    <w:name w:val="List Table 6 Colorful Accent 3"/>
    <w:basedOn w:val="TableNormal"/>
    <w:uiPriority w:val="51"/>
    <w:unhideWhenUsed/>
    <w:rsid w:val="009F072B"/>
    <w:pPr>
      <w:spacing w:line="240" w:lineRule="auto"/>
    </w:pPr>
    <w:rPr>
      <w:rFonts w:eastAsiaTheme="minorHAnsi"/>
      <w:color w:val="298B6F" w:themeColor="accent3" w:themeShade="BF"/>
    </w:rPr>
    <w:tblPr>
      <w:tblStyleRowBandSize w:val="1"/>
      <w:tblStyleColBandSize w:val="1"/>
      <w:tblBorders>
        <w:top w:val="single" w:sz="4" w:space="0" w:color="37BA95" w:themeColor="accent3"/>
        <w:bottom w:val="single" w:sz="4" w:space="0" w:color="37BA95" w:themeColor="accent3"/>
      </w:tblBorders>
    </w:tblPr>
    <w:tblStylePr w:type="firstRow">
      <w:rPr>
        <w:b/>
        <w:bCs/>
      </w:rPr>
      <w:tblPr/>
      <w:tcPr>
        <w:tcBorders>
          <w:bottom w:val="single" w:sz="4" w:space="0" w:color="37BA95" w:themeColor="accent3"/>
        </w:tcBorders>
      </w:tcPr>
    </w:tblStylePr>
    <w:tblStylePr w:type="lastRow">
      <w:rPr>
        <w:b/>
        <w:bCs/>
      </w:rPr>
      <w:tblPr/>
      <w:tcPr>
        <w:tcBorders>
          <w:top w:val="double" w:sz="4" w:space="0" w:color="37BA95" w:themeColor="accent3"/>
        </w:tcBorders>
      </w:tcPr>
    </w:tblStylePr>
    <w:tblStylePr w:type="firstCol">
      <w:rPr>
        <w:b/>
        <w:bCs/>
      </w:rPr>
    </w:tblStylePr>
    <w:tblStylePr w:type="lastCol">
      <w:rPr>
        <w:b/>
        <w:bCs/>
      </w:rPr>
    </w:tblStylePr>
    <w:tblStylePr w:type="band1Vert">
      <w:tblPr/>
      <w:tcPr>
        <w:shd w:val="clear" w:color="auto" w:fill="D5F2EA" w:themeFill="accent3" w:themeFillTint="33"/>
      </w:tcPr>
    </w:tblStylePr>
    <w:tblStylePr w:type="band1Horz">
      <w:tblPr/>
      <w:tcPr>
        <w:shd w:val="clear" w:color="auto" w:fill="D5F2EA" w:themeFill="accent3" w:themeFillTint="33"/>
      </w:tcPr>
    </w:tblStylePr>
  </w:style>
  <w:style w:type="table" w:styleId="ListTable6Colorful-Accent4">
    <w:name w:val="List Table 6 Colorful Accent 4"/>
    <w:basedOn w:val="TableNormal"/>
    <w:uiPriority w:val="51"/>
    <w:unhideWhenUsed/>
    <w:rsid w:val="009F072B"/>
    <w:pPr>
      <w:spacing w:line="240" w:lineRule="auto"/>
    </w:pPr>
    <w:rPr>
      <w:rFonts w:eastAsiaTheme="minorHAnsi"/>
      <w:color w:val="DD9B0E" w:themeColor="accent4" w:themeShade="BF"/>
    </w:rPr>
    <w:tblPr>
      <w:tblStyleRowBandSize w:val="1"/>
      <w:tblStyleColBandSize w:val="1"/>
      <w:tblBorders>
        <w:top w:val="single" w:sz="4" w:space="0" w:color="F3BD48" w:themeColor="accent4"/>
        <w:bottom w:val="single" w:sz="4" w:space="0" w:color="F3BD48" w:themeColor="accent4"/>
      </w:tblBorders>
    </w:tblPr>
    <w:tblStylePr w:type="firstRow">
      <w:rPr>
        <w:b/>
        <w:bCs/>
      </w:rPr>
      <w:tblPr/>
      <w:tcPr>
        <w:tcBorders>
          <w:bottom w:val="single" w:sz="4" w:space="0" w:color="F3BD48" w:themeColor="accent4"/>
        </w:tcBorders>
      </w:tcPr>
    </w:tblStylePr>
    <w:tblStylePr w:type="lastRow">
      <w:rPr>
        <w:b/>
        <w:bCs/>
      </w:rPr>
      <w:tblPr/>
      <w:tcPr>
        <w:tcBorders>
          <w:top w:val="double" w:sz="4" w:space="0" w:color="F3BD48" w:themeColor="accent4"/>
        </w:tcBorders>
      </w:tcPr>
    </w:tblStylePr>
    <w:tblStylePr w:type="firstCol">
      <w:rPr>
        <w:b/>
        <w:bCs/>
      </w:rPr>
    </w:tblStylePr>
    <w:tblStylePr w:type="lastCol">
      <w:rPr>
        <w:b/>
        <w:bCs/>
      </w:rPr>
    </w:tblStylePr>
    <w:tblStylePr w:type="band1Vert">
      <w:tblPr/>
      <w:tcPr>
        <w:shd w:val="clear" w:color="auto" w:fill="FCF1DA" w:themeFill="accent4" w:themeFillTint="33"/>
      </w:tcPr>
    </w:tblStylePr>
    <w:tblStylePr w:type="band1Horz">
      <w:tblPr/>
      <w:tcPr>
        <w:shd w:val="clear" w:color="auto" w:fill="FCF1DA" w:themeFill="accent4" w:themeFillTint="33"/>
      </w:tcPr>
    </w:tblStylePr>
  </w:style>
  <w:style w:type="table" w:styleId="ListTable6Colorful-Accent5">
    <w:name w:val="List Table 6 Colorful Accent 5"/>
    <w:basedOn w:val="TableNormal"/>
    <w:uiPriority w:val="51"/>
    <w:unhideWhenUsed/>
    <w:rsid w:val="009F072B"/>
    <w:pPr>
      <w:spacing w:line="240" w:lineRule="auto"/>
    </w:pPr>
    <w:rPr>
      <w:rFonts w:eastAsiaTheme="minorHAnsi"/>
      <w:color w:val="C4490B" w:themeColor="accent5" w:themeShade="BF"/>
    </w:rPr>
    <w:tblPr>
      <w:tblStyleRowBandSize w:val="1"/>
      <w:tblStyleColBandSize w:val="1"/>
      <w:tblBorders>
        <w:top w:val="single" w:sz="4" w:space="0" w:color="F26A25" w:themeColor="accent5"/>
        <w:bottom w:val="single" w:sz="4" w:space="0" w:color="F26A25" w:themeColor="accent5"/>
      </w:tblBorders>
    </w:tblPr>
    <w:tblStylePr w:type="firstRow">
      <w:rPr>
        <w:b/>
        <w:bCs/>
      </w:rPr>
      <w:tblPr/>
      <w:tcPr>
        <w:tcBorders>
          <w:bottom w:val="single" w:sz="4" w:space="0" w:color="F26A25" w:themeColor="accent5"/>
        </w:tcBorders>
      </w:tcPr>
    </w:tblStylePr>
    <w:tblStylePr w:type="lastRow">
      <w:rPr>
        <w:b/>
        <w:bCs/>
      </w:rPr>
      <w:tblPr/>
      <w:tcPr>
        <w:tcBorders>
          <w:top w:val="double" w:sz="4" w:space="0" w:color="F26A25" w:themeColor="accent5"/>
        </w:tcBorders>
      </w:tcPr>
    </w:tblStylePr>
    <w:tblStylePr w:type="firstCol">
      <w:rPr>
        <w:b/>
        <w:bCs/>
      </w:rPr>
    </w:tblStylePr>
    <w:tblStylePr w:type="lastCol">
      <w:rPr>
        <w:b/>
        <w:bCs/>
      </w:rPr>
    </w:tblStylePr>
    <w:tblStylePr w:type="band1Vert">
      <w:tblPr/>
      <w:tcPr>
        <w:shd w:val="clear" w:color="auto" w:fill="FCE0D3" w:themeFill="accent5" w:themeFillTint="33"/>
      </w:tcPr>
    </w:tblStylePr>
    <w:tblStylePr w:type="band1Horz">
      <w:tblPr/>
      <w:tcPr>
        <w:shd w:val="clear" w:color="auto" w:fill="FCE0D3" w:themeFill="accent5" w:themeFillTint="33"/>
      </w:tcPr>
    </w:tblStylePr>
  </w:style>
  <w:style w:type="table" w:styleId="ListTable6Colorful-Accent6">
    <w:name w:val="List Table 6 Colorful Accent 6"/>
    <w:basedOn w:val="TableNormal"/>
    <w:uiPriority w:val="51"/>
    <w:unhideWhenUsed/>
    <w:rsid w:val="009F072B"/>
    <w:pPr>
      <w:spacing w:line="240" w:lineRule="auto"/>
    </w:pPr>
    <w:rPr>
      <w:rFonts w:eastAsiaTheme="minorHAnsi"/>
      <w:color w:val="9E2952" w:themeColor="accent6" w:themeShade="BF"/>
    </w:rPr>
    <w:tblPr>
      <w:tblStyleRowBandSize w:val="1"/>
      <w:tblStyleColBandSize w:val="1"/>
      <w:tblBorders>
        <w:top w:val="single" w:sz="4" w:space="0" w:color="CD3E71" w:themeColor="accent6"/>
        <w:bottom w:val="single" w:sz="4" w:space="0" w:color="CD3E71" w:themeColor="accent6"/>
      </w:tblBorders>
    </w:tblPr>
    <w:tblStylePr w:type="firstRow">
      <w:rPr>
        <w:b/>
        <w:bCs/>
      </w:rPr>
      <w:tblPr/>
      <w:tcPr>
        <w:tcBorders>
          <w:bottom w:val="single" w:sz="4" w:space="0" w:color="CD3E71" w:themeColor="accent6"/>
        </w:tcBorders>
      </w:tcPr>
    </w:tblStylePr>
    <w:tblStylePr w:type="lastRow">
      <w:rPr>
        <w:b/>
        <w:bCs/>
      </w:rPr>
      <w:tblPr/>
      <w:tcPr>
        <w:tcBorders>
          <w:top w:val="double" w:sz="4" w:space="0" w:color="CD3E71" w:themeColor="accent6"/>
        </w:tcBorders>
      </w:tcPr>
    </w:tblStylePr>
    <w:tblStylePr w:type="firstCol">
      <w:rPr>
        <w:b/>
        <w:bCs/>
      </w:rPr>
    </w:tblStylePr>
    <w:tblStylePr w:type="lastCol">
      <w:rPr>
        <w:b/>
        <w:bCs/>
      </w:rPr>
    </w:tblStylePr>
    <w:tblStylePr w:type="band1Vert">
      <w:tblPr/>
      <w:tcPr>
        <w:shd w:val="clear" w:color="auto" w:fill="F5D8E2" w:themeFill="accent6" w:themeFillTint="33"/>
      </w:tcPr>
    </w:tblStylePr>
    <w:tblStylePr w:type="band1Horz">
      <w:tblPr/>
      <w:tcPr>
        <w:shd w:val="clear" w:color="auto" w:fill="F5D8E2" w:themeFill="accent6" w:themeFillTint="33"/>
      </w:tcPr>
    </w:tblStylePr>
  </w:style>
  <w:style w:type="table" w:styleId="ListTable7Colorful">
    <w:name w:val="List Table 7 Colorful"/>
    <w:basedOn w:val="TableNormal"/>
    <w:uiPriority w:val="52"/>
    <w:unhideWhenUsed/>
    <w:rsid w:val="009F072B"/>
    <w:pPr>
      <w:spacing w:line="240" w:lineRule="auto"/>
    </w:pPr>
    <w:rPr>
      <w:rFonts w:eastAsiaTheme="minorHAnsi"/>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unhideWhenUsed/>
    <w:rsid w:val="009F072B"/>
    <w:pPr>
      <w:spacing w:line="240" w:lineRule="auto"/>
    </w:pPr>
    <w:rPr>
      <w:rFonts w:eastAsiaTheme="minorHAnsi"/>
      <w:color w:val="142D5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3D6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3D6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3D6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3D6F" w:themeColor="accent1"/>
        </w:tcBorders>
        <w:shd w:val="clear" w:color="auto" w:fill="FFFFFF" w:themeFill="background1"/>
      </w:tcPr>
    </w:tblStylePr>
    <w:tblStylePr w:type="band1Vert">
      <w:tblPr/>
      <w:tcPr>
        <w:shd w:val="clear" w:color="auto" w:fill="C2D5F0" w:themeFill="accent1" w:themeFillTint="33"/>
      </w:tcPr>
    </w:tblStylePr>
    <w:tblStylePr w:type="band1Horz">
      <w:tblPr/>
      <w:tcPr>
        <w:shd w:val="clear" w:color="auto" w:fill="C2D5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unhideWhenUsed/>
    <w:rsid w:val="009F072B"/>
    <w:pPr>
      <w:spacing w:line="240" w:lineRule="auto"/>
    </w:pPr>
    <w:rPr>
      <w:rFonts w:eastAsiaTheme="minorHAnsi"/>
      <w:color w:val="19707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297A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297A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297A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297AA" w:themeColor="accent2"/>
        </w:tcBorders>
        <w:shd w:val="clear" w:color="auto" w:fill="FFFFFF" w:themeFill="background1"/>
      </w:tcPr>
    </w:tblStylePr>
    <w:tblStylePr w:type="band1Vert">
      <w:tblPr/>
      <w:tcPr>
        <w:shd w:val="clear" w:color="auto" w:fill="CBEFF4" w:themeFill="accent2" w:themeFillTint="33"/>
      </w:tcPr>
    </w:tblStylePr>
    <w:tblStylePr w:type="band1Horz">
      <w:tblPr/>
      <w:tcPr>
        <w:shd w:val="clear" w:color="auto" w:fill="CBEFF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unhideWhenUsed/>
    <w:rsid w:val="009F072B"/>
    <w:pPr>
      <w:spacing w:line="240" w:lineRule="auto"/>
    </w:pPr>
    <w:rPr>
      <w:rFonts w:eastAsiaTheme="minorHAnsi"/>
      <w:color w:val="298B6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BA9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BA9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BA9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BA95" w:themeColor="accent3"/>
        </w:tcBorders>
        <w:shd w:val="clear" w:color="auto" w:fill="FFFFFF" w:themeFill="background1"/>
      </w:tcPr>
    </w:tblStylePr>
    <w:tblStylePr w:type="band1Vert">
      <w:tblPr/>
      <w:tcPr>
        <w:shd w:val="clear" w:color="auto" w:fill="D5F2EA" w:themeFill="accent3" w:themeFillTint="33"/>
      </w:tcPr>
    </w:tblStylePr>
    <w:tblStylePr w:type="band1Horz">
      <w:tblPr/>
      <w:tcPr>
        <w:shd w:val="clear" w:color="auto" w:fill="D5F2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unhideWhenUsed/>
    <w:rsid w:val="009F072B"/>
    <w:pPr>
      <w:spacing w:line="240" w:lineRule="auto"/>
    </w:pPr>
    <w:rPr>
      <w:rFonts w:eastAsiaTheme="minorHAnsi"/>
      <w:color w:val="DD9B0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3BD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3BD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BD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3BD48" w:themeColor="accent4"/>
        </w:tcBorders>
        <w:shd w:val="clear" w:color="auto" w:fill="FFFFFF" w:themeFill="background1"/>
      </w:tcPr>
    </w:tblStylePr>
    <w:tblStylePr w:type="band1Vert">
      <w:tblPr/>
      <w:tcPr>
        <w:shd w:val="clear" w:color="auto" w:fill="FCF1DA" w:themeFill="accent4" w:themeFillTint="33"/>
      </w:tcPr>
    </w:tblStylePr>
    <w:tblStylePr w:type="band1Horz">
      <w:tblPr/>
      <w:tcPr>
        <w:shd w:val="clear" w:color="auto" w:fill="FCF1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unhideWhenUsed/>
    <w:rsid w:val="009F072B"/>
    <w:pPr>
      <w:spacing w:line="240" w:lineRule="auto"/>
    </w:pPr>
    <w:rPr>
      <w:rFonts w:eastAsiaTheme="minorHAnsi"/>
      <w:color w:val="C4490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A2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A2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A2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A25" w:themeColor="accent5"/>
        </w:tcBorders>
        <w:shd w:val="clear" w:color="auto" w:fill="FFFFFF" w:themeFill="background1"/>
      </w:tcPr>
    </w:tblStylePr>
    <w:tblStylePr w:type="band1Vert">
      <w:tblPr/>
      <w:tcPr>
        <w:shd w:val="clear" w:color="auto" w:fill="FCE0D3" w:themeFill="accent5" w:themeFillTint="33"/>
      </w:tcPr>
    </w:tblStylePr>
    <w:tblStylePr w:type="band1Horz">
      <w:tblPr/>
      <w:tcPr>
        <w:shd w:val="clear" w:color="auto" w:fill="FCE0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unhideWhenUsed/>
    <w:rsid w:val="009F072B"/>
    <w:pPr>
      <w:spacing w:line="240" w:lineRule="auto"/>
    </w:pPr>
    <w:rPr>
      <w:rFonts w:eastAsiaTheme="minorHAnsi"/>
      <w:color w:val="9E295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3E7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3E7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3E7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3E71" w:themeColor="accent6"/>
        </w:tcBorders>
        <w:shd w:val="clear" w:color="auto" w:fill="FFFFFF" w:themeFill="background1"/>
      </w:tcPr>
    </w:tblStylePr>
    <w:tblStylePr w:type="band1Vert">
      <w:tblPr/>
      <w:tcPr>
        <w:shd w:val="clear" w:color="auto" w:fill="F5D8E2" w:themeFill="accent6" w:themeFillTint="33"/>
      </w:tcPr>
    </w:tblStylePr>
    <w:tblStylePr w:type="band1Horz">
      <w:tblPr/>
      <w:tcPr>
        <w:shd w:val="clear" w:color="auto" w:fill="F5D8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F072B"/>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sz w:val="20"/>
      <w:szCs w:val="20"/>
    </w:rPr>
  </w:style>
  <w:style w:type="character" w:customStyle="1" w:styleId="MacroTextChar">
    <w:name w:val="Macro Text Char"/>
    <w:basedOn w:val="DefaultParagraphFont"/>
    <w:link w:val="MacroText"/>
    <w:uiPriority w:val="99"/>
    <w:semiHidden/>
    <w:rsid w:val="009F072B"/>
    <w:rPr>
      <w:rFonts w:ascii="Consolas" w:eastAsiaTheme="minorHAnsi" w:hAnsi="Consolas"/>
      <w:sz w:val="20"/>
      <w:szCs w:val="20"/>
    </w:rPr>
  </w:style>
  <w:style w:type="table" w:styleId="MediumGrid1">
    <w:name w:val="Medium Grid 1"/>
    <w:basedOn w:val="TableNormal"/>
    <w:uiPriority w:val="67"/>
    <w:semiHidden/>
    <w:unhideWhenUsed/>
    <w:rsid w:val="009F072B"/>
    <w:pPr>
      <w:spacing w:line="240" w:lineRule="auto"/>
    </w:pPr>
    <w:rPr>
      <w:rFonts w:eastAsia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F072B"/>
    <w:pPr>
      <w:spacing w:line="240" w:lineRule="auto"/>
    </w:pPr>
    <w:rPr>
      <w:rFonts w:eastAsiaTheme="minorHAnsi"/>
    </w:rPr>
    <w:tblPr>
      <w:tblStyleRowBandSize w:val="1"/>
      <w:tblStyleColBandSize w:val="1"/>
      <w:tblBorders>
        <w:top w:val="single" w:sz="8" w:space="0" w:color="2D66BA" w:themeColor="accent1" w:themeTint="BF"/>
        <w:left w:val="single" w:sz="8" w:space="0" w:color="2D66BA" w:themeColor="accent1" w:themeTint="BF"/>
        <w:bottom w:val="single" w:sz="8" w:space="0" w:color="2D66BA" w:themeColor="accent1" w:themeTint="BF"/>
        <w:right w:val="single" w:sz="8" w:space="0" w:color="2D66BA" w:themeColor="accent1" w:themeTint="BF"/>
        <w:insideH w:val="single" w:sz="8" w:space="0" w:color="2D66BA" w:themeColor="accent1" w:themeTint="BF"/>
        <w:insideV w:val="single" w:sz="8" w:space="0" w:color="2D66BA" w:themeColor="accent1" w:themeTint="BF"/>
      </w:tblBorders>
    </w:tblPr>
    <w:tcPr>
      <w:shd w:val="clear" w:color="auto" w:fill="B5CBED" w:themeFill="accent1" w:themeFillTint="3F"/>
    </w:tcPr>
    <w:tblStylePr w:type="firstRow">
      <w:rPr>
        <w:b/>
        <w:bCs/>
      </w:rPr>
    </w:tblStylePr>
    <w:tblStylePr w:type="lastRow">
      <w:rPr>
        <w:b/>
        <w:bCs/>
      </w:rPr>
      <w:tblPr/>
      <w:tcPr>
        <w:tcBorders>
          <w:top w:val="single" w:sz="18" w:space="0" w:color="2D66BA" w:themeColor="accent1" w:themeTint="BF"/>
        </w:tcBorders>
      </w:tcPr>
    </w:tblStylePr>
    <w:tblStylePr w:type="firstCol">
      <w:rPr>
        <w:b/>
        <w:bCs/>
      </w:rPr>
    </w:tblStylePr>
    <w:tblStylePr w:type="lastCol">
      <w:rPr>
        <w:b/>
        <w:bCs/>
      </w:rPr>
    </w:tblStylePr>
    <w:tblStylePr w:type="band1Vert">
      <w:tblPr/>
      <w:tcPr>
        <w:shd w:val="clear" w:color="auto" w:fill="6997DA" w:themeFill="accent1" w:themeFillTint="7F"/>
      </w:tcPr>
    </w:tblStylePr>
    <w:tblStylePr w:type="band1Horz">
      <w:tblPr/>
      <w:tcPr>
        <w:shd w:val="clear" w:color="auto" w:fill="6997DA" w:themeFill="accent1" w:themeFillTint="7F"/>
      </w:tcPr>
    </w:tblStylePr>
  </w:style>
  <w:style w:type="table" w:styleId="MediumGrid1-Accent2">
    <w:name w:val="Medium Grid 1 Accent 2"/>
    <w:basedOn w:val="TableNormal"/>
    <w:uiPriority w:val="67"/>
    <w:semiHidden/>
    <w:unhideWhenUsed/>
    <w:rsid w:val="009F072B"/>
    <w:pPr>
      <w:spacing w:line="240" w:lineRule="auto"/>
    </w:pPr>
    <w:rPr>
      <w:rFonts w:eastAsiaTheme="minorHAnsi"/>
    </w:rPr>
    <w:tblPr>
      <w:tblStyleRowBandSize w:val="1"/>
      <w:tblStyleColBandSize w:val="1"/>
      <w:tblBorders>
        <w:top w:val="single" w:sz="8" w:space="0" w:color="3FC3D8" w:themeColor="accent2" w:themeTint="BF"/>
        <w:left w:val="single" w:sz="8" w:space="0" w:color="3FC3D8" w:themeColor="accent2" w:themeTint="BF"/>
        <w:bottom w:val="single" w:sz="8" w:space="0" w:color="3FC3D8" w:themeColor="accent2" w:themeTint="BF"/>
        <w:right w:val="single" w:sz="8" w:space="0" w:color="3FC3D8" w:themeColor="accent2" w:themeTint="BF"/>
        <w:insideH w:val="single" w:sz="8" w:space="0" w:color="3FC3D8" w:themeColor="accent2" w:themeTint="BF"/>
        <w:insideV w:val="single" w:sz="8" w:space="0" w:color="3FC3D8" w:themeColor="accent2" w:themeTint="BF"/>
      </w:tblBorders>
    </w:tblPr>
    <w:tcPr>
      <w:shd w:val="clear" w:color="auto" w:fill="BFEBF2" w:themeFill="accent2" w:themeFillTint="3F"/>
    </w:tcPr>
    <w:tblStylePr w:type="firstRow">
      <w:rPr>
        <w:b/>
        <w:bCs/>
      </w:rPr>
    </w:tblStylePr>
    <w:tblStylePr w:type="lastRow">
      <w:rPr>
        <w:b/>
        <w:bCs/>
      </w:rPr>
      <w:tblPr/>
      <w:tcPr>
        <w:tcBorders>
          <w:top w:val="single" w:sz="18" w:space="0" w:color="3FC3D8" w:themeColor="accent2" w:themeTint="BF"/>
        </w:tcBorders>
      </w:tcPr>
    </w:tblStylePr>
    <w:tblStylePr w:type="firstCol">
      <w:rPr>
        <w:b/>
        <w:bCs/>
      </w:rPr>
    </w:tblStylePr>
    <w:tblStylePr w:type="lastCol">
      <w:rPr>
        <w:b/>
        <w:bCs/>
      </w:rPr>
    </w:tblStylePr>
    <w:tblStylePr w:type="band1Vert">
      <w:tblPr/>
      <w:tcPr>
        <w:shd w:val="clear" w:color="auto" w:fill="7FD7E5" w:themeFill="accent2" w:themeFillTint="7F"/>
      </w:tcPr>
    </w:tblStylePr>
    <w:tblStylePr w:type="band1Horz">
      <w:tblPr/>
      <w:tcPr>
        <w:shd w:val="clear" w:color="auto" w:fill="7FD7E5" w:themeFill="accent2" w:themeFillTint="7F"/>
      </w:tcPr>
    </w:tblStylePr>
  </w:style>
  <w:style w:type="table" w:styleId="MediumGrid1-Accent3">
    <w:name w:val="Medium Grid 1 Accent 3"/>
    <w:basedOn w:val="TableNormal"/>
    <w:uiPriority w:val="67"/>
    <w:semiHidden/>
    <w:unhideWhenUsed/>
    <w:rsid w:val="009F072B"/>
    <w:pPr>
      <w:spacing w:line="240" w:lineRule="auto"/>
    </w:pPr>
    <w:rPr>
      <w:rFonts w:eastAsiaTheme="minorHAnsi"/>
    </w:rPr>
    <w:tblPr>
      <w:tblStyleRowBandSize w:val="1"/>
      <w:tblStyleColBandSize w:val="1"/>
      <w:tblBorders>
        <w:top w:val="single" w:sz="8" w:space="0" w:color="63D1B1" w:themeColor="accent3" w:themeTint="BF"/>
        <w:left w:val="single" w:sz="8" w:space="0" w:color="63D1B1" w:themeColor="accent3" w:themeTint="BF"/>
        <w:bottom w:val="single" w:sz="8" w:space="0" w:color="63D1B1" w:themeColor="accent3" w:themeTint="BF"/>
        <w:right w:val="single" w:sz="8" w:space="0" w:color="63D1B1" w:themeColor="accent3" w:themeTint="BF"/>
        <w:insideH w:val="single" w:sz="8" w:space="0" w:color="63D1B1" w:themeColor="accent3" w:themeTint="BF"/>
        <w:insideV w:val="single" w:sz="8" w:space="0" w:color="63D1B1" w:themeColor="accent3" w:themeTint="BF"/>
      </w:tblBorders>
    </w:tblPr>
    <w:tcPr>
      <w:shd w:val="clear" w:color="auto" w:fill="CBEFE5" w:themeFill="accent3" w:themeFillTint="3F"/>
    </w:tcPr>
    <w:tblStylePr w:type="firstRow">
      <w:rPr>
        <w:b/>
        <w:bCs/>
      </w:rPr>
    </w:tblStylePr>
    <w:tblStylePr w:type="lastRow">
      <w:rPr>
        <w:b/>
        <w:bCs/>
      </w:rPr>
      <w:tblPr/>
      <w:tcPr>
        <w:tcBorders>
          <w:top w:val="single" w:sz="18" w:space="0" w:color="63D1B1" w:themeColor="accent3" w:themeTint="BF"/>
        </w:tcBorders>
      </w:tcPr>
    </w:tblStylePr>
    <w:tblStylePr w:type="firstCol">
      <w:rPr>
        <w:b/>
        <w:bCs/>
      </w:rPr>
    </w:tblStylePr>
    <w:tblStylePr w:type="lastCol">
      <w:rPr>
        <w:b/>
        <w:bCs/>
      </w:rPr>
    </w:tblStylePr>
    <w:tblStylePr w:type="band1Vert">
      <w:tblPr/>
      <w:tcPr>
        <w:shd w:val="clear" w:color="auto" w:fill="97E0CB" w:themeFill="accent3" w:themeFillTint="7F"/>
      </w:tcPr>
    </w:tblStylePr>
    <w:tblStylePr w:type="band1Horz">
      <w:tblPr/>
      <w:tcPr>
        <w:shd w:val="clear" w:color="auto" w:fill="97E0CB" w:themeFill="accent3" w:themeFillTint="7F"/>
      </w:tcPr>
    </w:tblStylePr>
  </w:style>
  <w:style w:type="table" w:styleId="MediumGrid1-Accent4">
    <w:name w:val="Medium Grid 1 Accent 4"/>
    <w:basedOn w:val="TableNormal"/>
    <w:uiPriority w:val="67"/>
    <w:semiHidden/>
    <w:unhideWhenUsed/>
    <w:rsid w:val="009F072B"/>
    <w:pPr>
      <w:spacing w:line="240" w:lineRule="auto"/>
    </w:pPr>
    <w:rPr>
      <w:rFonts w:eastAsiaTheme="minorHAnsi"/>
    </w:rPr>
    <w:tblPr>
      <w:tblStyleRowBandSize w:val="1"/>
      <w:tblStyleColBandSize w:val="1"/>
      <w:tblBorders>
        <w:top w:val="single" w:sz="8" w:space="0" w:color="F6CD75" w:themeColor="accent4" w:themeTint="BF"/>
        <w:left w:val="single" w:sz="8" w:space="0" w:color="F6CD75" w:themeColor="accent4" w:themeTint="BF"/>
        <w:bottom w:val="single" w:sz="8" w:space="0" w:color="F6CD75" w:themeColor="accent4" w:themeTint="BF"/>
        <w:right w:val="single" w:sz="8" w:space="0" w:color="F6CD75" w:themeColor="accent4" w:themeTint="BF"/>
        <w:insideH w:val="single" w:sz="8" w:space="0" w:color="F6CD75" w:themeColor="accent4" w:themeTint="BF"/>
        <w:insideV w:val="single" w:sz="8" w:space="0" w:color="F6CD75" w:themeColor="accent4" w:themeTint="BF"/>
      </w:tblBorders>
    </w:tblPr>
    <w:tcPr>
      <w:shd w:val="clear" w:color="auto" w:fill="FCEED1" w:themeFill="accent4" w:themeFillTint="3F"/>
    </w:tcPr>
    <w:tblStylePr w:type="firstRow">
      <w:rPr>
        <w:b/>
        <w:bCs/>
      </w:rPr>
    </w:tblStylePr>
    <w:tblStylePr w:type="lastRow">
      <w:rPr>
        <w:b/>
        <w:bCs/>
      </w:rPr>
      <w:tblPr/>
      <w:tcPr>
        <w:tcBorders>
          <w:top w:val="single" w:sz="18" w:space="0" w:color="F6CD75" w:themeColor="accent4" w:themeTint="BF"/>
        </w:tcBorders>
      </w:tcPr>
    </w:tblStylePr>
    <w:tblStylePr w:type="firstCol">
      <w:rPr>
        <w:b/>
        <w:bCs/>
      </w:rPr>
    </w:tblStylePr>
    <w:tblStylePr w:type="lastCol">
      <w:rPr>
        <w:b/>
        <w:bCs/>
      </w:rPr>
    </w:tblStylePr>
    <w:tblStylePr w:type="band1Vert">
      <w:tblPr/>
      <w:tcPr>
        <w:shd w:val="clear" w:color="auto" w:fill="F9DDA3" w:themeFill="accent4" w:themeFillTint="7F"/>
      </w:tcPr>
    </w:tblStylePr>
    <w:tblStylePr w:type="band1Horz">
      <w:tblPr/>
      <w:tcPr>
        <w:shd w:val="clear" w:color="auto" w:fill="F9DDA3" w:themeFill="accent4" w:themeFillTint="7F"/>
      </w:tcPr>
    </w:tblStylePr>
  </w:style>
  <w:style w:type="table" w:styleId="MediumGrid1-Accent5">
    <w:name w:val="Medium Grid 1 Accent 5"/>
    <w:basedOn w:val="TableNormal"/>
    <w:uiPriority w:val="67"/>
    <w:semiHidden/>
    <w:unhideWhenUsed/>
    <w:rsid w:val="009F072B"/>
    <w:pPr>
      <w:spacing w:line="240" w:lineRule="auto"/>
    </w:pPr>
    <w:rPr>
      <w:rFonts w:eastAsiaTheme="minorHAnsi"/>
    </w:rPr>
    <w:tblPr>
      <w:tblStyleRowBandSize w:val="1"/>
      <w:tblStyleColBandSize w:val="1"/>
      <w:tblBorders>
        <w:top w:val="single" w:sz="8" w:space="0" w:color="F58E5B" w:themeColor="accent5" w:themeTint="BF"/>
        <w:left w:val="single" w:sz="8" w:space="0" w:color="F58E5B" w:themeColor="accent5" w:themeTint="BF"/>
        <w:bottom w:val="single" w:sz="8" w:space="0" w:color="F58E5B" w:themeColor="accent5" w:themeTint="BF"/>
        <w:right w:val="single" w:sz="8" w:space="0" w:color="F58E5B" w:themeColor="accent5" w:themeTint="BF"/>
        <w:insideH w:val="single" w:sz="8" w:space="0" w:color="F58E5B" w:themeColor="accent5" w:themeTint="BF"/>
        <w:insideV w:val="single" w:sz="8" w:space="0" w:color="F58E5B" w:themeColor="accent5" w:themeTint="BF"/>
      </w:tblBorders>
    </w:tblPr>
    <w:tcPr>
      <w:shd w:val="clear" w:color="auto" w:fill="FBD9C8" w:themeFill="accent5" w:themeFillTint="3F"/>
    </w:tcPr>
    <w:tblStylePr w:type="firstRow">
      <w:rPr>
        <w:b/>
        <w:bCs/>
      </w:rPr>
    </w:tblStylePr>
    <w:tblStylePr w:type="lastRow">
      <w:rPr>
        <w:b/>
        <w:bCs/>
      </w:rPr>
      <w:tblPr/>
      <w:tcPr>
        <w:tcBorders>
          <w:top w:val="single" w:sz="18" w:space="0" w:color="F58E5B" w:themeColor="accent5" w:themeTint="BF"/>
        </w:tcBorders>
      </w:tcPr>
    </w:tblStylePr>
    <w:tblStylePr w:type="firstCol">
      <w:rPr>
        <w:b/>
        <w:bCs/>
      </w:rPr>
    </w:tblStylePr>
    <w:tblStylePr w:type="lastCol">
      <w:rPr>
        <w:b/>
        <w:bCs/>
      </w:rPr>
    </w:tblStylePr>
    <w:tblStylePr w:type="band1Vert">
      <w:tblPr/>
      <w:tcPr>
        <w:shd w:val="clear" w:color="auto" w:fill="F8B492" w:themeFill="accent5" w:themeFillTint="7F"/>
      </w:tcPr>
    </w:tblStylePr>
    <w:tblStylePr w:type="band1Horz">
      <w:tblPr/>
      <w:tcPr>
        <w:shd w:val="clear" w:color="auto" w:fill="F8B492" w:themeFill="accent5" w:themeFillTint="7F"/>
      </w:tcPr>
    </w:tblStylePr>
  </w:style>
  <w:style w:type="table" w:styleId="MediumGrid1-Accent6">
    <w:name w:val="Medium Grid 1 Accent 6"/>
    <w:basedOn w:val="TableNormal"/>
    <w:uiPriority w:val="67"/>
    <w:semiHidden/>
    <w:unhideWhenUsed/>
    <w:rsid w:val="009F072B"/>
    <w:pPr>
      <w:spacing w:line="240" w:lineRule="auto"/>
    </w:pPr>
    <w:rPr>
      <w:rFonts w:eastAsiaTheme="minorHAnsi"/>
    </w:rPr>
    <w:tblPr>
      <w:tblStyleRowBandSize w:val="1"/>
      <w:tblStyleColBandSize w:val="1"/>
      <w:tblBorders>
        <w:top w:val="single" w:sz="8" w:space="0" w:color="D96E94" w:themeColor="accent6" w:themeTint="BF"/>
        <w:left w:val="single" w:sz="8" w:space="0" w:color="D96E94" w:themeColor="accent6" w:themeTint="BF"/>
        <w:bottom w:val="single" w:sz="8" w:space="0" w:color="D96E94" w:themeColor="accent6" w:themeTint="BF"/>
        <w:right w:val="single" w:sz="8" w:space="0" w:color="D96E94" w:themeColor="accent6" w:themeTint="BF"/>
        <w:insideH w:val="single" w:sz="8" w:space="0" w:color="D96E94" w:themeColor="accent6" w:themeTint="BF"/>
        <w:insideV w:val="single" w:sz="8" w:space="0" w:color="D96E94" w:themeColor="accent6" w:themeTint="BF"/>
      </w:tblBorders>
    </w:tblPr>
    <w:tcPr>
      <w:shd w:val="clear" w:color="auto" w:fill="F2CFDB" w:themeFill="accent6" w:themeFillTint="3F"/>
    </w:tcPr>
    <w:tblStylePr w:type="firstRow">
      <w:rPr>
        <w:b/>
        <w:bCs/>
      </w:rPr>
    </w:tblStylePr>
    <w:tblStylePr w:type="lastRow">
      <w:rPr>
        <w:b/>
        <w:bCs/>
      </w:rPr>
      <w:tblPr/>
      <w:tcPr>
        <w:tcBorders>
          <w:top w:val="single" w:sz="18" w:space="0" w:color="D96E94" w:themeColor="accent6" w:themeTint="BF"/>
        </w:tcBorders>
      </w:tcPr>
    </w:tblStylePr>
    <w:tblStylePr w:type="firstCol">
      <w:rPr>
        <w:b/>
        <w:bCs/>
      </w:rPr>
    </w:tblStylePr>
    <w:tblStylePr w:type="lastCol">
      <w:rPr>
        <w:b/>
        <w:bCs/>
      </w:rPr>
    </w:tblStylePr>
    <w:tblStylePr w:type="band1Vert">
      <w:tblPr/>
      <w:tcPr>
        <w:shd w:val="clear" w:color="auto" w:fill="E69EB7" w:themeFill="accent6" w:themeFillTint="7F"/>
      </w:tcPr>
    </w:tblStylePr>
    <w:tblStylePr w:type="band1Horz">
      <w:tblPr/>
      <w:tcPr>
        <w:shd w:val="clear" w:color="auto" w:fill="E69EB7" w:themeFill="accent6" w:themeFillTint="7F"/>
      </w:tcPr>
    </w:tblStylePr>
  </w:style>
  <w:style w:type="table" w:styleId="MediumGrid2">
    <w:name w:val="Medium Grid 2"/>
    <w:basedOn w:val="TableNormal"/>
    <w:uiPriority w:val="68"/>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3D6F" w:themeColor="accent1"/>
        <w:left w:val="single" w:sz="8" w:space="0" w:color="1B3D6F" w:themeColor="accent1"/>
        <w:bottom w:val="single" w:sz="8" w:space="0" w:color="1B3D6F" w:themeColor="accent1"/>
        <w:right w:val="single" w:sz="8" w:space="0" w:color="1B3D6F" w:themeColor="accent1"/>
        <w:insideH w:val="single" w:sz="8" w:space="0" w:color="1B3D6F" w:themeColor="accent1"/>
        <w:insideV w:val="single" w:sz="8" w:space="0" w:color="1B3D6F" w:themeColor="accent1"/>
      </w:tblBorders>
    </w:tblPr>
    <w:tcPr>
      <w:shd w:val="clear" w:color="auto" w:fill="B5CBED" w:themeFill="accent1" w:themeFillTint="3F"/>
    </w:tcPr>
    <w:tblStylePr w:type="firstRow">
      <w:rPr>
        <w:b/>
        <w:bCs/>
        <w:color w:val="000000" w:themeColor="text1"/>
      </w:rPr>
      <w:tblPr/>
      <w:tcPr>
        <w:shd w:val="clear" w:color="auto" w:fill="E1EA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D5F0" w:themeFill="accent1" w:themeFillTint="33"/>
      </w:tcPr>
    </w:tblStylePr>
    <w:tblStylePr w:type="band1Vert">
      <w:tblPr/>
      <w:tcPr>
        <w:shd w:val="clear" w:color="auto" w:fill="6997DA" w:themeFill="accent1" w:themeFillTint="7F"/>
      </w:tcPr>
    </w:tblStylePr>
    <w:tblStylePr w:type="band1Horz">
      <w:tblPr/>
      <w:tcPr>
        <w:tcBorders>
          <w:insideH w:val="single" w:sz="6" w:space="0" w:color="1B3D6F" w:themeColor="accent1"/>
          <w:insideV w:val="single" w:sz="6" w:space="0" w:color="1B3D6F" w:themeColor="accent1"/>
        </w:tcBorders>
        <w:shd w:val="clear" w:color="auto" w:fill="6997D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297AA" w:themeColor="accent2"/>
        <w:left w:val="single" w:sz="8" w:space="0" w:color="2297AA" w:themeColor="accent2"/>
        <w:bottom w:val="single" w:sz="8" w:space="0" w:color="2297AA" w:themeColor="accent2"/>
        <w:right w:val="single" w:sz="8" w:space="0" w:color="2297AA" w:themeColor="accent2"/>
        <w:insideH w:val="single" w:sz="8" w:space="0" w:color="2297AA" w:themeColor="accent2"/>
        <w:insideV w:val="single" w:sz="8" w:space="0" w:color="2297AA" w:themeColor="accent2"/>
      </w:tblBorders>
    </w:tblPr>
    <w:tcPr>
      <w:shd w:val="clear" w:color="auto" w:fill="BFEBF2" w:themeFill="accent2" w:themeFillTint="3F"/>
    </w:tcPr>
    <w:tblStylePr w:type="firstRow">
      <w:rPr>
        <w:b/>
        <w:bCs/>
        <w:color w:val="000000" w:themeColor="text1"/>
      </w:rPr>
      <w:tblPr/>
      <w:tcPr>
        <w:shd w:val="clear" w:color="auto" w:fill="E6F7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EFF4" w:themeFill="accent2" w:themeFillTint="33"/>
      </w:tcPr>
    </w:tblStylePr>
    <w:tblStylePr w:type="band1Vert">
      <w:tblPr/>
      <w:tcPr>
        <w:shd w:val="clear" w:color="auto" w:fill="7FD7E5" w:themeFill="accent2" w:themeFillTint="7F"/>
      </w:tcPr>
    </w:tblStylePr>
    <w:tblStylePr w:type="band1Horz">
      <w:tblPr/>
      <w:tcPr>
        <w:tcBorders>
          <w:insideH w:val="single" w:sz="6" w:space="0" w:color="2297AA" w:themeColor="accent2"/>
          <w:insideV w:val="single" w:sz="6" w:space="0" w:color="2297AA" w:themeColor="accent2"/>
        </w:tcBorders>
        <w:shd w:val="clear" w:color="auto" w:fill="7FD7E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BA95" w:themeColor="accent3"/>
        <w:left w:val="single" w:sz="8" w:space="0" w:color="37BA95" w:themeColor="accent3"/>
        <w:bottom w:val="single" w:sz="8" w:space="0" w:color="37BA95" w:themeColor="accent3"/>
        <w:right w:val="single" w:sz="8" w:space="0" w:color="37BA95" w:themeColor="accent3"/>
        <w:insideH w:val="single" w:sz="8" w:space="0" w:color="37BA95" w:themeColor="accent3"/>
        <w:insideV w:val="single" w:sz="8" w:space="0" w:color="37BA95" w:themeColor="accent3"/>
      </w:tblBorders>
    </w:tblPr>
    <w:tcPr>
      <w:shd w:val="clear" w:color="auto" w:fill="CBEFE5" w:themeFill="accent3" w:themeFillTint="3F"/>
    </w:tcPr>
    <w:tblStylePr w:type="firstRow">
      <w:rPr>
        <w:b/>
        <w:bCs/>
        <w:color w:val="000000" w:themeColor="text1"/>
      </w:rPr>
      <w:tblPr/>
      <w:tcPr>
        <w:shd w:val="clear" w:color="auto" w:fill="EAF9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2EA" w:themeFill="accent3" w:themeFillTint="33"/>
      </w:tcPr>
    </w:tblStylePr>
    <w:tblStylePr w:type="band1Vert">
      <w:tblPr/>
      <w:tcPr>
        <w:shd w:val="clear" w:color="auto" w:fill="97E0CB" w:themeFill="accent3" w:themeFillTint="7F"/>
      </w:tcPr>
    </w:tblStylePr>
    <w:tblStylePr w:type="band1Horz">
      <w:tblPr/>
      <w:tcPr>
        <w:tcBorders>
          <w:insideH w:val="single" w:sz="6" w:space="0" w:color="37BA95" w:themeColor="accent3"/>
          <w:insideV w:val="single" w:sz="6" w:space="0" w:color="37BA95" w:themeColor="accent3"/>
        </w:tcBorders>
        <w:shd w:val="clear" w:color="auto" w:fill="97E0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BD48" w:themeColor="accent4"/>
        <w:left w:val="single" w:sz="8" w:space="0" w:color="F3BD48" w:themeColor="accent4"/>
        <w:bottom w:val="single" w:sz="8" w:space="0" w:color="F3BD48" w:themeColor="accent4"/>
        <w:right w:val="single" w:sz="8" w:space="0" w:color="F3BD48" w:themeColor="accent4"/>
        <w:insideH w:val="single" w:sz="8" w:space="0" w:color="F3BD48" w:themeColor="accent4"/>
        <w:insideV w:val="single" w:sz="8" w:space="0" w:color="F3BD48" w:themeColor="accent4"/>
      </w:tblBorders>
    </w:tblPr>
    <w:tcPr>
      <w:shd w:val="clear" w:color="auto" w:fill="FCEED1" w:themeFill="accent4" w:themeFillTint="3F"/>
    </w:tcPr>
    <w:tblStylePr w:type="firstRow">
      <w:rPr>
        <w:b/>
        <w:bCs/>
        <w:color w:val="000000" w:themeColor="text1"/>
      </w:rPr>
      <w:tblPr/>
      <w:tcPr>
        <w:shd w:val="clear" w:color="auto" w:fill="FDF8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1DA" w:themeFill="accent4" w:themeFillTint="33"/>
      </w:tcPr>
    </w:tblStylePr>
    <w:tblStylePr w:type="band1Vert">
      <w:tblPr/>
      <w:tcPr>
        <w:shd w:val="clear" w:color="auto" w:fill="F9DDA3" w:themeFill="accent4" w:themeFillTint="7F"/>
      </w:tcPr>
    </w:tblStylePr>
    <w:tblStylePr w:type="band1Horz">
      <w:tblPr/>
      <w:tcPr>
        <w:tcBorders>
          <w:insideH w:val="single" w:sz="6" w:space="0" w:color="F3BD48" w:themeColor="accent4"/>
          <w:insideV w:val="single" w:sz="6" w:space="0" w:color="F3BD48" w:themeColor="accent4"/>
        </w:tcBorders>
        <w:shd w:val="clear" w:color="auto" w:fill="F9DD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A25" w:themeColor="accent5"/>
        <w:left w:val="single" w:sz="8" w:space="0" w:color="F26A25" w:themeColor="accent5"/>
        <w:bottom w:val="single" w:sz="8" w:space="0" w:color="F26A25" w:themeColor="accent5"/>
        <w:right w:val="single" w:sz="8" w:space="0" w:color="F26A25" w:themeColor="accent5"/>
        <w:insideH w:val="single" w:sz="8" w:space="0" w:color="F26A25" w:themeColor="accent5"/>
        <w:insideV w:val="single" w:sz="8" w:space="0" w:color="F26A25" w:themeColor="accent5"/>
      </w:tblBorders>
    </w:tblPr>
    <w:tcPr>
      <w:shd w:val="clear" w:color="auto" w:fill="FBD9C8" w:themeFill="accent5" w:themeFillTint="3F"/>
    </w:tcPr>
    <w:tblStylePr w:type="firstRow">
      <w:rPr>
        <w:b/>
        <w:bCs/>
        <w:color w:val="000000" w:themeColor="text1"/>
      </w:rPr>
      <w:tblPr/>
      <w:tcPr>
        <w:shd w:val="clear" w:color="auto" w:fill="FDF0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0D3" w:themeFill="accent5" w:themeFillTint="33"/>
      </w:tcPr>
    </w:tblStylePr>
    <w:tblStylePr w:type="band1Vert">
      <w:tblPr/>
      <w:tcPr>
        <w:shd w:val="clear" w:color="auto" w:fill="F8B492" w:themeFill="accent5" w:themeFillTint="7F"/>
      </w:tcPr>
    </w:tblStylePr>
    <w:tblStylePr w:type="band1Horz">
      <w:tblPr/>
      <w:tcPr>
        <w:tcBorders>
          <w:insideH w:val="single" w:sz="6" w:space="0" w:color="F26A25" w:themeColor="accent5"/>
          <w:insideV w:val="single" w:sz="6" w:space="0" w:color="F26A25" w:themeColor="accent5"/>
        </w:tcBorders>
        <w:shd w:val="clear" w:color="auto" w:fill="F8B49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3E71" w:themeColor="accent6"/>
        <w:left w:val="single" w:sz="8" w:space="0" w:color="CD3E71" w:themeColor="accent6"/>
        <w:bottom w:val="single" w:sz="8" w:space="0" w:color="CD3E71" w:themeColor="accent6"/>
        <w:right w:val="single" w:sz="8" w:space="0" w:color="CD3E71" w:themeColor="accent6"/>
        <w:insideH w:val="single" w:sz="8" w:space="0" w:color="CD3E71" w:themeColor="accent6"/>
        <w:insideV w:val="single" w:sz="8" w:space="0" w:color="CD3E71" w:themeColor="accent6"/>
      </w:tblBorders>
    </w:tblPr>
    <w:tcPr>
      <w:shd w:val="clear" w:color="auto" w:fill="F2CFDB" w:themeFill="accent6" w:themeFillTint="3F"/>
    </w:tcPr>
    <w:tblStylePr w:type="firstRow">
      <w:rPr>
        <w:b/>
        <w:bCs/>
        <w:color w:val="000000" w:themeColor="text1"/>
      </w:rPr>
      <w:tblPr/>
      <w:tcPr>
        <w:shd w:val="clear" w:color="auto" w:fill="FAE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E2" w:themeFill="accent6" w:themeFillTint="33"/>
      </w:tcPr>
    </w:tblStylePr>
    <w:tblStylePr w:type="band1Vert">
      <w:tblPr/>
      <w:tcPr>
        <w:shd w:val="clear" w:color="auto" w:fill="E69EB7" w:themeFill="accent6" w:themeFillTint="7F"/>
      </w:tcPr>
    </w:tblStylePr>
    <w:tblStylePr w:type="band1Horz">
      <w:tblPr/>
      <w:tcPr>
        <w:tcBorders>
          <w:insideH w:val="single" w:sz="6" w:space="0" w:color="CD3E71" w:themeColor="accent6"/>
          <w:insideV w:val="single" w:sz="6" w:space="0" w:color="CD3E71" w:themeColor="accent6"/>
        </w:tcBorders>
        <w:shd w:val="clear" w:color="auto" w:fill="E69E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F072B"/>
    <w:pPr>
      <w:spacing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F072B"/>
    <w:pPr>
      <w:spacing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3D6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3D6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3D6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3D6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997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997DA" w:themeFill="accent1" w:themeFillTint="7F"/>
      </w:tcPr>
    </w:tblStylePr>
  </w:style>
  <w:style w:type="table" w:styleId="MediumGrid3-Accent2">
    <w:name w:val="Medium Grid 3 Accent 2"/>
    <w:basedOn w:val="TableNormal"/>
    <w:uiPriority w:val="69"/>
    <w:semiHidden/>
    <w:unhideWhenUsed/>
    <w:rsid w:val="009F072B"/>
    <w:pPr>
      <w:spacing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EB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97A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97A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97A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97A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D7E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D7E5" w:themeFill="accent2" w:themeFillTint="7F"/>
      </w:tcPr>
    </w:tblStylePr>
  </w:style>
  <w:style w:type="table" w:styleId="MediumGrid3-Accent3">
    <w:name w:val="Medium Grid 3 Accent 3"/>
    <w:basedOn w:val="TableNormal"/>
    <w:uiPriority w:val="69"/>
    <w:semiHidden/>
    <w:unhideWhenUsed/>
    <w:rsid w:val="009F072B"/>
    <w:pPr>
      <w:spacing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F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BA9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BA9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BA9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BA9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E0C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E0CB" w:themeFill="accent3" w:themeFillTint="7F"/>
      </w:tcPr>
    </w:tblStylePr>
  </w:style>
  <w:style w:type="table" w:styleId="MediumGrid3-Accent4">
    <w:name w:val="Medium Grid 3 Accent 4"/>
    <w:basedOn w:val="TableNormal"/>
    <w:uiPriority w:val="69"/>
    <w:semiHidden/>
    <w:unhideWhenUsed/>
    <w:rsid w:val="009F072B"/>
    <w:pPr>
      <w:spacing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E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BD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BD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BD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BD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DD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DDA3" w:themeFill="accent4" w:themeFillTint="7F"/>
      </w:tcPr>
    </w:tblStylePr>
  </w:style>
  <w:style w:type="table" w:styleId="MediumGrid3-Accent5">
    <w:name w:val="Medium Grid 3 Accent 5"/>
    <w:basedOn w:val="TableNormal"/>
    <w:uiPriority w:val="69"/>
    <w:semiHidden/>
    <w:unhideWhenUsed/>
    <w:rsid w:val="009F072B"/>
    <w:pPr>
      <w:spacing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A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A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A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A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49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492" w:themeFill="accent5" w:themeFillTint="7F"/>
      </w:tcPr>
    </w:tblStylePr>
  </w:style>
  <w:style w:type="table" w:styleId="MediumGrid3-Accent6">
    <w:name w:val="Medium Grid 3 Accent 6"/>
    <w:basedOn w:val="TableNormal"/>
    <w:uiPriority w:val="69"/>
    <w:semiHidden/>
    <w:unhideWhenUsed/>
    <w:rsid w:val="009F072B"/>
    <w:pPr>
      <w:spacing w:line="240" w:lineRule="auto"/>
    </w:pPr>
    <w:rPr>
      <w:rFonts w:eastAsia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F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3E7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3E7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3E7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3E7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9E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9EB7" w:themeFill="accent6" w:themeFillTint="7F"/>
      </w:tcPr>
    </w:tblStylePr>
  </w:style>
  <w:style w:type="table" w:styleId="MediumList1">
    <w:name w:val="Medium List 1"/>
    <w:basedOn w:val="TableNormal"/>
    <w:uiPriority w:val="65"/>
    <w:semiHidden/>
    <w:unhideWhenUsed/>
    <w:rsid w:val="009F072B"/>
    <w:pPr>
      <w:spacing w:line="240" w:lineRule="auto"/>
    </w:pPr>
    <w:rPr>
      <w:rFonts w:eastAsiaTheme="minorHAns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5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F072B"/>
    <w:pPr>
      <w:spacing w:line="240" w:lineRule="auto"/>
    </w:pPr>
    <w:rPr>
      <w:rFonts w:eastAsiaTheme="minorHAnsi"/>
      <w:color w:val="000000" w:themeColor="text1"/>
    </w:rPr>
    <w:tblPr>
      <w:tblStyleRowBandSize w:val="1"/>
      <w:tblStyleColBandSize w:val="1"/>
      <w:tblBorders>
        <w:top w:val="single" w:sz="8" w:space="0" w:color="1B3D6F" w:themeColor="accent1"/>
        <w:bottom w:val="single" w:sz="8" w:space="0" w:color="1B3D6F" w:themeColor="accent1"/>
      </w:tblBorders>
    </w:tblPr>
    <w:tblStylePr w:type="firstRow">
      <w:rPr>
        <w:rFonts w:asciiTheme="majorHAnsi" w:eastAsiaTheme="majorEastAsia" w:hAnsiTheme="majorHAnsi" w:cstheme="majorBidi"/>
      </w:rPr>
      <w:tblPr/>
      <w:tcPr>
        <w:tcBorders>
          <w:top w:val="nil"/>
          <w:bottom w:val="single" w:sz="8" w:space="0" w:color="1B3D6F" w:themeColor="accent1"/>
        </w:tcBorders>
      </w:tcPr>
    </w:tblStylePr>
    <w:tblStylePr w:type="lastRow">
      <w:rPr>
        <w:b/>
        <w:bCs/>
        <w:color w:val="002B54" w:themeColor="text2"/>
      </w:rPr>
      <w:tblPr/>
      <w:tcPr>
        <w:tcBorders>
          <w:top w:val="single" w:sz="8" w:space="0" w:color="1B3D6F" w:themeColor="accent1"/>
          <w:bottom w:val="single" w:sz="8" w:space="0" w:color="1B3D6F" w:themeColor="accent1"/>
        </w:tcBorders>
      </w:tcPr>
    </w:tblStylePr>
    <w:tblStylePr w:type="firstCol">
      <w:rPr>
        <w:b/>
        <w:bCs/>
      </w:rPr>
    </w:tblStylePr>
    <w:tblStylePr w:type="lastCol">
      <w:rPr>
        <w:b/>
        <w:bCs/>
      </w:rPr>
      <w:tblPr/>
      <w:tcPr>
        <w:tcBorders>
          <w:top w:val="single" w:sz="8" w:space="0" w:color="1B3D6F" w:themeColor="accent1"/>
          <w:bottom w:val="single" w:sz="8" w:space="0" w:color="1B3D6F" w:themeColor="accent1"/>
        </w:tcBorders>
      </w:tcPr>
    </w:tblStylePr>
    <w:tblStylePr w:type="band1Vert">
      <w:tblPr/>
      <w:tcPr>
        <w:shd w:val="clear" w:color="auto" w:fill="B5CBED" w:themeFill="accent1" w:themeFillTint="3F"/>
      </w:tcPr>
    </w:tblStylePr>
    <w:tblStylePr w:type="band1Horz">
      <w:tblPr/>
      <w:tcPr>
        <w:shd w:val="clear" w:color="auto" w:fill="B5CBED" w:themeFill="accent1" w:themeFillTint="3F"/>
      </w:tcPr>
    </w:tblStylePr>
  </w:style>
  <w:style w:type="table" w:styleId="MediumList1-Accent2">
    <w:name w:val="Medium List 1 Accent 2"/>
    <w:basedOn w:val="TableNormal"/>
    <w:uiPriority w:val="65"/>
    <w:semiHidden/>
    <w:unhideWhenUsed/>
    <w:rsid w:val="009F072B"/>
    <w:pPr>
      <w:spacing w:line="240" w:lineRule="auto"/>
    </w:pPr>
    <w:rPr>
      <w:rFonts w:eastAsiaTheme="minorHAnsi"/>
      <w:color w:val="000000" w:themeColor="text1"/>
    </w:rPr>
    <w:tblPr>
      <w:tblStyleRowBandSize w:val="1"/>
      <w:tblStyleColBandSize w:val="1"/>
      <w:tblBorders>
        <w:top w:val="single" w:sz="8" w:space="0" w:color="2297AA" w:themeColor="accent2"/>
        <w:bottom w:val="single" w:sz="8" w:space="0" w:color="2297AA" w:themeColor="accent2"/>
      </w:tblBorders>
    </w:tblPr>
    <w:tblStylePr w:type="firstRow">
      <w:rPr>
        <w:rFonts w:asciiTheme="majorHAnsi" w:eastAsiaTheme="majorEastAsia" w:hAnsiTheme="majorHAnsi" w:cstheme="majorBidi"/>
      </w:rPr>
      <w:tblPr/>
      <w:tcPr>
        <w:tcBorders>
          <w:top w:val="nil"/>
          <w:bottom w:val="single" w:sz="8" w:space="0" w:color="2297AA" w:themeColor="accent2"/>
        </w:tcBorders>
      </w:tcPr>
    </w:tblStylePr>
    <w:tblStylePr w:type="lastRow">
      <w:rPr>
        <w:b/>
        <w:bCs/>
        <w:color w:val="002B54" w:themeColor="text2"/>
      </w:rPr>
      <w:tblPr/>
      <w:tcPr>
        <w:tcBorders>
          <w:top w:val="single" w:sz="8" w:space="0" w:color="2297AA" w:themeColor="accent2"/>
          <w:bottom w:val="single" w:sz="8" w:space="0" w:color="2297AA" w:themeColor="accent2"/>
        </w:tcBorders>
      </w:tcPr>
    </w:tblStylePr>
    <w:tblStylePr w:type="firstCol">
      <w:rPr>
        <w:b/>
        <w:bCs/>
      </w:rPr>
    </w:tblStylePr>
    <w:tblStylePr w:type="lastCol">
      <w:rPr>
        <w:b/>
        <w:bCs/>
      </w:rPr>
      <w:tblPr/>
      <w:tcPr>
        <w:tcBorders>
          <w:top w:val="single" w:sz="8" w:space="0" w:color="2297AA" w:themeColor="accent2"/>
          <w:bottom w:val="single" w:sz="8" w:space="0" w:color="2297AA" w:themeColor="accent2"/>
        </w:tcBorders>
      </w:tcPr>
    </w:tblStylePr>
    <w:tblStylePr w:type="band1Vert">
      <w:tblPr/>
      <w:tcPr>
        <w:shd w:val="clear" w:color="auto" w:fill="BFEBF2" w:themeFill="accent2" w:themeFillTint="3F"/>
      </w:tcPr>
    </w:tblStylePr>
    <w:tblStylePr w:type="band1Horz">
      <w:tblPr/>
      <w:tcPr>
        <w:shd w:val="clear" w:color="auto" w:fill="BFEBF2" w:themeFill="accent2" w:themeFillTint="3F"/>
      </w:tcPr>
    </w:tblStylePr>
  </w:style>
  <w:style w:type="table" w:styleId="MediumList1-Accent4">
    <w:name w:val="Medium List 1 Accent 4"/>
    <w:basedOn w:val="TableNormal"/>
    <w:uiPriority w:val="65"/>
    <w:semiHidden/>
    <w:unhideWhenUsed/>
    <w:rsid w:val="009F072B"/>
    <w:pPr>
      <w:spacing w:line="240" w:lineRule="auto"/>
    </w:pPr>
    <w:rPr>
      <w:rFonts w:eastAsiaTheme="minorHAnsi"/>
      <w:color w:val="000000" w:themeColor="text1"/>
    </w:rPr>
    <w:tblPr>
      <w:tblStyleRowBandSize w:val="1"/>
      <w:tblStyleColBandSize w:val="1"/>
      <w:tblBorders>
        <w:top w:val="single" w:sz="8" w:space="0" w:color="F3BD48" w:themeColor="accent4"/>
        <w:bottom w:val="single" w:sz="8" w:space="0" w:color="F3BD48" w:themeColor="accent4"/>
      </w:tblBorders>
    </w:tblPr>
    <w:tblStylePr w:type="firstRow">
      <w:rPr>
        <w:rFonts w:asciiTheme="majorHAnsi" w:eastAsiaTheme="majorEastAsia" w:hAnsiTheme="majorHAnsi" w:cstheme="majorBidi"/>
      </w:rPr>
      <w:tblPr/>
      <w:tcPr>
        <w:tcBorders>
          <w:top w:val="nil"/>
          <w:bottom w:val="single" w:sz="8" w:space="0" w:color="F3BD48" w:themeColor="accent4"/>
        </w:tcBorders>
      </w:tcPr>
    </w:tblStylePr>
    <w:tblStylePr w:type="lastRow">
      <w:rPr>
        <w:b/>
        <w:bCs/>
        <w:color w:val="002B54" w:themeColor="text2"/>
      </w:rPr>
      <w:tblPr/>
      <w:tcPr>
        <w:tcBorders>
          <w:top w:val="single" w:sz="8" w:space="0" w:color="F3BD48" w:themeColor="accent4"/>
          <w:bottom w:val="single" w:sz="8" w:space="0" w:color="F3BD48" w:themeColor="accent4"/>
        </w:tcBorders>
      </w:tcPr>
    </w:tblStylePr>
    <w:tblStylePr w:type="firstCol">
      <w:rPr>
        <w:b/>
        <w:bCs/>
      </w:rPr>
    </w:tblStylePr>
    <w:tblStylePr w:type="lastCol">
      <w:rPr>
        <w:b/>
        <w:bCs/>
      </w:rPr>
      <w:tblPr/>
      <w:tcPr>
        <w:tcBorders>
          <w:top w:val="single" w:sz="8" w:space="0" w:color="F3BD48" w:themeColor="accent4"/>
          <w:bottom w:val="single" w:sz="8" w:space="0" w:color="F3BD48" w:themeColor="accent4"/>
        </w:tcBorders>
      </w:tcPr>
    </w:tblStylePr>
    <w:tblStylePr w:type="band1Vert">
      <w:tblPr/>
      <w:tcPr>
        <w:shd w:val="clear" w:color="auto" w:fill="FCEED1" w:themeFill="accent4" w:themeFillTint="3F"/>
      </w:tcPr>
    </w:tblStylePr>
    <w:tblStylePr w:type="band1Horz">
      <w:tblPr/>
      <w:tcPr>
        <w:shd w:val="clear" w:color="auto" w:fill="FCEED1" w:themeFill="accent4" w:themeFillTint="3F"/>
      </w:tcPr>
    </w:tblStylePr>
  </w:style>
  <w:style w:type="table" w:styleId="MediumList1-Accent5">
    <w:name w:val="Medium List 1 Accent 5"/>
    <w:basedOn w:val="TableNormal"/>
    <w:uiPriority w:val="65"/>
    <w:semiHidden/>
    <w:unhideWhenUsed/>
    <w:rsid w:val="009F072B"/>
    <w:pPr>
      <w:spacing w:line="240" w:lineRule="auto"/>
    </w:pPr>
    <w:rPr>
      <w:rFonts w:eastAsiaTheme="minorHAnsi"/>
      <w:color w:val="000000" w:themeColor="text1"/>
    </w:rPr>
    <w:tblPr>
      <w:tblStyleRowBandSize w:val="1"/>
      <w:tblStyleColBandSize w:val="1"/>
      <w:tblBorders>
        <w:top w:val="single" w:sz="8" w:space="0" w:color="F26A25" w:themeColor="accent5"/>
        <w:bottom w:val="single" w:sz="8" w:space="0" w:color="F26A25" w:themeColor="accent5"/>
      </w:tblBorders>
    </w:tblPr>
    <w:tblStylePr w:type="firstRow">
      <w:rPr>
        <w:rFonts w:asciiTheme="majorHAnsi" w:eastAsiaTheme="majorEastAsia" w:hAnsiTheme="majorHAnsi" w:cstheme="majorBidi"/>
      </w:rPr>
      <w:tblPr/>
      <w:tcPr>
        <w:tcBorders>
          <w:top w:val="nil"/>
          <w:bottom w:val="single" w:sz="8" w:space="0" w:color="F26A25" w:themeColor="accent5"/>
        </w:tcBorders>
      </w:tcPr>
    </w:tblStylePr>
    <w:tblStylePr w:type="lastRow">
      <w:rPr>
        <w:b/>
        <w:bCs/>
        <w:color w:val="002B54" w:themeColor="text2"/>
      </w:rPr>
      <w:tblPr/>
      <w:tcPr>
        <w:tcBorders>
          <w:top w:val="single" w:sz="8" w:space="0" w:color="F26A25" w:themeColor="accent5"/>
          <w:bottom w:val="single" w:sz="8" w:space="0" w:color="F26A25" w:themeColor="accent5"/>
        </w:tcBorders>
      </w:tcPr>
    </w:tblStylePr>
    <w:tblStylePr w:type="firstCol">
      <w:rPr>
        <w:b/>
        <w:bCs/>
      </w:rPr>
    </w:tblStylePr>
    <w:tblStylePr w:type="lastCol">
      <w:rPr>
        <w:b/>
        <w:bCs/>
      </w:rPr>
      <w:tblPr/>
      <w:tcPr>
        <w:tcBorders>
          <w:top w:val="single" w:sz="8" w:space="0" w:color="F26A25" w:themeColor="accent5"/>
          <w:bottom w:val="single" w:sz="8" w:space="0" w:color="F26A25" w:themeColor="accent5"/>
        </w:tcBorders>
      </w:tcPr>
    </w:tblStylePr>
    <w:tblStylePr w:type="band1Vert">
      <w:tblPr/>
      <w:tcPr>
        <w:shd w:val="clear" w:color="auto" w:fill="FBD9C8" w:themeFill="accent5" w:themeFillTint="3F"/>
      </w:tcPr>
    </w:tblStylePr>
    <w:tblStylePr w:type="band1Horz">
      <w:tblPr/>
      <w:tcPr>
        <w:shd w:val="clear" w:color="auto" w:fill="FBD9C8" w:themeFill="accent5" w:themeFillTint="3F"/>
      </w:tcPr>
    </w:tblStylePr>
  </w:style>
  <w:style w:type="table" w:styleId="MediumList1-Accent6">
    <w:name w:val="Medium List 1 Accent 6"/>
    <w:basedOn w:val="TableNormal"/>
    <w:uiPriority w:val="65"/>
    <w:semiHidden/>
    <w:unhideWhenUsed/>
    <w:rsid w:val="009F072B"/>
    <w:pPr>
      <w:spacing w:line="240" w:lineRule="auto"/>
    </w:pPr>
    <w:rPr>
      <w:rFonts w:eastAsiaTheme="minorHAnsi"/>
      <w:color w:val="000000" w:themeColor="text1"/>
    </w:rPr>
    <w:tblPr>
      <w:tblStyleRowBandSize w:val="1"/>
      <w:tblStyleColBandSize w:val="1"/>
      <w:tblBorders>
        <w:top w:val="single" w:sz="8" w:space="0" w:color="CD3E71" w:themeColor="accent6"/>
        <w:bottom w:val="single" w:sz="8" w:space="0" w:color="CD3E71" w:themeColor="accent6"/>
      </w:tblBorders>
    </w:tblPr>
    <w:tblStylePr w:type="firstRow">
      <w:rPr>
        <w:rFonts w:asciiTheme="majorHAnsi" w:eastAsiaTheme="majorEastAsia" w:hAnsiTheme="majorHAnsi" w:cstheme="majorBidi"/>
      </w:rPr>
      <w:tblPr/>
      <w:tcPr>
        <w:tcBorders>
          <w:top w:val="nil"/>
          <w:bottom w:val="single" w:sz="8" w:space="0" w:color="CD3E71" w:themeColor="accent6"/>
        </w:tcBorders>
      </w:tcPr>
    </w:tblStylePr>
    <w:tblStylePr w:type="lastRow">
      <w:rPr>
        <w:b/>
        <w:bCs/>
        <w:color w:val="002B54" w:themeColor="text2"/>
      </w:rPr>
      <w:tblPr/>
      <w:tcPr>
        <w:tcBorders>
          <w:top w:val="single" w:sz="8" w:space="0" w:color="CD3E71" w:themeColor="accent6"/>
          <w:bottom w:val="single" w:sz="8" w:space="0" w:color="CD3E71" w:themeColor="accent6"/>
        </w:tcBorders>
      </w:tcPr>
    </w:tblStylePr>
    <w:tblStylePr w:type="firstCol">
      <w:rPr>
        <w:b/>
        <w:bCs/>
      </w:rPr>
    </w:tblStylePr>
    <w:tblStylePr w:type="lastCol">
      <w:rPr>
        <w:b/>
        <w:bCs/>
      </w:rPr>
      <w:tblPr/>
      <w:tcPr>
        <w:tcBorders>
          <w:top w:val="single" w:sz="8" w:space="0" w:color="CD3E71" w:themeColor="accent6"/>
          <w:bottom w:val="single" w:sz="8" w:space="0" w:color="CD3E71" w:themeColor="accent6"/>
        </w:tcBorders>
      </w:tcPr>
    </w:tblStylePr>
    <w:tblStylePr w:type="band1Vert">
      <w:tblPr/>
      <w:tcPr>
        <w:shd w:val="clear" w:color="auto" w:fill="F2CFDB" w:themeFill="accent6" w:themeFillTint="3F"/>
      </w:tcPr>
    </w:tblStylePr>
    <w:tblStylePr w:type="band1Horz">
      <w:tblPr/>
      <w:tcPr>
        <w:shd w:val="clear" w:color="auto" w:fill="F2CFDB" w:themeFill="accent6" w:themeFillTint="3F"/>
      </w:tcPr>
    </w:tblStylePr>
  </w:style>
  <w:style w:type="table" w:styleId="MediumList2">
    <w:name w:val="Medium List 2"/>
    <w:basedOn w:val="TableNormal"/>
    <w:uiPriority w:val="66"/>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B3D6F" w:themeColor="accent1"/>
        <w:left w:val="single" w:sz="8" w:space="0" w:color="1B3D6F" w:themeColor="accent1"/>
        <w:bottom w:val="single" w:sz="8" w:space="0" w:color="1B3D6F" w:themeColor="accent1"/>
        <w:right w:val="single" w:sz="8" w:space="0" w:color="1B3D6F" w:themeColor="accent1"/>
      </w:tblBorders>
    </w:tblPr>
    <w:tblStylePr w:type="firstRow">
      <w:rPr>
        <w:sz w:val="24"/>
        <w:szCs w:val="24"/>
      </w:rPr>
      <w:tblPr/>
      <w:tcPr>
        <w:tcBorders>
          <w:top w:val="nil"/>
          <w:left w:val="nil"/>
          <w:bottom w:val="single" w:sz="24" w:space="0" w:color="1B3D6F"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3D6F" w:themeColor="accent1"/>
          <w:insideH w:val="nil"/>
          <w:insideV w:val="nil"/>
        </w:tcBorders>
        <w:shd w:val="clear" w:color="auto" w:fill="FFFFFF" w:themeFill="background1"/>
      </w:tcPr>
    </w:tblStylePr>
    <w:tblStylePr w:type="lastCol">
      <w:tblPr/>
      <w:tcPr>
        <w:tcBorders>
          <w:top w:val="nil"/>
          <w:left w:val="single" w:sz="8" w:space="0" w:color="1B3D6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BED" w:themeFill="accent1" w:themeFillTint="3F"/>
      </w:tcPr>
    </w:tblStylePr>
    <w:tblStylePr w:type="band1Horz">
      <w:tblPr/>
      <w:tcPr>
        <w:tcBorders>
          <w:top w:val="nil"/>
          <w:bottom w:val="nil"/>
          <w:insideH w:val="nil"/>
          <w:insideV w:val="nil"/>
        </w:tcBorders>
        <w:shd w:val="clear" w:color="auto" w:fill="B5C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297AA" w:themeColor="accent2"/>
        <w:left w:val="single" w:sz="8" w:space="0" w:color="2297AA" w:themeColor="accent2"/>
        <w:bottom w:val="single" w:sz="8" w:space="0" w:color="2297AA" w:themeColor="accent2"/>
        <w:right w:val="single" w:sz="8" w:space="0" w:color="2297AA" w:themeColor="accent2"/>
      </w:tblBorders>
    </w:tblPr>
    <w:tblStylePr w:type="firstRow">
      <w:rPr>
        <w:sz w:val="24"/>
        <w:szCs w:val="24"/>
      </w:rPr>
      <w:tblPr/>
      <w:tcPr>
        <w:tcBorders>
          <w:top w:val="nil"/>
          <w:left w:val="nil"/>
          <w:bottom w:val="single" w:sz="24" w:space="0" w:color="2297AA"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297AA" w:themeColor="accent2"/>
          <w:insideH w:val="nil"/>
          <w:insideV w:val="nil"/>
        </w:tcBorders>
        <w:shd w:val="clear" w:color="auto" w:fill="FFFFFF" w:themeFill="background1"/>
      </w:tcPr>
    </w:tblStylePr>
    <w:tblStylePr w:type="lastCol">
      <w:tblPr/>
      <w:tcPr>
        <w:tcBorders>
          <w:top w:val="nil"/>
          <w:left w:val="single" w:sz="8" w:space="0" w:color="2297A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EBF2" w:themeFill="accent2" w:themeFillTint="3F"/>
      </w:tcPr>
    </w:tblStylePr>
    <w:tblStylePr w:type="band1Horz">
      <w:tblPr/>
      <w:tcPr>
        <w:tcBorders>
          <w:top w:val="nil"/>
          <w:bottom w:val="nil"/>
          <w:insideH w:val="nil"/>
          <w:insideV w:val="nil"/>
        </w:tcBorders>
        <w:shd w:val="clear" w:color="auto" w:fill="BFEB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BA95" w:themeColor="accent3"/>
        <w:left w:val="single" w:sz="8" w:space="0" w:color="37BA95" w:themeColor="accent3"/>
        <w:bottom w:val="single" w:sz="8" w:space="0" w:color="37BA95" w:themeColor="accent3"/>
        <w:right w:val="single" w:sz="8" w:space="0" w:color="37BA95" w:themeColor="accent3"/>
      </w:tblBorders>
    </w:tblPr>
    <w:tblStylePr w:type="firstRow">
      <w:rPr>
        <w:sz w:val="24"/>
        <w:szCs w:val="24"/>
      </w:rPr>
      <w:tblPr/>
      <w:tcPr>
        <w:tcBorders>
          <w:top w:val="nil"/>
          <w:left w:val="nil"/>
          <w:bottom w:val="single" w:sz="24" w:space="0" w:color="37BA9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BA95" w:themeColor="accent3"/>
          <w:insideH w:val="nil"/>
          <w:insideV w:val="nil"/>
        </w:tcBorders>
        <w:shd w:val="clear" w:color="auto" w:fill="FFFFFF" w:themeFill="background1"/>
      </w:tcPr>
    </w:tblStylePr>
    <w:tblStylePr w:type="lastCol">
      <w:tblPr/>
      <w:tcPr>
        <w:tcBorders>
          <w:top w:val="nil"/>
          <w:left w:val="single" w:sz="8" w:space="0" w:color="37BA9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FE5" w:themeFill="accent3" w:themeFillTint="3F"/>
      </w:tcPr>
    </w:tblStylePr>
    <w:tblStylePr w:type="band1Horz">
      <w:tblPr/>
      <w:tcPr>
        <w:tcBorders>
          <w:top w:val="nil"/>
          <w:bottom w:val="nil"/>
          <w:insideH w:val="nil"/>
          <w:insideV w:val="nil"/>
        </w:tcBorders>
        <w:shd w:val="clear" w:color="auto" w:fill="CBEF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3BD48" w:themeColor="accent4"/>
        <w:left w:val="single" w:sz="8" w:space="0" w:color="F3BD48" w:themeColor="accent4"/>
        <w:bottom w:val="single" w:sz="8" w:space="0" w:color="F3BD48" w:themeColor="accent4"/>
        <w:right w:val="single" w:sz="8" w:space="0" w:color="F3BD48" w:themeColor="accent4"/>
      </w:tblBorders>
    </w:tblPr>
    <w:tblStylePr w:type="firstRow">
      <w:rPr>
        <w:sz w:val="24"/>
        <w:szCs w:val="24"/>
      </w:rPr>
      <w:tblPr/>
      <w:tcPr>
        <w:tcBorders>
          <w:top w:val="nil"/>
          <w:left w:val="nil"/>
          <w:bottom w:val="single" w:sz="24" w:space="0" w:color="F3BD48"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3BD48" w:themeColor="accent4"/>
          <w:insideH w:val="nil"/>
          <w:insideV w:val="nil"/>
        </w:tcBorders>
        <w:shd w:val="clear" w:color="auto" w:fill="FFFFFF" w:themeFill="background1"/>
      </w:tcPr>
    </w:tblStylePr>
    <w:tblStylePr w:type="lastCol">
      <w:tblPr/>
      <w:tcPr>
        <w:tcBorders>
          <w:top w:val="nil"/>
          <w:left w:val="single" w:sz="8" w:space="0" w:color="F3BD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ED1" w:themeFill="accent4" w:themeFillTint="3F"/>
      </w:tcPr>
    </w:tblStylePr>
    <w:tblStylePr w:type="band1Horz">
      <w:tblPr/>
      <w:tcPr>
        <w:tcBorders>
          <w:top w:val="nil"/>
          <w:bottom w:val="nil"/>
          <w:insideH w:val="nil"/>
          <w:insideV w:val="nil"/>
        </w:tcBorders>
        <w:shd w:val="clear" w:color="auto" w:fill="FCEE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26A25" w:themeColor="accent5"/>
        <w:left w:val="single" w:sz="8" w:space="0" w:color="F26A25" w:themeColor="accent5"/>
        <w:bottom w:val="single" w:sz="8" w:space="0" w:color="F26A25" w:themeColor="accent5"/>
        <w:right w:val="single" w:sz="8" w:space="0" w:color="F26A25" w:themeColor="accent5"/>
      </w:tblBorders>
    </w:tblPr>
    <w:tblStylePr w:type="firstRow">
      <w:rPr>
        <w:sz w:val="24"/>
        <w:szCs w:val="24"/>
      </w:rPr>
      <w:tblPr/>
      <w:tcPr>
        <w:tcBorders>
          <w:top w:val="nil"/>
          <w:left w:val="nil"/>
          <w:bottom w:val="single" w:sz="24" w:space="0" w:color="F26A2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A25" w:themeColor="accent5"/>
          <w:insideH w:val="nil"/>
          <w:insideV w:val="nil"/>
        </w:tcBorders>
        <w:shd w:val="clear" w:color="auto" w:fill="FFFFFF" w:themeFill="background1"/>
      </w:tcPr>
    </w:tblStylePr>
    <w:tblStylePr w:type="lastCol">
      <w:tblPr/>
      <w:tcPr>
        <w:tcBorders>
          <w:top w:val="nil"/>
          <w:left w:val="single" w:sz="8" w:space="0" w:color="F26A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8" w:themeFill="accent5" w:themeFillTint="3F"/>
      </w:tcPr>
    </w:tblStylePr>
    <w:tblStylePr w:type="band1Horz">
      <w:tblPr/>
      <w:tcPr>
        <w:tcBorders>
          <w:top w:val="nil"/>
          <w:bottom w:val="nil"/>
          <w:insideH w:val="nil"/>
          <w:insideV w:val="nil"/>
        </w:tcBorders>
        <w:shd w:val="clear" w:color="auto" w:fill="FBD9C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F072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D3E71" w:themeColor="accent6"/>
        <w:left w:val="single" w:sz="8" w:space="0" w:color="CD3E71" w:themeColor="accent6"/>
        <w:bottom w:val="single" w:sz="8" w:space="0" w:color="CD3E71" w:themeColor="accent6"/>
        <w:right w:val="single" w:sz="8" w:space="0" w:color="CD3E71" w:themeColor="accent6"/>
      </w:tblBorders>
    </w:tblPr>
    <w:tblStylePr w:type="firstRow">
      <w:rPr>
        <w:sz w:val="24"/>
        <w:szCs w:val="24"/>
      </w:rPr>
      <w:tblPr/>
      <w:tcPr>
        <w:tcBorders>
          <w:top w:val="nil"/>
          <w:left w:val="nil"/>
          <w:bottom w:val="single" w:sz="24" w:space="0" w:color="CD3E7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3E71" w:themeColor="accent6"/>
          <w:insideH w:val="nil"/>
          <w:insideV w:val="nil"/>
        </w:tcBorders>
        <w:shd w:val="clear" w:color="auto" w:fill="FFFFFF" w:themeFill="background1"/>
      </w:tcPr>
    </w:tblStylePr>
    <w:tblStylePr w:type="lastCol">
      <w:tblPr/>
      <w:tcPr>
        <w:tcBorders>
          <w:top w:val="nil"/>
          <w:left w:val="single" w:sz="8" w:space="0" w:color="CD3E7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FDB" w:themeFill="accent6" w:themeFillTint="3F"/>
      </w:tcPr>
    </w:tblStylePr>
    <w:tblStylePr w:type="band1Horz">
      <w:tblPr/>
      <w:tcPr>
        <w:tcBorders>
          <w:top w:val="nil"/>
          <w:bottom w:val="nil"/>
          <w:insideH w:val="nil"/>
          <w:insideV w:val="nil"/>
        </w:tcBorders>
        <w:shd w:val="clear" w:color="auto" w:fill="F2CF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F072B"/>
    <w:pPr>
      <w:spacing w:line="240" w:lineRule="auto"/>
    </w:pPr>
    <w:rPr>
      <w:rFonts w:eastAsiaTheme="minorHAnsi"/>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F072B"/>
    <w:pPr>
      <w:spacing w:line="240" w:lineRule="auto"/>
    </w:pPr>
    <w:rPr>
      <w:rFonts w:eastAsiaTheme="minorHAnsi"/>
    </w:rPr>
    <w:tblPr>
      <w:tblStyleRowBandSize w:val="1"/>
      <w:tblStyleColBandSize w:val="1"/>
      <w:tblBorders>
        <w:top w:val="single" w:sz="8" w:space="0" w:color="2D66BA" w:themeColor="accent1" w:themeTint="BF"/>
        <w:left w:val="single" w:sz="8" w:space="0" w:color="2D66BA" w:themeColor="accent1" w:themeTint="BF"/>
        <w:bottom w:val="single" w:sz="8" w:space="0" w:color="2D66BA" w:themeColor="accent1" w:themeTint="BF"/>
        <w:right w:val="single" w:sz="8" w:space="0" w:color="2D66BA" w:themeColor="accent1" w:themeTint="BF"/>
        <w:insideH w:val="single" w:sz="8" w:space="0" w:color="2D66BA" w:themeColor="accent1" w:themeTint="BF"/>
      </w:tblBorders>
    </w:tblPr>
    <w:tblStylePr w:type="firstRow">
      <w:pPr>
        <w:spacing w:before="0" w:after="0" w:line="240" w:lineRule="auto"/>
      </w:pPr>
      <w:rPr>
        <w:b/>
        <w:bCs/>
        <w:color w:val="FFFFFF" w:themeColor="background1"/>
      </w:rPr>
      <w:tblPr/>
      <w:tcPr>
        <w:tcBorders>
          <w:top w:val="single" w:sz="8" w:space="0" w:color="2D66BA" w:themeColor="accent1" w:themeTint="BF"/>
          <w:left w:val="single" w:sz="8" w:space="0" w:color="2D66BA" w:themeColor="accent1" w:themeTint="BF"/>
          <w:bottom w:val="single" w:sz="8" w:space="0" w:color="2D66BA" w:themeColor="accent1" w:themeTint="BF"/>
          <w:right w:val="single" w:sz="8" w:space="0" w:color="2D66BA" w:themeColor="accent1" w:themeTint="BF"/>
          <w:insideH w:val="nil"/>
          <w:insideV w:val="nil"/>
        </w:tcBorders>
        <w:shd w:val="clear" w:color="auto" w:fill="1B3D6F" w:themeFill="accent1"/>
      </w:tcPr>
    </w:tblStylePr>
    <w:tblStylePr w:type="lastRow">
      <w:pPr>
        <w:spacing w:before="0" w:after="0" w:line="240" w:lineRule="auto"/>
      </w:pPr>
      <w:rPr>
        <w:b/>
        <w:bCs/>
      </w:rPr>
      <w:tblPr/>
      <w:tcPr>
        <w:tcBorders>
          <w:top w:val="double" w:sz="6" w:space="0" w:color="2D66BA" w:themeColor="accent1" w:themeTint="BF"/>
          <w:left w:val="single" w:sz="8" w:space="0" w:color="2D66BA" w:themeColor="accent1" w:themeTint="BF"/>
          <w:bottom w:val="single" w:sz="8" w:space="0" w:color="2D66BA" w:themeColor="accent1" w:themeTint="BF"/>
          <w:right w:val="single" w:sz="8" w:space="0" w:color="2D66B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5CBED" w:themeFill="accent1" w:themeFillTint="3F"/>
      </w:tcPr>
    </w:tblStylePr>
    <w:tblStylePr w:type="band1Horz">
      <w:tblPr/>
      <w:tcPr>
        <w:tcBorders>
          <w:insideH w:val="nil"/>
          <w:insideV w:val="nil"/>
        </w:tcBorders>
        <w:shd w:val="clear" w:color="auto" w:fill="B5CBE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F072B"/>
    <w:pPr>
      <w:spacing w:line="240" w:lineRule="auto"/>
    </w:pPr>
    <w:rPr>
      <w:rFonts w:eastAsiaTheme="minorHAnsi"/>
    </w:rPr>
    <w:tblPr>
      <w:tblStyleRowBandSize w:val="1"/>
      <w:tblStyleColBandSize w:val="1"/>
      <w:tblBorders>
        <w:top w:val="single" w:sz="8" w:space="0" w:color="3FC3D8" w:themeColor="accent2" w:themeTint="BF"/>
        <w:left w:val="single" w:sz="8" w:space="0" w:color="3FC3D8" w:themeColor="accent2" w:themeTint="BF"/>
        <w:bottom w:val="single" w:sz="8" w:space="0" w:color="3FC3D8" w:themeColor="accent2" w:themeTint="BF"/>
        <w:right w:val="single" w:sz="8" w:space="0" w:color="3FC3D8" w:themeColor="accent2" w:themeTint="BF"/>
        <w:insideH w:val="single" w:sz="8" w:space="0" w:color="3FC3D8" w:themeColor="accent2" w:themeTint="BF"/>
      </w:tblBorders>
    </w:tblPr>
    <w:tblStylePr w:type="firstRow">
      <w:pPr>
        <w:spacing w:before="0" w:after="0" w:line="240" w:lineRule="auto"/>
      </w:pPr>
      <w:rPr>
        <w:b/>
        <w:bCs/>
        <w:color w:val="FFFFFF" w:themeColor="background1"/>
      </w:rPr>
      <w:tblPr/>
      <w:tcPr>
        <w:tcBorders>
          <w:top w:val="single" w:sz="8" w:space="0" w:color="3FC3D8" w:themeColor="accent2" w:themeTint="BF"/>
          <w:left w:val="single" w:sz="8" w:space="0" w:color="3FC3D8" w:themeColor="accent2" w:themeTint="BF"/>
          <w:bottom w:val="single" w:sz="8" w:space="0" w:color="3FC3D8" w:themeColor="accent2" w:themeTint="BF"/>
          <w:right w:val="single" w:sz="8" w:space="0" w:color="3FC3D8" w:themeColor="accent2" w:themeTint="BF"/>
          <w:insideH w:val="nil"/>
          <w:insideV w:val="nil"/>
        </w:tcBorders>
        <w:shd w:val="clear" w:color="auto" w:fill="2297AA" w:themeFill="accent2"/>
      </w:tcPr>
    </w:tblStylePr>
    <w:tblStylePr w:type="lastRow">
      <w:pPr>
        <w:spacing w:before="0" w:after="0" w:line="240" w:lineRule="auto"/>
      </w:pPr>
      <w:rPr>
        <w:b/>
        <w:bCs/>
      </w:rPr>
      <w:tblPr/>
      <w:tcPr>
        <w:tcBorders>
          <w:top w:val="double" w:sz="6" w:space="0" w:color="3FC3D8" w:themeColor="accent2" w:themeTint="BF"/>
          <w:left w:val="single" w:sz="8" w:space="0" w:color="3FC3D8" w:themeColor="accent2" w:themeTint="BF"/>
          <w:bottom w:val="single" w:sz="8" w:space="0" w:color="3FC3D8" w:themeColor="accent2" w:themeTint="BF"/>
          <w:right w:val="single" w:sz="8" w:space="0" w:color="3FC3D8" w:themeColor="accent2" w:themeTint="BF"/>
          <w:insideH w:val="nil"/>
          <w:insideV w:val="nil"/>
        </w:tcBorders>
      </w:tcPr>
    </w:tblStylePr>
    <w:tblStylePr w:type="firstCol">
      <w:rPr>
        <w:b/>
        <w:bCs/>
      </w:rPr>
    </w:tblStylePr>
    <w:tblStylePr w:type="lastCol">
      <w:rPr>
        <w:b/>
        <w:bCs/>
      </w:rPr>
    </w:tblStylePr>
    <w:tblStylePr w:type="band1Vert">
      <w:tblPr/>
      <w:tcPr>
        <w:shd w:val="clear" w:color="auto" w:fill="BFEBF2" w:themeFill="accent2" w:themeFillTint="3F"/>
      </w:tcPr>
    </w:tblStylePr>
    <w:tblStylePr w:type="band1Horz">
      <w:tblPr/>
      <w:tcPr>
        <w:tcBorders>
          <w:insideH w:val="nil"/>
          <w:insideV w:val="nil"/>
        </w:tcBorders>
        <w:shd w:val="clear" w:color="auto" w:fill="BFEBF2" w:themeFill="accent2"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F072B"/>
    <w:pPr>
      <w:spacing w:line="240" w:lineRule="auto"/>
    </w:pPr>
    <w:rPr>
      <w:rFonts w:eastAsiaTheme="minorHAnsi"/>
    </w:rPr>
    <w:tblPr>
      <w:tblStyleRowBandSize w:val="1"/>
      <w:tblStyleColBandSize w:val="1"/>
      <w:tblBorders>
        <w:top w:val="single" w:sz="8" w:space="0" w:color="F6CD75" w:themeColor="accent4" w:themeTint="BF"/>
        <w:left w:val="single" w:sz="8" w:space="0" w:color="F6CD75" w:themeColor="accent4" w:themeTint="BF"/>
        <w:bottom w:val="single" w:sz="8" w:space="0" w:color="F6CD75" w:themeColor="accent4" w:themeTint="BF"/>
        <w:right w:val="single" w:sz="8" w:space="0" w:color="F6CD75" w:themeColor="accent4" w:themeTint="BF"/>
        <w:insideH w:val="single" w:sz="8" w:space="0" w:color="F6CD75" w:themeColor="accent4" w:themeTint="BF"/>
      </w:tblBorders>
    </w:tblPr>
    <w:tblStylePr w:type="firstRow">
      <w:pPr>
        <w:spacing w:before="0" w:after="0" w:line="240" w:lineRule="auto"/>
      </w:pPr>
      <w:rPr>
        <w:b/>
        <w:bCs/>
        <w:color w:val="FFFFFF" w:themeColor="background1"/>
      </w:rPr>
      <w:tblPr/>
      <w:tcPr>
        <w:tcBorders>
          <w:top w:val="single" w:sz="8" w:space="0" w:color="F6CD75" w:themeColor="accent4" w:themeTint="BF"/>
          <w:left w:val="single" w:sz="8" w:space="0" w:color="F6CD75" w:themeColor="accent4" w:themeTint="BF"/>
          <w:bottom w:val="single" w:sz="8" w:space="0" w:color="F6CD75" w:themeColor="accent4" w:themeTint="BF"/>
          <w:right w:val="single" w:sz="8" w:space="0" w:color="F6CD75" w:themeColor="accent4" w:themeTint="BF"/>
          <w:insideH w:val="nil"/>
          <w:insideV w:val="nil"/>
        </w:tcBorders>
        <w:shd w:val="clear" w:color="auto" w:fill="F3BD48" w:themeFill="accent4"/>
      </w:tcPr>
    </w:tblStylePr>
    <w:tblStylePr w:type="lastRow">
      <w:pPr>
        <w:spacing w:before="0" w:after="0" w:line="240" w:lineRule="auto"/>
      </w:pPr>
      <w:rPr>
        <w:b/>
        <w:bCs/>
      </w:rPr>
      <w:tblPr/>
      <w:tcPr>
        <w:tcBorders>
          <w:top w:val="double" w:sz="6" w:space="0" w:color="F6CD75" w:themeColor="accent4" w:themeTint="BF"/>
          <w:left w:val="single" w:sz="8" w:space="0" w:color="F6CD75" w:themeColor="accent4" w:themeTint="BF"/>
          <w:bottom w:val="single" w:sz="8" w:space="0" w:color="F6CD75" w:themeColor="accent4" w:themeTint="BF"/>
          <w:right w:val="single" w:sz="8" w:space="0" w:color="F6CD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EED1" w:themeFill="accent4" w:themeFillTint="3F"/>
      </w:tcPr>
    </w:tblStylePr>
    <w:tblStylePr w:type="band1Horz">
      <w:tblPr/>
      <w:tcPr>
        <w:tcBorders>
          <w:insideH w:val="nil"/>
          <w:insideV w:val="nil"/>
        </w:tcBorders>
        <w:shd w:val="clear" w:color="auto" w:fill="FCEE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F072B"/>
    <w:pPr>
      <w:spacing w:line="240" w:lineRule="auto"/>
    </w:pPr>
    <w:rPr>
      <w:rFonts w:eastAsiaTheme="minorHAnsi"/>
    </w:rPr>
    <w:tblPr>
      <w:tblStyleRowBandSize w:val="1"/>
      <w:tblStyleColBandSize w:val="1"/>
      <w:tblBorders>
        <w:top w:val="single" w:sz="8" w:space="0" w:color="F58E5B" w:themeColor="accent5" w:themeTint="BF"/>
        <w:left w:val="single" w:sz="8" w:space="0" w:color="F58E5B" w:themeColor="accent5" w:themeTint="BF"/>
        <w:bottom w:val="single" w:sz="8" w:space="0" w:color="F58E5B" w:themeColor="accent5" w:themeTint="BF"/>
        <w:right w:val="single" w:sz="8" w:space="0" w:color="F58E5B" w:themeColor="accent5" w:themeTint="BF"/>
        <w:insideH w:val="single" w:sz="8" w:space="0" w:color="F58E5B" w:themeColor="accent5" w:themeTint="BF"/>
      </w:tblBorders>
    </w:tblPr>
    <w:tblStylePr w:type="firstRow">
      <w:pPr>
        <w:spacing w:before="0" w:after="0" w:line="240" w:lineRule="auto"/>
      </w:pPr>
      <w:rPr>
        <w:b/>
        <w:bCs/>
        <w:color w:val="FFFFFF" w:themeColor="background1"/>
      </w:rPr>
      <w:tblPr/>
      <w:tcPr>
        <w:tcBorders>
          <w:top w:val="single" w:sz="8" w:space="0" w:color="F58E5B" w:themeColor="accent5" w:themeTint="BF"/>
          <w:left w:val="single" w:sz="8" w:space="0" w:color="F58E5B" w:themeColor="accent5" w:themeTint="BF"/>
          <w:bottom w:val="single" w:sz="8" w:space="0" w:color="F58E5B" w:themeColor="accent5" w:themeTint="BF"/>
          <w:right w:val="single" w:sz="8" w:space="0" w:color="F58E5B" w:themeColor="accent5" w:themeTint="BF"/>
          <w:insideH w:val="nil"/>
          <w:insideV w:val="nil"/>
        </w:tcBorders>
        <w:shd w:val="clear" w:color="auto" w:fill="F26A25" w:themeFill="accent5"/>
      </w:tcPr>
    </w:tblStylePr>
    <w:tblStylePr w:type="lastRow">
      <w:pPr>
        <w:spacing w:before="0" w:after="0" w:line="240" w:lineRule="auto"/>
      </w:pPr>
      <w:rPr>
        <w:b/>
        <w:bCs/>
      </w:rPr>
      <w:tblPr/>
      <w:tcPr>
        <w:tcBorders>
          <w:top w:val="double" w:sz="6" w:space="0" w:color="F58E5B" w:themeColor="accent5" w:themeTint="BF"/>
          <w:left w:val="single" w:sz="8" w:space="0" w:color="F58E5B" w:themeColor="accent5" w:themeTint="BF"/>
          <w:bottom w:val="single" w:sz="8" w:space="0" w:color="F58E5B" w:themeColor="accent5" w:themeTint="BF"/>
          <w:right w:val="single" w:sz="8" w:space="0" w:color="F58E5B"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9C8" w:themeFill="accent5" w:themeFillTint="3F"/>
      </w:tcPr>
    </w:tblStylePr>
    <w:tblStylePr w:type="band1Horz">
      <w:tblPr/>
      <w:tcPr>
        <w:tcBorders>
          <w:insideH w:val="nil"/>
          <w:insideV w:val="nil"/>
        </w:tcBorders>
        <w:shd w:val="clear" w:color="auto" w:fill="FBD9C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F072B"/>
    <w:pPr>
      <w:spacing w:line="240" w:lineRule="auto"/>
    </w:pPr>
    <w:rPr>
      <w:rFonts w:eastAsiaTheme="minorHAnsi"/>
    </w:rPr>
    <w:tblPr>
      <w:tblStyleRowBandSize w:val="1"/>
      <w:tblStyleColBandSize w:val="1"/>
      <w:tblBorders>
        <w:top w:val="single" w:sz="8" w:space="0" w:color="D96E94" w:themeColor="accent6" w:themeTint="BF"/>
        <w:left w:val="single" w:sz="8" w:space="0" w:color="D96E94" w:themeColor="accent6" w:themeTint="BF"/>
        <w:bottom w:val="single" w:sz="8" w:space="0" w:color="D96E94" w:themeColor="accent6" w:themeTint="BF"/>
        <w:right w:val="single" w:sz="8" w:space="0" w:color="D96E94" w:themeColor="accent6" w:themeTint="BF"/>
        <w:insideH w:val="single" w:sz="8" w:space="0" w:color="D96E94" w:themeColor="accent6" w:themeTint="BF"/>
      </w:tblBorders>
    </w:tblPr>
    <w:tblStylePr w:type="firstRow">
      <w:pPr>
        <w:spacing w:before="0" w:after="0" w:line="240" w:lineRule="auto"/>
      </w:pPr>
      <w:rPr>
        <w:b/>
        <w:bCs/>
        <w:color w:val="FFFFFF" w:themeColor="background1"/>
      </w:rPr>
      <w:tblPr/>
      <w:tcPr>
        <w:tcBorders>
          <w:top w:val="single" w:sz="8" w:space="0" w:color="D96E94" w:themeColor="accent6" w:themeTint="BF"/>
          <w:left w:val="single" w:sz="8" w:space="0" w:color="D96E94" w:themeColor="accent6" w:themeTint="BF"/>
          <w:bottom w:val="single" w:sz="8" w:space="0" w:color="D96E94" w:themeColor="accent6" w:themeTint="BF"/>
          <w:right w:val="single" w:sz="8" w:space="0" w:color="D96E94" w:themeColor="accent6" w:themeTint="BF"/>
          <w:insideH w:val="nil"/>
          <w:insideV w:val="nil"/>
        </w:tcBorders>
        <w:shd w:val="clear" w:color="auto" w:fill="CD3E71" w:themeFill="accent6"/>
      </w:tcPr>
    </w:tblStylePr>
    <w:tblStylePr w:type="lastRow">
      <w:pPr>
        <w:spacing w:before="0" w:after="0" w:line="240" w:lineRule="auto"/>
      </w:pPr>
      <w:rPr>
        <w:b/>
        <w:bCs/>
      </w:rPr>
      <w:tblPr/>
      <w:tcPr>
        <w:tcBorders>
          <w:top w:val="double" w:sz="6" w:space="0" w:color="D96E94" w:themeColor="accent6" w:themeTint="BF"/>
          <w:left w:val="single" w:sz="8" w:space="0" w:color="D96E94" w:themeColor="accent6" w:themeTint="BF"/>
          <w:bottom w:val="single" w:sz="8" w:space="0" w:color="D96E94" w:themeColor="accent6" w:themeTint="BF"/>
          <w:right w:val="single" w:sz="8" w:space="0" w:color="D96E9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CFDB" w:themeFill="accent6" w:themeFillTint="3F"/>
      </w:tcPr>
    </w:tblStylePr>
    <w:tblStylePr w:type="band1Horz">
      <w:tblPr/>
      <w:tcPr>
        <w:tcBorders>
          <w:insideH w:val="nil"/>
          <w:insideV w:val="nil"/>
        </w:tcBorders>
        <w:shd w:val="clear" w:color="auto" w:fill="F2CF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F072B"/>
    <w:pPr>
      <w:spacing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F072B"/>
    <w:pPr>
      <w:spacing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3D6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3D6F" w:themeFill="accent1"/>
      </w:tcPr>
    </w:tblStylePr>
    <w:tblStylePr w:type="lastCol">
      <w:rPr>
        <w:b/>
        <w:bCs/>
        <w:color w:val="FFFFFF" w:themeColor="background1"/>
      </w:rPr>
      <w:tblPr/>
      <w:tcPr>
        <w:tcBorders>
          <w:left w:val="nil"/>
          <w:right w:val="nil"/>
          <w:insideH w:val="nil"/>
          <w:insideV w:val="nil"/>
        </w:tcBorders>
        <w:shd w:val="clear" w:color="auto" w:fill="1B3D6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F072B"/>
    <w:pPr>
      <w:spacing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97A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297AA" w:themeFill="accent2"/>
      </w:tcPr>
    </w:tblStylePr>
    <w:tblStylePr w:type="lastCol">
      <w:rPr>
        <w:b/>
        <w:bCs/>
        <w:color w:val="FFFFFF" w:themeColor="background1"/>
      </w:rPr>
      <w:tblPr/>
      <w:tcPr>
        <w:tcBorders>
          <w:left w:val="nil"/>
          <w:right w:val="nil"/>
          <w:insideH w:val="nil"/>
          <w:insideV w:val="nil"/>
        </w:tcBorders>
        <w:shd w:val="clear" w:color="auto" w:fill="2297A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F072B"/>
    <w:pPr>
      <w:spacing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BA9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BA95" w:themeFill="accent3"/>
      </w:tcPr>
    </w:tblStylePr>
    <w:tblStylePr w:type="lastCol">
      <w:rPr>
        <w:b/>
        <w:bCs/>
        <w:color w:val="FFFFFF" w:themeColor="background1"/>
      </w:rPr>
      <w:tblPr/>
      <w:tcPr>
        <w:tcBorders>
          <w:left w:val="nil"/>
          <w:right w:val="nil"/>
          <w:insideH w:val="nil"/>
          <w:insideV w:val="nil"/>
        </w:tcBorders>
        <w:shd w:val="clear" w:color="auto" w:fill="37BA9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F072B"/>
    <w:pPr>
      <w:spacing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3BD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3BD48" w:themeFill="accent4"/>
      </w:tcPr>
    </w:tblStylePr>
    <w:tblStylePr w:type="lastCol">
      <w:rPr>
        <w:b/>
        <w:bCs/>
        <w:color w:val="FFFFFF" w:themeColor="background1"/>
      </w:rPr>
      <w:tblPr/>
      <w:tcPr>
        <w:tcBorders>
          <w:left w:val="nil"/>
          <w:right w:val="nil"/>
          <w:insideH w:val="nil"/>
          <w:insideV w:val="nil"/>
        </w:tcBorders>
        <w:shd w:val="clear" w:color="auto" w:fill="F3BD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F072B"/>
    <w:pPr>
      <w:spacing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A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6A25" w:themeFill="accent5"/>
      </w:tcPr>
    </w:tblStylePr>
    <w:tblStylePr w:type="lastCol">
      <w:rPr>
        <w:b/>
        <w:bCs/>
        <w:color w:val="FFFFFF" w:themeColor="background1"/>
      </w:rPr>
      <w:tblPr/>
      <w:tcPr>
        <w:tcBorders>
          <w:left w:val="nil"/>
          <w:right w:val="nil"/>
          <w:insideH w:val="nil"/>
          <w:insideV w:val="nil"/>
        </w:tcBorders>
        <w:shd w:val="clear" w:color="auto" w:fill="F26A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F072B"/>
    <w:pPr>
      <w:spacing w:line="240" w:lineRule="auto"/>
    </w:pPr>
    <w:rPr>
      <w:rFonts w:eastAsiaTheme="minorHAns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3E7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D3E71" w:themeFill="accent6"/>
      </w:tcPr>
    </w:tblStylePr>
    <w:tblStylePr w:type="lastCol">
      <w:rPr>
        <w:b/>
        <w:bCs/>
        <w:color w:val="FFFFFF" w:themeColor="background1"/>
      </w:rPr>
      <w:tblPr/>
      <w:tcPr>
        <w:tcBorders>
          <w:left w:val="nil"/>
          <w:right w:val="nil"/>
          <w:insideH w:val="nil"/>
          <w:insideV w:val="nil"/>
        </w:tcBorders>
        <w:shd w:val="clear" w:color="auto" w:fill="CD3E7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F072B"/>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9F072B"/>
    <w:rPr>
      <w:rFonts w:asciiTheme="majorHAnsi" w:eastAsiaTheme="majorEastAsia" w:hAnsiTheme="majorHAnsi" w:cstheme="majorBidi"/>
      <w:sz w:val="24"/>
      <w:szCs w:val="24"/>
      <w:shd w:val="pct20" w:color="auto" w:fill="auto"/>
    </w:rPr>
  </w:style>
  <w:style w:type="table" w:styleId="PlainTable1">
    <w:name w:val="Plain Table 1"/>
    <w:basedOn w:val="TableNormal"/>
    <w:uiPriority w:val="41"/>
    <w:unhideWhenUsed/>
    <w:rsid w:val="009F072B"/>
    <w:pPr>
      <w:spacing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unhideWhenUsed/>
    <w:rsid w:val="009F072B"/>
    <w:pPr>
      <w:spacing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unhideWhenUsed/>
    <w:rsid w:val="009F072B"/>
    <w:pPr>
      <w:spacing w:line="240" w:lineRule="auto"/>
    </w:pPr>
    <w:rPr>
      <w:rFonts w:eastAsiaTheme="minorHAnsi"/>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unhideWhenUsed/>
    <w:rsid w:val="009F072B"/>
    <w:pPr>
      <w:spacing w:line="240" w:lineRule="auto"/>
    </w:pPr>
    <w:rPr>
      <w:rFonts w:eastAsiaTheme="minorHAns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unhideWhenUsed/>
    <w:rsid w:val="009F072B"/>
    <w:pPr>
      <w:spacing w:line="240" w:lineRule="auto"/>
    </w:pPr>
    <w:rPr>
      <w:rFonts w:eastAsiaTheme="minorHAnsi"/>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uiPriority w:val="99"/>
    <w:semiHidden/>
    <w:unhideWhenUsed/>
    <w:rsid w:val="009F072B"/>
  </w:style>
  <w:style w:type="character" w:customStyle="1" w:styleId="SalutationChar">
    <w:name w:val="Salutation Char"/>
    <w:basedOn w:val="DefaultParagraphFont"/>
    <w:link w:val="Salutation"/>
    <w:uiPriority w:val="99"/>
    <w:semiHidden/>
    <w:rsid w:val="009F072B"/>
    <w:rPr>
      <w:rFonts w:eastAsiaTheme="minorHAnsi"/>
      <w:sz w:val="24"/>
    </w:rPr>
  </w:style>
  <w:style w:type="table" w:styleId="Table3Deffects1">
    <w:name w:val="Table 3D effects 1"/>
    <w:basedOn w:val="TableNormal"/>
    <w:uiPriority w:val="99"/>
    <w:semiHidden/>
    <w:unhideWhenUsed/>
    <w:rsid w:val="009F072B"/>
    <w:rPr>
      <w:rFonts w:eastAsiaTheme="minorHAns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F072B"/>
    <w:rPr>
      <w:rFonts w:eastAsiaTheme="minorHAns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F072B"/>
    <w:rPr>
      <w:rFonts w:eastAsiaTheme="minorHAns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F072B"/>
    <w:rPr>
      <w:rFonts w:eastAsiaTheme="minorHAns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F072B"/>
    <w:rPr>
      <w:rFonts w:eastAsiaTheme="minorHAns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F072B"/>
    <w:rPr>
      <w:rFonts w:eastAsiaTheme="minorHAns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F072B"/>
    <w:rPr>
      <w:rFonts w:eastAsiaTheme="minorHAns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F072B"/>
    <w:rPr>
      <w:rFonts w:eastAsiaTheme="minorHAns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F072B"/>
    <w:rPr>
      <w:rFonts w:eastAsiaTheme="minorHAns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F072B"/>
    <w:rPr>
      <w:rFonts w:eastAsiaTheme="minorHAns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F072B"/>
    <w:rPr>
      <w:rFonts w:eastAsiaTheme="minorHAns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F072B"/>
    <w:rPr>
      <w:rFonts w:eastAsiaTheme="minorHAns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F072B"/>
    <w:rPr>
      <w:rFonts w:eastAsiaTheme="minorHAns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F072B"/>
    <w:rPr>
      <w:rFonts w:eastAsiaTheme="minorHAns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F072B"/>
    <w:rPr>
      <w:rFonts w:eastAsiaTheme="minorHAns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F072B"/>
    <w:rPr>
      <w:rFonts w:eastAsiaTheme="minorHAns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F072B"/>
    <w:rPr>
      <w:rFonts w:eastAsiaTheme="minorHAns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F072B"/>
    <w:rPr>
      <w:rFonts w:eastAsia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F072B"/>
    <w:rPr>
      <w:rFonts w:eastAsiaTheme="minorHAns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F072B"/>
    <w:rPr>
      <w:rFonts w:eastAsiaTheme="minorHAns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F072B"/>
    <w:rPr>
      <w:rFonts w:eastAsiaTheme="minorHAns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F072B"/>
    <w:rPr>
      <w:rFonts w:eastAsiaTheme="minorHAns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F072B"/>
    <w:rPr>
      <w:rFonts w:eastAsiaTheme="minorHAns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F072B"/>
    <w:rPr>
      <w:rFonts w:eastAsiaTheme="minorHAns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F072B"/>
    <w:rPr>
      <w:rFonts w:eastAsiaTheme="minorHAns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unhideWhenUsed/>
    <w:rsid w:val="009F072B"/>
    <w:pPr>
      <w:spacing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F072B"/>
    <w:rPr>
      <w:rFonts w:eastAsiaTheme="minorHAns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F072B"/>
    <w:rPr>
      <w:rFonts w:eastAsiaTheme="minorHAns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F072B"/>
    <w:rPr>
      <w:rFonts w:eastAsiaTheme="minorHAns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F072B"/>
    <w:rPr>
      <w:rFonts w:eastAsiaTheme="minorHAns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F072B"/>
    <w:rPr>
      <w:rFonts w:eastAsiaTheme="minorHAns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F072B"/>
    <w:rPr>
      <w:rFonts w:eastAsiaTheme="minorHAns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F072B"/>
    <w:rPr>
      <w:rFonts w:eastAsiaTheme="minorHAns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F072B"/>
    <w:rPr>
      <w:rFonts w:eastAsiaTheme="minorHAns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F072B"/>
    <w:pPr>
      <w:ind w:left="220" w:hanging="220"/>
    </w:pPr>
  </w:style>
  <w:style w:type="table" w:styleId="TableProfessional">
    <w:name w:val="Table Professional"/>
    <w:basedOn w:val="TableNormal"/>
    <w:uiPriority w:val="99"/>
    <w:semiHidden/>
    <w:unhideWhenUsed/>
    <w:rsid w:val="009F072B"/>
    <w:rPr>
      <w:rFonts w:eastAsia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F072B"/>
    <w:rPr>
      <w:rFonts w:eastAsiaTheme="minorHAns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F072B"/>
    <w:rPr>
      <w:rFonts w:eastAsiaTheme="minorHAns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F072B"/>
    <w:rPr>
      <w:rFonts w:eastAsiaTheme="minorHAns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F072B"/>
    <w:rPr>
      <w:rFonts w:eastAsiaTheme="minorHAns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F072B"/>
    <w:rPr>
      <w:rFonts w:eastAsiaTheme="minorHAns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F072B"/>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F072B"/>
    <w:rPr>
      <w:rFonts w:eastAsiaTheme="minorHAns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F072B"/>
    <w:rPr>
      <w:rFonts w:eastAsiaTheme="minorHAns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F072B"/>
    <w:rPr>
      <w:rFonts w:eastAsiaTheme="minorHAns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ppendixHeading1">
    <w:name w:val="Appendix Heading 1"/>
    <w:basedOn w:val="Heading1"/>
    <w:uiPriority w:val="99"/>
    <w:unhideWhenUsed/>
    <w:qFormat/>
    <w:rsid w:val="009F072B"/>
    <w:pPr>
      <w:numPr>
        <w:numId w:val="3"/>
      </w:numPr>
    </w:pPr>
  </w:style>
  <w:style w:type="paragraph" w:customStyle="1" w:styleId="AppendixHeading2">
    <w:name w:val="Appendix Heading 2"/>
    <w:basedOn w:val="Heading2"/>
    <w:uiPriority w:val="99"/>
    <w:unhideWhenUsed/>
    <w:qFormat/>
    <w:rsid w:val="009F072B"/>
    <w:pPr>
      <w:numPr>
        <w:numId w:val="3"/>
      </w:numPr>
    </w:pPr>
  </w:style>
  <w:style w:type="paragraph" w:customStyle="1" w:styleId="AppendixHeading3">
    <w:name w:val="Appendix Heading 3"/>
    <w:basedOn w:val="Heading3"/>
    <w:uiPriority w:val="99"/>
    <w:unhideWhenUsed/>
    <w:qFormat/>
    <w:rsid w:val="009F072B"/>
    <w:pPr>
      <w:numPr>
        <w:numId w:val="3"/>
      </w:numPr>
    </w:pPr>
  </w:style>
  <w:style w:type="paragraph" w:customStyle="1" w:styleId="AppendixHeading4">
    <w:name w:val="Appendix Heading 4"/>
    <w:basedOn w:val="Heading4"/>
    <w:uiPriority w:val="99"/>
    <w:unhideWhenUsed/>
    <w:qFormat/>
    <w:rsid w:val="009F072B"/>
    <w:pPr>
      <w:numPr>
        <w:numId w:val="3"/>
      </w:numPr>
    </w:pPr>
  </w:style>
  <w:style w:type="paragraph" w:styleId="Date">
    <w:name w:val="Date"/>
    <w:basedOn w:val="Normal"/>
    <w:next w:val="Normal"/>
    <w:link w:val="DateChar"/>
    <w:uiPriority w:val="99"/>
    <w:semiHidden/>
    <w:unhideWhenUsed/>
    <w:rsid w:val="009F072B"/>
  </w:style>
  <w:style w:type="character" w:customStyle="1" w:styleId="DateChar">
    <w:name w:val="Date Char"/>
    <w:basedOn w:val="DefaultParagraphFont"/>
    <w:link w:val="Date"/>
    <w:uiPriority w:val="99"/>
    <w:semiHidden/>
    <w:rsid w:val="009F072B"/>
    <w:rPr>
      <w:rFonts w:eastAsiaTheme="minorHAnsi"/>
      <w:sz w:val="24"/>
    </w:rPr>
  </w:style>
  <w:style w:type="paragraph" w:styleId="NormalIndent">
    <w:name w:val="Normal Indent"/>
    <w:basedOn w:val="Normal"/>
    <w:uiPriority w:val="99"/>
    <w:semiHidden/>
    <w:unhideWhenUsed/>
    <w:rsid w:val="009F072B"/>
    <w:pPr>
      <w:ind w:left="1440"/>
    </w:pPr>
  </w:style>
  <w:style w:type="paragraph" w:styleId="NoteHeading">
    <w:name w:val="Note Heading"/>
    <w:basedOn w:val="Normal"/>
    <w:next w:val="Normal"/>
    <w:link w:val="NoteHeadingChar"/>
    <w:uiPriority w:val="99"/>
    <w:semiHidden/>
    <w:unhideWhenUsed/>
    <w:rsid w:val="009F072B"/>
    <w:pPr>
      <w:spacing w:line="240" w:lineRule="auto"/>
    </w:pPr>
  </w:style>
  <w:style w:type="character" w:customStyle="1" w:styleId="NoteHeadingChar">
    <w:name w:val="Note Heading Char"/>
    <w:basedOn w:val="DefaultParagraphFont"/>
    <w:link w:val="NoteHeading"/>
    <w:uiPriority w:val="99"/>
    <w:semiHidden/>
    <w:rsid w:val="009F072B"/>
    <w:rPr>
      <w:rFonts w:eastAsiaTheme="minorHAnsi"/>
      <w:sz w:val="24"/>
    </w:rPr>
  </w:style>
  <w:style w:type="paragraph" w:styleId="Signature">
    <w:name w:val="Signature"/>
    <w:basedOn w:val="Normal"/>
    <w:link w:val="SignatureChar"/>
    <w:uiPriority w:val="99"/>
    <w:semiHidden/>
    <w:unhideWhenUsed/>
    <w:rsid w:val="009F072B"/>
    <w:pPr>
      <w:spacing w:line="240" w:lineRule="auto"/>
      <w:ind w:left="4320"/>
    </w:pPr>
  </w:style>
  <w:style w:type="character" w:customStyle="1" w:styleId="SignatureChar">
    <w:name w:val="Signature Char"/>
    <w:basedOn w:val="DefaultParagraphFont"/>
    <w:link w:val="Signature"/>
    <w:uiPriority w:val="99"/>
    <w:semiHidden/>
    <w:rsid w:val="009F072B"/>
    <w:rPr>
      <w:rFonts w:eastAsiaTheme="minorHAnsi"/>
      <w:sz w:val="24"/>
    </w:rPr>
  </w:style>
  <w:style w:type="paragraph" w:customStyle="1" w:styleId="Figure">
    <w:name w:val="Figure"/>
    <w:basedOn w:val="Normal"/>
    <w:next w:val="FigureSource"/>
    <w:uiPriority w:val="12"/>
    <w:unhideWhenUsed/>
    <w:qFormat/>
    <w:rsid w:val="009F072B"/>
    <w:pPr>
      <w:keepNext/>
      <w:jc w:val="center"/>
    </w:pPr>
    <w:rPr>
      <w:noProof/>
      <w:lang w:eastAsia="en-US"/>
    </w:rPr>
  </w:style>
  <w:style w:type="character" w:customStyle="1" w:styleId="Caption2ndLine">
    <w:name w:val="Caption 2nd Line"/>
    <w:basedOn w:val="DefaultParagraphFont"/>
    <w:uiPriority w:val="12"/>
    <w:unhideWhenUsed/>
    <w:qFormat/>
    <w:rsid w:val="009F072B"/>
    <w:rPr>
      <w:b/>
      <w:caps/>
      <w:smallCaps w:val="0"/>
      <w:strike w:val="0"/>
      <w:dstrike w:val="0"/>
      <w:vanish w:val="0"/>
      <w:color w:val="494F56" w:themeColor="background2"/>
      <w:spacing w:val="0"/>
      <w:sz w:val="20"/>
      <w:vertAlign w:val="baseline"/>
    </w:rPr>
  </w:style>
  <w:style w:type="character" w:styleId="Mention">
    <w:name w:val="Mention"/>
    <w:basedOn w:val="DefaultParagraphFont"/>
    <w:uiPriority w:val="99"/>
    <w:unhideWhenUsed/>
    <w:rsid w:val="00AD24A8"/>
    <w:rPr>
      <w:color w:val="2B579A"/>
      <w:shd w:val="clear" w:color="auto" w:fill="E1DFDD"/>
    </w:rPr>
  </w:style>
  <w:style w:type="table" w:customStyle="1" w:styleId="TableGrid10">
    <w:name w:val="Table Grid1"/>
    <w:basedOn w:val="TableNormal"/>
    <w:next w:val="TableGrid"/>
    <w:rsid w:val="009F072B"/>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0D4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33519">
      <w:bodyDiv w:val="1"/>
      <w:marLeft w:val="0"/>
      <w:marRight w:val="0"/>
      <w:marTop w:val="0"/>
      <w:marBottom w:val="0"/>
      <w:divBdr>
        <w:top w:val="none" w:sz="0" w:space="0" w:color="auto"/>
        <w:left w:val="none" w:sz="0" w:space="0" w:color="auto"/>
        <w:bottom w:val="none" w:sz="0" w:space="0" w:color="auto"/>
        <w:right w:val="none" w:sz="0" w:space="0" w:color="auto"/>
      </w:divBdr>
    </w:div>
    <w:div w:id="44070474">
      <w:bodyDiv w:val="1"/>
      <w:marLeft w:val="0"/>
      <w:marRight w:val="0"/>
      <w:marTop w:val="0"/>
      <w:marBottom w:val="0"/>
      <w:divBdr>
        <w:top w:val="none" w:sz="0" w:space="0" w:color="auto"/>
        <w:left w:val="none" w:sz="0" w:space="0" w:color="auto"/>
        <w:bottom w:val="none" w:sz="0" w:space="0" w:color="auto"/>
        <w:right w:val="none" w:sz="0" w:space="0" w:color="auto"/>
      </w:divBdr>
    </w:div>
    <w:div w:id="44717332">
      <w:bodyDiv w:val="1"/>
      <w:marLeft w:val="0"/>
      <w:marRight w:val="0"/>
      <w:marTop w:val="0"/>
      <w:marBottom w:val="0"/>
      <w:divBdr>
        <w:top w:val="none" w:sz="0" w:space="0" w:color="auto"/>
        <w:left w:val="none" w:sz="0" w:space="0" w:color="auto"/>
        <w:bottom w:val="none" w:sz="0" w:space="0" w:color="auto"/>
        <w:right w:val="none" w:sz="0" w:space="0" w:color="auto"/>
      </w:divBdr>
      <w:divsChild>
        <w:div w:id="120147305">
          <w:marLeft w:val="547"/>
          <w:marRight w:val="0"/>
          <w:marTop w:val="0"/>
          <w:marBottom w:val="120"/>
          <w:divBdr>
            <w:top w:val="none" w:sz="0" w:space="0" w:color="auto"/>
            <w:left w:val="none" w:sz="0" w:space="0" w:color="auto"/>
            <w:bottom w:val="none" w:sz="0" w:space="0" w:color="auto"/>
            <w:right w:val="none" w:sz="0" w:space="0" w:color="auto"/>
          </w:divBdr>
        </w:div>
        <w:div w:id="976648979">
          <w:marLeft w:val="907"/>
          <w:marRight w:val="0"/>
          <w:marTop w:val="0"/>
          <w:marBottom w:val="120"/>
          <w:divBdr>
            <w:top w:val="none" w:sz="0" w:space="0" w:color="auto"/>
            <w:left w:val="none" w:sz="0" w:space="0" w:color="auto"/>
            <w:bottom w:val="none" w:sz="0" w:space="0" w:color="auto"/>
            <w:right w:val="none" w:sz="0" w:space="0" w:color="auto"/>
          </w:divBdr>
        </w:div>
        <w:div w:id="1255674808">
          <w:marLeft w:val="547"/>
          <w:marRight w:val="0"/>
          <w:marTop w:val="0"/>
          <w:marBottom w:val="120"/>
          <w:divBdr>
            <w:top w:val="none" w:sz="0" w:space="0" w:color="auto"/>
            <w:left w:val="none" w:sz="0" w:space="0" w:color="auto"/>
            <w:bottom w:val="none" w:sz="0" w:space="0" w:color="auto"/>
            <w:right w:val="none" w:sz="0" w:space="0" w:color="auto"/>
          </w:divBdr>
        </w:div>
        <w:div w:id="1701859678">
          <w:marLeft w:val="907"/>
          <w:marRight w:val="0"/>
          <w:marTop w:val="0"/>
          <w:marBottom w:val="120"/>
          <w:divBdr>
            <w:top w:val="none" w:sz="0" w:space="0" w:color="auto"/>
            <w:left w:val="none" w:sz="0" w:space="0" w:color="auto"/>
            <w:bottom w:val="none" w:sz="0" w:space="0" w:color="auto"/>
            <w:right w:val="none" w:sz="0" w:space="0" w:color="auto"/>
          </w:divBdr>
        </w:div>
      </w:divsChild>
    </w:div>
    <w:div w:id="83961281">
      <w:bodyDiv w:val="1"/>
      <w:marLeft w:val="0"/>
      <w:marRight w:val="0"/>
      <w:marTop w:val="0"/>
      <w:marBottom w:val="0"/>
      <w:divBdr>
        <w:top w:val="none" w:sz="0" w:space="0" w:color="auto"/>
        <w:left w:val="none" w:sz="0" w:space="0" w:color="auto"/>
        <w:bottom w:val="none" w:sz="0" w:space="0" w:color="auto"/>
        <w:right w:val="none" w:sz="0" w:space="0" w:color="auto"/>
      </w:divBdr>
    </w:div>
    <w:div w:id="91634387">
      <w:bodyDiv w:val="1"/>
      <w:marLeft w:val="0"/>
      <w:marRight w:val="0"/>
      <w:marTop w:val="0"/>
      <w:marBottom w:val="0"/>
      <w:divBdr>
        <w:top w:val="none" w:sz="0" w:space="0" w:color="auto"/>
        <w:left w:val="none" w:sz="0" w:space="0" w:color="auto"/>
        <w:bottom w:val="none" w:sz="0" w:space="0" w:color="auto"/>
        <w:right w:val="none" w:sz="0" w:space="0" w:color="auto"/>
      </w:divBdr>
    </w:div>
    <w:div w:id="129785467">
      <w:bodyDiv w:val="1"/>
      <w:marLeft w:val="0"/>
      <w:marRight w:val="0"/>
      <w:marTop w:val="0"/>
      <w:marBottom w:val="0"/>
      <w:divBdr>
        <w:top w:val="none" w:sz="0" w:space="0" w:color="auto"/>
        <w:left w:val="none" w:sz="0" w:space="0" w:color="auto"/>
        <w:bottom w:val="none" w:sz="0" w:space="0" w:color="auto"/>
        <w:right w:val="none" w:sz="0" w:space="0" w:color="auto"/>
      </w:divBdr>
    </w:div>
    <w:div w:id="153104299">
      <w:bodyDiv w:val="1"/>
      <w:marLeft w:val="0"/>
      <w:marRight w:val="0"/>
      <w:marTop w:val="0"/>
      <w:marBottom w:val="0"/>
      <w:divBdr>
        <w:top w:val="none" w:sz="0" w:space="0" w:color="auto"/>
        <w:left w:val="none" w:sz="0" w:space="0" w:color="auto"/>
        <w:bottom w:val="none" w:sz="0" w:space="0" w:color="auto"/>
        <w:right w:val="none" w:sz="0" w:space="0" w:color="auto"/>
      </w:divBdr>
    </w:div>
    <w:div w:id="170798722">
      <w:bodyDiv w:val="1"/>
      <w:marLeft w:val="0"/>
      <w:marRight w:val="0"/>
      <w:marTop w:val="0"/>
      <w:marBottom w:val="0"/>
      <w:divBdr>
        <w:top w:val="none" w:sz="0" w:space="0" w:color="auto"/>
        <w:left w:val="none" w:sz="0" w:space="0" w:color="auto"/>
        <w:bottom w:val="none" w:sz="0" w:space="0" w:color="auto"/>
        <w:right w:val="none" w:sz="0" w:space="0" w:color="auto"/>
      </w:divBdr>
      <w:divsChild>
        <w:div w:id="1224563175">
          <w:marLeft w:val="547"/>
          <w:marRight w:val="0"/>
          <w:marTop w:val="120"/>
          <w:marBottom w:val="0"/>
          <w:divBdr>
            <w:top w:val="none" w:sz="0" w:space="0" w:color="auto"/>
            <w:left w:val="none" w:sz="0" w:space="0" w:color="auto"/>
            <w:bottom w:val="none" w:sz="0" w:space="0" w:color="auto"/>
            <w:right w:val="none" w:sz="0" w:space="0" w:color="auto"/>
          </w:divBdr>
        </w:div>
        <w:div w:id="1739327909">
          <w:marLeft w:val="144"/>
          <w:marRight w:val="0"/>
          <w:marTop w:val="120"/>
          <w:marBottom w:val="0"/>
          <w:divBdr>
            <w:top w:val="none" w:sz="0" w:space="0" w:color="auto"/>
            <w:left w:val="none" w:sz="0" w:space="0" w:color="auto"/>
            <w:bottom w:val="none" w:sz="0" w:space="0" w:color="auto"/>
            <w:right w:val="none" w:sz="0" w:space="0" w:color="auto"/>
          </w:divBdr>
        </w:div>
      </w:divsChild>
    </w:div>
    <w:div w:id="178589504">
      <w:bodyDiv w:val="1"/>
      <w:marLeft w:val="0"/>
      <w:marRight w:val="0"/>
      <w:marTop w:val="0"/>
      <w:marBottom w:val="0"/>
      <w:divBdr>
        <w:top w:val="none" w:sz="0" w:space="0" w:color="auto"/>
        <w:left w:val="none" w:sz="0" w:space="0" w:color="auto"/>
        <w:bottom w:val="none" w:sz="0" w:space="0" w:color="auto"/>
        <w:right w:val="none" w:sz="0" w:space="0" w:color="auto"/>
      </w:divBdr>
      <w:divsChild>
        <w:div w:id="1989627092">
          <w:marLeft w:val="547"/>
          <w:marRight w:val="0"/>
          <w:marTop w:val="240"/>
          <w:marBottom w:val="0"/>
          <w:divBdr>
            <w:top w:val="none" w:sz="0" w:space="0" w:color="auto"/>
            <w:left w:val="none" w:sz="0" w:space="0" w:color="auto"/>
            <w:bottom w:val="none" w:sz="0" w:space="0" w:color="auto"/>
            <w:right w:val="none" w:sz="0" w:space="0" w:color="auto"/>
          </w:divBdr>
        </w:div>
      </w:divsChild>
    </w:div>
    <w:div w:id="179397920">
      <w:bodyDiv w:val="1"/>
      <w:marLeft w:val="0"/>
      <w:marRight w:val="0"/>
      <w:marTop w:val="0"/>
      <w:marBottom w:val="0"/>
      <w:divBdr>
        <w:top w:val="none" w:sz="0" w:space="0" w:color="auto"/>
        <w:left w:val="none" w:sz="0" w:space="0" w:color="auto"/>
        <w:bottom w:val="none" w:sz="0" w:space="0" w:color="auto"/>
        <w:right w:val="none" w:sz="0" w:space="0" w:color="auto"/>
      </w:divBdr>
      <w:divsChild>
        <w:div w:id="625425674">
          <w:marLeft w:val="144"/>
          <w:marRight w:val="0"/>
          <w:marTop w:val="360"/>
          <w:marBottom w:val="0"/>
          <w:divBdr>
            <w:top w:val="none" w:sz="0" w:space="0" w:color="auto"/>
            <w:left w:val="none" w:sz="0" w:space="0" w:color="auto"/>
            <w:bottom w:val="none" w:sz="0" w:space="0" w:color="auto"/>
            <w:right w:val="none" w:sz="0" w:space="0" w:color="auto"/>
          </w:divBdr>
        </w:div>
        <w:div w:id="1363169780">
          <w:marLeft w:val="547"/>
          <w:marRight w:val="0"/>
          <w:marTop w:val="120"/>
          <w:marBottom w:val="0"/>
          <w:divBdr>
            <w:top w:val="none" w:sz="0" w:space="0" w:color="auto"/>
            <w:left w:val="none" w:sz="0" w:space="0" w:color="auto"/>
            <w:bottom w:val="none" w:sz="0" w:space="0" w:color="auto"/>
            <w:right w:val="none" w:sz="0" w:space="0" w:color="auto"/>
          </w:divBdr>
        </w:div>
        <w:div w:id="1534613409">
          <w:marLeft w:val="547"/>
          <w:marRight w:val="0"/>
          <w:marTop w:val="120"/>
          <w:marBottom w:val="0"/>
          <w:divBdr>
            <w:top w:val="none" w:sz="0" w:space="0" w:color="auto"/>
            <w:left w:val="none" w:sz="0" w:space="0" w:color="auto"/>
            <w:bottom w:val="none" w:sz="0" w:space="0" w:color="auto"/>
            <w:right w:val="none" w:sz="0" w:space="0" w:color="auto"/>
          </w:divBdr>
        </w:div>
        <w:div w:id="2067072154">
          <w:marLeft w:val="547"/>
          <w:marRight w:val="0"/>
          <w:marTop w:val="120"/>
          <w:marBottom w:val="0"/>
          <w:divBdr>
            <w:top w:val="none" w:sz="0" w:space="0" w:color="auto"/>
            <w:left w:val="none" w:sz="0" w:space="0" w:color="auto"/>
            <w:bottom w:val="none" w:sz="0" w:space="0" w:color="auto"/>
            <w:right w:val="none" w:sz="0" w:space="0" w:color="auto"/>
          </w:divBdr>
        </w:div>
      </w:divsChild>
    </w:div>
    <w:div w:id="181164322">
      <w:bodyDiv w:val="1"/>
      <w:marLeft w:val="0"/>
      <w:marRight w:val="0"/>
      <w:marTop w:val="0"/>
      <w:marBottom w:val="0"/>
      <w:divBdr>
        <w:top w:val="none" w:sz="0" w:space="0" w:color="auto"/>
        <w:left w:val="none" w:sz="0" w:space="0" w:color="auto"/>
        <w:bottom w:val="none" w:sz="0" w:space="0" w:color="auto"/>
        <w:right w:val="none" w:sz="0" w:space="0" w:color="auto"/>
      </w:divBdr>
    </w:div>
    <w:div w:id="182207142">
      <w:bodyDiv w:val="1"/>
      <w:marLeft w:val="0"/>
      <w:marRight w:val="0"/>
      <w:marTop w:val="0"/>
      <w:marBottom w:val="0"/>
      <w:divBdr>
        <w:top w:val="none" w:sz="0" w:space="0" w:color="auto"/>
        <w:left w:val="none" w:sz="0" w:space="0" w:color="auto"/>
        <w:bottom w:val="none" w:sz="0" w:space="0" w:color="auto"/>
        <w:right w:val="none" w:sz="0" w:space="0" w:color="auto"/>
      </w:divBdr>
    </w:div>
    <w:div w:id="185484443">
      <w:bodyDiv w:val="1"/>
      <w:marLeft w:val="0"/>
      <w:marRight w:val="0"/>
      <w:marTop w:val="0"/>
      <w:marBottom w:val="0"/>
      <w:divBdr>
        <w:top w:val="none" w:sz="0" w:space="0" w:color="auto"/>
        <w:left w:val="none" w:sz="0" w:space="0" w:color="auto"/>
        <w:bottom w:val="none" w:sz="0" w:space="0" w:color="auto"/>
        <w:right w:val="none" w:sz="0" w:space="0" w:color="auto"/>
      </w:divBdr>
    </w:div>
    <w:div w:id="199711717">
      <w:bodyDiv w:val="1"/>
      <w:marLeft w:val="0"/>
      <w:marRight w:val="0"/>
      <w:marTop w:val="0"/>
      <w:marBottom w:val="0"/>
      <w:divBdr>
        <w:top w:val="none" w:sz="0" w:space="0" w:color="auto"/>
        <w:left w:val="none" w:sz="0" w:space="0" w:color="auto"/>
        <w:bottom w:val="none" w:sz="0" w:space="0" w:color="auto"/>
        <w:right w:val="none" w:sz="0" w:space="0" w:color="auto"/>
      </w:divBdr>
    </w:div>
    <w:div w:id="205066876">
      <w:bodyDiv w:val="1"/>
      <w:marLeft w:val="0"/>
      <w:marRight w:val="0"/>
      <w:marTop w:val="0"/>
      <w:marBottom w:val="0"/>
      <w:divBdr>
        <w:top w:val="none" w:sz="0" w:space="0" w:color="auto"/>
        <w:left w:val="none" w:sz="0" w:space="0" w:color="auto"/>
        <w:bottom w:val="none" w:sz="0" w:space="0" w:color="auto"/>
        <w:right w:val="none" w:sz="0" w:space="0" w:color="auto"/>
      </w:divBdr>
    </w:div>
    <w:div w:id="205335254">
      <w:bodyDiv w:val="1"/>
      <w:marLeft w:val="0"/>
      <w:marRight w:val="0"/>
      <w:marTop w:val="0"/>
      <w:marBottom w:val="0"/>
      <w:divBdr>
        <w:top w:val="none" w:sz="0" w:space="0" w:color="auto"/>
        <w:left w:val="none" w:sz="0" w:space="0" w:color="auto"/>
        <w:bottom w:val="none" w:sz="0" w:space="0" w:color="auto"/>
        <w:right w:val="none" w:sz="0" w:space="0" w:color="auto"/>
      </w:divBdr>
    </w:div>
    <w:div w:id="206189843">
      <w:bodyDiv w:val="1"/>
      <w:marLeft w:val="0"/>
      <w:marRight w:val="0"/>
      <w:marTop w:val="0"/>
      <w:marBottom w:val="0"/>
      <w:divBdr>
        <w:top w:val="none" w:sz="0" w:space="0" w:color="auto"/>
        <w:left w:val="none" w:sz="0" w:space="0" w:color="auto"/>
        <w:bottom w:val="none" w:sz="0" w:space="0" w:color="auto"/>
        <w:right w:val="none" w:sz="0" w:space="0" w:color="auto"/>
      </w:divBdr>
    </w:div>
    <w:div w:id="209000059">
      <w:bodyDiv w:val="1"/>
      <w:marLeft w:val="0"/>
      <w:marRight w:val="0"/>
      <w:marTop w:val="0"/>
      <w:marBottom w:val="0"/>
      <w:divBdr>
        <w:top w:val="none" w:sz="0" w:space="0" w:color="auto"/>
        <w:left w:val="none" w:sz="0" w:space="0" w:color="auto"/>
        <w:bottom w:val="none" w:sz="0" w:space="0" w:color="auto"/>
        <w:right w:val="none" w:sz="0" w:space="0" w:color="auto"/>
      </w:divBdr>
    </w:div>
    <w:div w:id="226115169">
      <w:bodyDiv w:val="1"/>
      <w:marLeft w:val="0"/>
      <w:marRight w:val="0"/>
      <w:marTop w:val="0"/>
      <w:marBottom w:val="0"/>
      <w:divBdr>
        <w:top w:val="none" w:sz="0" w:space="0" w:color="auto"/>
        <w:left w:val="none" w:sz="0" w:space="0" w:color="auto"/>
        <w:bottom w:val="none" w:sz="0" w:space="0" w:color="auto"/>
        <w:right w:val="none" w:sz="0" w:space="0" w:color="auto"/>
      </w:divBdr>
    </w:div>
    <w:div w:id="231892692">
      <w:bodyDiv w:val="1"/>
      <w:marLeft w:val="0"/>
      <w:marRight w:val="0"/>
      <w:marTop w:val="0"/>
      <w:marBottom w:val="0"/>
      <w:divBdr>
        <w:top w:val="none" w:sz="0" w:space="0" w:color="auto"/>
        <w:left w:val="none" w:sz="0" w:space="0" w:color="auto"/>
        <w:bottom w:val="none" w:sz="0" w:space="0" w:color="auto"/>
        <w:right w:val="none" w:sz="0" w:space="0" w:color="auto"/>
      </w:divBdr>
    </w:div>
    <w:div w:id="265038403">
      <w:bodyDiv w:val="1"/>
      <w:marLeft w:val="0"/>
      <w:marRight w:val="0"/>
      <w:marTop w:val="0"/>
      <w:marBottom w:val="0"/>
      <w:divBdr>
        <w:top w:val="none" w:sz="0" w:space="0" w:color="auto"/>
        <w:left w:val="none" w:sz="0" w:space="0" w:color="auto"/>
        <w:bottom w:val="none" w:sz="0" w:space="0" w:color="auto"/>
        <w:right w:val="none" w:sz="0" w:space="0" w:color="auto"/>
      </w:divBdr>
    </w:div>
    <w:div w:id="274792952">
      <w:bodyDiv w:val="1"/>
      <w:marLeft w:val="0"/>
      <w:marRight w:val="0"/>
      <w:marTop w:val="0"/>
      <w:marBottom w:val="0"/>
      <w:divBdr>
        <w:top w:val="none" w:sz="0" w:space="0" w:color="auto"/>
        <w:left w:val="none" w:sz="0" w:space="0" w:color="auto"/>
        <w:bottom w:val="none" w:sz="0" w:space="0" w:color="auto"/>
        <w:right w:val="none" w:sz="0" w:space="0" w:color="auto"/>
      </w:divBdr>
    </w:div>
    <w:div w:id="289827677">
      <w:bodyDiv w:val="1"/>
      <w:marLeft w:val="0"/>
      <w:marRight w:val="0"/>
      <w:marTop w:val="0"/>
      <w:marBottom w:val="0"/>
      <w:divBdr>
        <w:top w:val="none" w:sz="0" w:space="0" w:color="auto"/>
        <w:left w:val="none" w:sz="0" w:space="0" w:color="auto"/>
        <w:bottom w:val="none" w:sz="0" w:space="0" w:color="auto"/>
        <w:right w:val="none" w:sz="0" w:space="0" w:color="auto"/>
      </w:divBdr>
    </w:div>
    <w:div w:id="290404900">
      <w:bodyDiv w:val="1"/>
      <w:marLeft w:val="0"/>
      <w:marRight w:val="0"/>
      <w:marTop w:val="0"/>
      <w:marBottom w:val="0"/>
      <w:divBdr>
        <w:top w:val="none" w:sz="0" w:space="0" w:color="auto"/>
        <w:left w:val="none" w:sz="0" w:space="0" w:color="auto"/>
        <w:bottom w:val="none" w:sz="0" w:space="0" w:color="auto"/>
        <w:right w:val="none" w:sz="0" w:space="0" w:color="auto"/>
      </w:divBdr>
    </w:div>
    <w:div w:id="302318617">
      <w:bodyDiv w:val="1"/>
      <w:marLeft w:val="0"/>
      <w:marRight w:val="0"/>
      <w:marTop w:val="0"/>
      <w:marBottom w:val="0"/>
      <w:divBdr>
        <w:top w:val="none" w:sz="0" w:space="0" w:color="auto"/>
        <w:left w:val="none" w:sz="0" w:space="0" w:color="auto"/>
        <w:bottom w:val="none" w:sz="0" w:space="0" w:color="auto"/>
        <w:right w:val="none" w:sz="0" w:space="0" w:color="auto"/>
      </w:divBdr>
    </w:div>
    <w:div w:id="303123714">
      <w:bodyDiv w:val="1"/>
      <w:marLeft w:val="0"/>
      <w:marRight w:val="0"/>
      <w:marTop w:val="0"/>
      <w:marBottom w:val="0"/>
      <w:divBdr>
        <w:top w:val="none" w:sz="0" w:space="0" w:color="auto"/>
        <w:left w:val="none" w:sz="0" w:space="0" w:color="auto"/>
        <w:bottom w:val="none" w:sz="0" w:space="0" w:color="auto"/>
        <w:right w:val="none" w:sz="0" w:space="0" w:color="auto"/>
      </w:divBdr>
    </w:div>
    <w:div w:id="303850945">
      <w:bodyDiv w:val="1"/>
      <w:marLeft w:val="0"/>
      <w:marRight w:val="0"/>
      <w:marTop w:val="0"/>
      <w:marBottom w:val="0"/>
      <w:divBdr>
        <w:top w:val="none" w:sz="0" w:space="0" w:color="auto"/>
        <w:left w:val="none" w:sz="0" w:space="0" w:color="auto"/>
        <w:bottom w:val="none" w:sz="0" w:space="0" w:color="auto"/>
        <w:right w:val="none" w:sz="0" w:space="0" w:color="auto"/>
      </w:divBdr>
    </w:div>
    <w:div w:id="319388825">
      <w:bodyDiv w:val="1"/>
      <w:marLeft w:val="0"/>
      <w:marRight w:val="0"/>
      <w:marTop w:val="0"/>
      <w:marBottom w:val="0"/>
      <w:divBdr>
        <w:top w:val="none" w:sz="0" w:space="0" w:color="auto"/>
        <w:left w:val="none" w:sz="0" w:space="0" w:color="auto"/>
        <w:bottom w:val="none" w:sz="0" w:space="0" w:color="auto"/>
        <w:right w:val="none" w:sz="0" w:space="0" w:color="auto"/>
      </w:divBdr>
    </w:div>
    <w:div w:id="324210189">
      <w:bodyDiv w:val="1"/>
      <w:marLeft w:val="0"/>
      <w:marRight w:val="0"/>
      <w:marTop w:val="0"/>
      <w:marBottom w:val="0"/>
      <w:divBdr>
        <w:top w:val="none" w:sz="0" w:space="0" w:color="auto"/>
        <w:left w:val="none" w:sz="0" w:space="0" w:color="auto"/>
        <w:bottom w:val="none" w:sz="0" w:space="0" w:color="auto"/>
        <w:right w:val="none" w:sz="0" w:space="0" w:color="auto"/>
      </w:divBdr>
    </w:div>
    <w:div w:id="327639468">
      <w:bodyDiv w:val="1"/>
      <w:marLeft w:val="0"/>
      <w:marRight w:val="0"/>
      <w:marTop w:val="0"/>
      <w:marBottom w:val="0"/>
      <w:divBdr>
        <w:top w:val="none" w:sz="0" w:space="0" w:color="auto"/>
        <w:left w:val="none" w:sz="0" w:space="0" w:color="auto"/>
        <w:bottom w:val="none" w:sz="0" w:space="0" w:color="auto"/>
        <w:right w:val="none" w:sz="0" w:space="0" w:color="auto"/>
      </w:divBdr>
    </w:div>
    <w:div w:id="342127499">
      <w:bodyDiv w:val="1"/>
      <w:marLeft w:val="0"/>
      <w:marRight w:val="0"/>
      <w:marTop w:val="0"/>
      <w:marBottom w:val="0"/>
      <w:divBdr>
        <w:top w:val="none" w:sz="0" w:space="0" w:color="auto"/>
        <w:left w:val="none" w:sz="0" w:space="0" w:color="auto"/>
        <w:bottom w:val="none" w:sz="0" w:space="0" w:color="auto"/>
        <w:right w:val="none" w:sz="0" w:space="0" w:color="auto"/>
      </w:divBdr>
    </w:div>
    <w:div w:id="348262120">
      <w:bodyDiv w:val="1"/>
      <w:marLeft w:val="0"/>
      <w:marRight w:val="0"/>
      <w:marTop w:val="0"/>
      <w:marBottom w:val="0"/>
      <w:divBdr>
        <w:top w:val="none" w:sz="0" w:space="0" w:color="auto"/>
        <w:left w:val="none" w:sz="0" w:space="0" w:color="auto"/>
        <w:bottom w:val="none" w:sz="0" w:space="0" w:color="auto"/>
        <w:right w:val="none" w:sz="0" w:space="0" w:color="auto"/>
      </w:divBdr>
    </w:div>
    <w:div w:id="351226173">
      <w:bodyDiv w:val="1"/>
      <w:marLeft w:val="0"/>
      <w:marRight w:val="0"/>
      <w:marTop w:val="0"/>
      <w:marBottom w:val="0"/>
      <w:divBdr>
        <w:top w:val="none" w:sz="0" w:space="0" w:color="auto"/>
        <w:left w:val="none" w:sz="0" w:space="0" w:color="auto"/>
        <w:bottom w:val="none" w:sz="0" w:space="0" w:color="auto"/>
        <w:right w:val="none" w:sz="0" w:space="0" w:color="auto"/>
      </w:divBdr>
    </w:div>
    <w:div w:id="353459775">
      <w:bodyDiv w:val="1"/>
      <w:marLeft w:val="0"/>
      <w:marRight w:val="0"/>
      <w:marTop w:val="0"/>
      <w:marBottom w:val="0"/>
      <w:divBdr>
        <w:top w:val="none" w:sz="0" w:space="0" w:color="auto"/>
        <w:left w:val="none" w:sz="0" w:space="0" w:color="auto"/>
        <w:bottom w:val="none" w:sz="0" w:space="0" w:color="auto"/>
        <w:right w:val="none" w:sz="0" w:space="0" w:color="auto"/>
      </w:divBdr>
    </w:div>
    <w:div w:id="372467556">
      <w:bodyDiv w:val="1"/>
      <w:marLeft w:val="0"/>
      <w:marRight w:val="0"/>
      <w:marTop w:val="0"/>
      <w:marBottom w:val="0"/>
      <w:divBdr>
        <w:top w:val="none" w:sz="0" w:space="0" w:color="auto"/>
        <w:left w:val="none" w:sz="0" w:space="0" w:color="auto"/>
        <w:bottom w:val="none" w:sz="0" w:space="0" w:color="auto"/>
        <w:right w:val="none" w:sz="0" w:space="0" w:color="auto"/>
      </w:divBdr>
    </w:div>
    <w:div w:id="395780686">
      <w:bodyDiv w:val="1"/>
      <w:marLeft w:val="0"/>
      <w:marRight w:val="0"/>
      <w:marTop w:val="0"/>
      <w:marBottom w:val="0"/>
      <w:divBdr>
        <w:top w:val="none" w:sz="0" w:space="0" w:color="auto"/>
        <w:left w:val="none" w:sz="0" w:space="0" w:color="auto"/>
        <w:bottom w:val="none" w:sz="0" w:space="0" w:color="auto"/>
        <w:right w:val="none" w:sz="0" w:space="0" w:color="auto"/>
      </w:divBdr>
    </w:div>
    <w:div w:id="400063846">
      <w:bodyDiv w:val="1"/>
      <w:marLeft w:val="0"/>
      <w:marRight w:val="0"/>
      <w:marTop w:val="0"/>
      <w:marBottom w:val="0"/>
      <w:divBdr>
        <w:top w:val="none" w:sz="0" w:space="0" w:color="auto"/>
        <w:left w:val="none" w:sz="0" w:space="0" w:color="auto"/>
        <w:bottom w:val="none" w:sz="0" w:space="0" w:color="auto"/>
        <w:right w:val="none" w:sz="0" w:space="0" w:color="auto"/>
      </w:divBdr>
      <w:divsChild>
        <w:div w:id="608244584">
          <w:marLeft w:val="144"/>
          <w:marRight w:val="0"/>
          <w:marTop w:val="0"/>
          <w:marBottom w:val="0"/>
          <w:divBdr>
            <w:top w:val="none" w:sz="0" w:space="0" w:color="auto"/>
            <w:left w:val="none" w:sz="0" w:space="0" w:color="auto"/>
            <w:bottom w:val="none" w:sz="0" w:space="0" w:color="auto"/>
            <w:right w:val="none" w:sz="0" w:space="0" w:color="auto"/>
          </w:divBdr>
        </w:div>
      </w:divsChild>
    </w:div>
    <w:div w:id="404303093">
      <w:bodyDiv w:val="1"/>
      <w:marLeft w:val="0"/>
      <w:marRight w:val="0"/>
      <w:marTop w:val="0"/>
      <w:marBottom w:val="0"/>
      <w:divBdr>
        <w:top w:val="none" w:sz="0" w:space="0" w:color="auto"/>
        <w:left w:val="none" w:sz="0" w:space="0" w:color="auto"/>
        <w:bottom w:val="none" w:sz="0" w:space="0" w:color="auto"/>
        <w:right w:val="none" w:sz="0" w:space="0" w:color="auto"/>
      </w:divBdr>
    </w:div>
    <w:div w:id="405953793">
      <w:bodyDiv w:val="1"/>
      <w:marLeft w:val="0"/>
      <w:marRight w:val="0"/>
      <w:marTop w:val="0"/>
      <w:marBottom w:val="0"/>
      <w:divBdr>
        <w:top w:val="none" w:sz="0" w:space="0" w:color="auto"/>
        <w:left w:val="none" w:sz="0" w:space="0" w:color="auto"/>
        <w:bottom w:val="none" w:sz="0" w:space="0" w:color="auto"/>
        <w:right w:val="none" w:sz="0" w:space="0" w:color="auto"/>
      </w:divBdr>
    </w:div>
    <w:div w:id="410396177">
      <w:bodyDiv w:val="1"/>
      <w:marLeft w:val="0"/>
      <w:marRight w:val="0"/>
      <w:marTop w:val="0"/>
      <w:marBottom w:val="0"/>
      <w:divBdr>
        <w:top w:val="none" w:sz="0" w:space="0" w:color="auto"/>
        <w:left w:val="none" w:sz="0" w:space="0" w:color="auto"/>
        <w:bottom w:val="none" w:sz="0" w:space="0" w:color="auto"/>
        <w:right w:val="none" w:sz="0" w:space="0" w:color="auto"/>
      </w:divBdr>
      <w:divsChild>
        <w:div w:id="134179398">
          <w:marLeft w:val="144"/>
          <w:marRight w:val="0"/>
          <w:marTop w:val="120"/>
          <w:marBottom w:val="0"/>
          <w:divBdr>
            <w:top w:val="none" w:sz="0" w:space="0" w:color="auto"/>
            <w:left w:val="none" w:sz="0" w:space="0" w:color="auto"/>
            <w:bottom w:val="none" w:sz="0" w:space="0" w:color="auto"/>
            <w:right w:val="none" w:sz="0" w:space="0" w:color="auto"/>
          </w:divBdr>
        </w:div>
        <w:div w:id="1020424597">
          <w:marLeft w:val="547"/>
          <w:marRight w:val="0"/>
          <w:marTop w:val="120"/>
          <w:marBottom w:val="0"/>
          <w:divBdr>
            <w:top w:val="none" w:sz="0" w:space="0" w:color="auto"/>
            <w:left w:val="none" w:sz="0" w:space="0" w:color="auto"/>
            <w:bottom w:val="none" w:sz="0" w:space="0" w:color="auto"/>
            <w:right w:val="none" w:sz="0" w:space="0" w:color="auto"/>
          </w:divBdr>
        </w:div>
        <w:div w:id="1654329665">
          <w:marLeft w:val="547"/>
          <w:marRight w:val="0"/>
          <w:marTop w:val="120"/>
          <w:marBottom w:val="0"/>
          <w:divBdr>
            <w:top w:val="none" w:sz="0" w:space="0" w:color="auto"/>
            <w:left w:val="none" w:sz="0" w:space="0" w:color="auto"/>
            <w:bottom w:val="none" w:sz="0" w:space="0" w:color="auto"/>
            <w:right w:val="none" w:sz="0" w:space="0" w:color="auto"/>
          </w:divBdr>
        </w:div>
      </w:divsChild>
    </w:div>
    <w:div w:id="412972572">
      <w:bodyDiv w:val="1"/>
      <w:marLeft w:val="0"/>
      <w:marRight w:val="0"/>
      <w:marTop w:val="0"/>
      <w:marBottom w:val="0"/>
      <w:divBdr>
        <w:top w:val="none" w:sz="0" w:space="0" w:color="auto"/>
        <w:left w:val="none" w:sz="0" w:space="0" w:color="auto"/>
        <w:bottom w:val="none" w:sz="0" w:space="0" w:color="auto"/>
        <w:right w:val="none" w:sz="0" w:space="0" w:color="auto"/>
      </w:divBdr>
    </w:div>
    <w:div w:id="438913863">
      <w:bodyDiv w:val="1"/>
      <w:marLeft w:val="0"/>
      <w:marRight w:val="0"/>
      <w:marTop w:val="0"/>
      <w:marBottom w:val="0"/>
      <w:divBdr>
        <w:top w:val="none" w:sz="0" w:space="0" w:color="auto"/>
        <w:left w:val="none" w:sz="0" w:space="0" w:color="auto"/>
        <w:bottom w:val="none" w:sz="0" w:space="0" w:color="auto"/>
        <w:right w:val="none" w:sz="0" w:space="0" w:color="auto"/>
      </w:divBdr>
      <w:divsChild>
        <w:div w:id="896671673">
          <w:marLeft w:val="720"/>
          <w:marRight w:val="0"/>
          <w:marTop w:val="120"/>
          <w:marBottom w:val="0"/>
          <w:divBdr>
            <w:top w:val="none" w:sz="0" w:space="0" w:color="auto"/>
            <w:left w:val="none" w:sz="0" w:space="0" w:color="auto"/>
            <w:bottom w:val="none" w:sz="0" w:space="0" w:color="auto"/>
            <w:right w:val="none" w:sz="0" w:space="0" w:color="auto"/>
          </w:divBdr>
        </w:div>
        <w:div w:id="914587014">
          <w:marLeft w:val="720"/>
          <w:marRight w:val="0"/>
          <w:marTop w:val="120"/>
          <w:marBottom w:val="0"/>
          <w:divBdr>
            <w:top w:val="none" w:sz="0" w:space="0" w:color="auto"/>
            <w:left w:val="none" w:sz="0" w:space="0" w:color="auto"/>
            <w:bottom w:val="none" w:sz="0" w:space="0" w:color="auto"/>
            <w:right w:val="none" w:sz="0" w:space="0" w:color="auto"/>
          </w:divBdr>
        </w:div>
      </w:divsChild>
    </w:div>
    <w:div w:id="448624475">
      <w:bodyDiv w:val="1"/>
      <w:marLeft w:val="0"/>
      <w:marRight w:val="0"/>
      <w:marTop w:val="0"/>
      <w:marBottom w:val="0"/>
      <w:divBdr>
        <w:top w:val="none" w:sz="0" w:space="0" w:color="auto"/>
        <w:left w:val="none" w:sz="0" w:space="0" w:color="auto"/>
        <w:bottom w:val="none" w:sz="0" w:space="0" w:color="auto"/>
        <w:right w:val="none" w:sz="0" w:space="0" w:color="auto"/>
      </w:divBdr>
    </w:div>
    <w:div w:id="458182218">
      <w:bodyDiv w:val="1"/>
      <w:marLeft w:val="0"/>
      <w:marRight w:val="0"/>
      <w:marTop w:val="0"/>
      <w:marBottom w:val="0"/>
      <w:divBdr>
        <w:top w:val="none" w:sz="0" w:space="0" w:color="auto"/>
        <w:left w:val="none" w:sz="0" w:space="0" w:color="auto"/>
        <w:bottom w:val="none" w:sz="0" w:space="0" w:color="auto"/>
        <w:right w:val="none" w:sz="0" w:space="0" w:color="auto"/>
      </w:divBdr>
    </w:div>
    <w:div w:id="495606678">
      <w:bodyDiv w:val="1"/>
      <w:marLeft w:val="0"/>
      <w:marRight w:val="0"/>
      <w:marTop w:val="0"/>
      <w:marBottom w:val="0"/>
      <w:divBdr>
        <w:top w:val="none" w:sz="0" w:space="0" w:color="auto"/>
        <w:left w:val="none" w:sz="0" w:space="0" w:color="auto"/>
        <w:bottom w:val="none" w:sz="0" w:space="0" w:color="auto"/>
        <w:right w:val="none" w:sz="0" w:space="0" w:color="auto"/>
      </w:divBdr>
    </w:div>
    <w:div w:id="504174260">
      <w:bodyDiv w:val="1"/>
      <w:marLeft w:val="0"/>
      <w:marRight w:val="0"/>
      <w:marTop w:val="0"/>
      <w:marBottom w:val="0"/>
      <w:divBdr>
        <w:top w:val="none" w:sz="0" w:space="0" w:color="auto"/>
        <w:left w:val="none" w:sz="0" w:space="0" w:color="auto"/>
        <w:bottom w:val="none" w:sz="0" w:space="0" w:color="auto"/>
        <w:right w:val="none" w:sz="0" w:space="0" w:color="auto"/>
      </w:divBdr>
    </w:div>
    <w:div w:id="544028422">
      <w:bodyDiv w:val="1"/>
      <w:marLeft w:val="0"/>
      <w:marRight w:val="0"/>
      <w:marTop w:val="0"/>
      <w:marBottom w:val="0"/>
      <w:divBdr>
        <w:top w:val="none" w:sz="0" w:space="0" w:color="auto"/>
        <w:left w:val="none" w:sz="0" w:space="0" w:color="auto"/>
        <w:bottom w:val="none" w:sz="0" w:space="0" w:color="auto"/>
        <w:right w:val="none" w:sz="0" w:space="0" w:color="auto"/>
      </w:divBdr>
    </w:div>
    <w:div w:id="581452596">
      <w:bodyDiv w:val="1"/>
      <w:marLeft w:val="0"/>
      <w:marRight w:val="0"/>
      <w:marTop w:val="0"/>
      <w:marBottom w:val="0"/>
      <w:divBdr>
        <w:top w:val="none" w:sz="0" w:space="0" w:color="auto"/>
        <w:left w:val="none" w:sz="0" w:space="0" w:color="auto"/>
        <w:bottom w:val="none" w:sz="0" w:space="0" w:color="auto"/>
        <w:right w:val="none" w:sz="0" w:space="0" w:color="auto"/>
      </w:divBdr>
    </w:div>
    <w:div w:id="594630364">
      <w:bodyDiv w:val="1"/>
      <w:marLeft w:val="0"/>
      <w:marRight w:val="0"/>
      <w:marTop w:val="0"/>
      <w:marBottom w:val="0"/>
      <w:divBdr>
        <w:top w:val="none" w:sz="0" w:space="0" w:color="auto"/>
        <w:left w:val="none" w:sz="0" w:space="0" w:color="auto"/>
        <w:bottom w:val="none" w:sz="0" w:space="0" w:color="auto"/>
        <w:right w:val="none" w:sz="0" w:space="0" w:color="auto"/>
      </w:divBdr>
    </w:div>
    <w:div w:id="599223580">
      <w:bodyDiv w:val="1"/>
      <w:marLeft w:val="0"/>
      <w:marRight w:val="0"/>
      <w:marTop w:val="0"/>
      <w:marBottom w:val="0"/>
      <w:divBdr>
        <w:top w:val="none" w:sz="0" w:space="0" w:color="auto"/>
        <w:left w:val="none" w:sz="0" w:space="0" w:color="auto"/>
        <w:bottom w:val="none" w:sz="0" w:space="0" w:color="auto"/>
        <w:right w:val="none" w:sz="0" w:space="0" w:color="auto"/>
      </w:divBdr>
    </w:div>
    <w:div w:id="603994910">
      <w:bodyDiv w:val="1"/>
      <w:marLeft w:val="0"/>
      <w:marRight w:val="0"/>
      <w:marTop w:val="0"/>
      <w:marBottom w:val="0"/>
      <w:divBdr>
        <w:top w:val="none" w:sz="0" w:space="0" w:color="auto"/>
        <w:left w:val="none" w:sz="0" w:space="0" w:color="auto"/>
        <w:bottom w:val="none" w:sz="0" w:space="0" w:color="auto"/>
        <w:right w:val="none" w:sz="0" w:space="0" w:color="auto"/>
      </w:divBdr>
    </w:div>
    <w:div w:id="614942579">
      <w:bodyDiv w:val="1"/>
      <w:marLeft w:val="0"/>
      <w:marRight w:val="0"/>
      <w:marTop w:val="0"/>
      <w:marBottom w:val="0"/>
      <w:divBdr>
        <w:top w:val="none" w:sz="0" w:space="0" w:color="auto"/>
        <w:left w:val="none" w:sz="0" w:space="0" w:color="auto"/>
        <w:bottom w:val="none" w:sz="0" w:space="0" w:color="auto"/>
        <w:right w:val="none" w:sz="0" w:space="0" w:color="auto"/>
      </w:divBdr>
    </w:div>
    <w:div w:id="639925724">
      <w:bodyDiv w:val="1"/>
      <w:marLeft w:val="0"/>
      <w:marRight w:val="0"/>
      <w:marTop w:val="0"/>
      <w:marBottom w:val="0"/>
      <w:divBdr>
        <w:top w:val="none" w:sz="0" w:space="0" w:color="auto"/>
        <w:left w:val="none" w:sz="0" w:space="0" w:color="auto"/>
        <w:bottom w:val="none" w:sz="0" w:space="0" w:color="auto"/>
        <w:right w:val="none" w:sz="0" w:space="0" w:color="auto"/>
      </w:divBdr>
      <w:divsChild>
        <w:div w:id="333145821">
          <w:marLeft w:val="547"/>
          <w:marRight w:val="0"/>
          <w:marTop w:val="120"/>
          <w:marBottom w:val="120"/>
          <w:divBdr>
            <w:top w:val="none" w:sz="0" w:space="0" w:color="auto"/>
            <w:left w:val="none" w:sz="0" w:space="0" w:color="auto"/>
            <w:bottom w:val="none" w:sz="0" w:space="0" w:color="auto"/>
            <w:right w:val="none" w:sz="0" w:space="0" w:color="auto"/>
          </w:divBdr>
        </w:div>
        <w:div w:id="660696495">
          <w:marLeft w:val="547"/>
          <w:marRight w:val="0"/>
          <w:marTop w:val="120"/>
          <w:marBottom w:val="120"/>
          <w:divBdr>
            <w:top w:val="none" w:sz="0" w:space="0" w:color="auto"/>
            <w:left w:val="none" w:sz="0" w:space="0" w:color="auto"/>
            <w:bottom w:val="none" w:sz="0" w:space="0" w:color="auto"/>
            <w:right w:val="none" w:sz="0" w:space="0" w:color="auto"/>
          </w:divBdr>
        </w:div>
        <w:div w:id="684941057">
          <w:marLeft w:val="547"/>
          <w:marRight w:val="0"/>
          <w:marTop w:val="240"/>
          <w:marBottom w:val="120"/>
          <w:divBdr>
            <w:top w:val="none" w:sz="0" w:space="0" w:color="auto"/>
            <w:left w:val="none" w:sz="0" w:space="0" w:color="auto"/>
            <w:bottom w:val="none" w:sz="0" w:space="0" w:color="auto"/>
            <w:right w:val="none" w:sz="0" w:space="0" w:color="auto"/>
          </w:divBdr>
        </w:div>
        <w:div w:id="848298726">
          <w:marLeft w:val="547"/>
          <w:marRight w:val="0"/>
          <w:marTop w:val="120"/>
          <w:marBottom w:val="120"/>
          <w:divBdr>
            <w:top w:val="none" w:sz="0" w:space="0" w:color="auto"/>
            <w:left w:val="none" w:sz="0" w:space="0" w:color="auto"/>
            <w:bottom w:val="none" w:sz="0" w:space="0" w:color="auto"/>
            <w:right w:val="none" w:sz="0" w:space="0" w:color="auto"/>
          </w:divBdr>
        </w:div>
        <w:div w:id="985815720">
          <w:marLeft w:val="547"/>
          <w:marRight w:val="0"/>
          <w:marTop w:val="240"/>
          <w:marBottom w:val="120"/>
          <w:divBdr>
            <w:top w:val="none" w:sz="0" w:space="0" w:color="auto"/>
            <w:left w:val="none" w:sz="0" w:space="0" w:color="auto"/>
            <w:bottom w:val="none" w:sz="0" w:space="0" w:color="auto"/>
            <w:right w:val="none" w:sz="0" w:space="0" w:color="auto"/>
          </w:divBdr>
        </w:div>
        <w:div w:id="1283345196">
          <w:marLeft w:val="907"/>
          <w:marRight w:val="0"/>
          <w:marTop w:val="60"/>
          <w:marBottom w:val="120"/>
          <w:divBdr>
            <w:top w:val="none" w:sz="0" w:space="0" w:color="auto"/>
            <w:left w:val="none" w:sz="0" w:space="0" w:color="auto"/>
            <w:bottom w:val="none" w:sz="0" w:space="0" w:color="auto"/>
            <w:right w:val="none" w:sz="0" w:space="0" w:color="auto"/>
          </w:divBdr>
        </w:div>
        <w:div w:id="1339042803">
          <w:marLeft w:val="907"/>
          <w:marRight w:val="0"/>
          <w:marTop w:val="60"/>
          <w:marBottom w:val="120"/>
          <w:divBdr>
            <w:top w:val="none" w:sz="0" w:space="0" w:color="auto"/>
            <w:left w:val="none" w:sz="0" w:space="0" w:color="auto"/>
            <w:bottom w:val="none" w:sz="0" w:space="0" w:color="auto"/>
            <w:right w:val="none" w:sz="0" w:space="0" w:color="auto"/>
          </w:divBdr>
        </w:div>
        <w:div w:id="1602689434">
          <w:marLeft w:val="547"/>
          <w:marRight w:val="0"/>
          <w:marTop w:val="120"/>
          <w:marBottom w:val="80"/>
          <w:divBdr>
            <w:top w:val="none" w:sz="0" w:space="0" w:color="auto"/>
            <w:left w:val="none" w:sz="0" w:space="0" w:color="auto"/>
            <w:bottom w:val="none" w:sz="0" w:space="0" w:color="auto"/>
            <w:right w:val="none" w:sz="0" w:space="0" w:color="auto"/>
          </w:divBdr>
        </w:div>
        <w:div w:id="2119568704">
          <w:marLeft w:val="547"/>
          <w:marRight w:val="0"/>
          <w:marTop w:val="240"/>
          <w:marBottom w:val="120"/>
          <w:divBdr>
            <w:top w:val="none" w:sz="0" w:space="0" w:color="auto"/>
            <w:left w:val="none" w:sz="0" w:space="0" w:color="auto"/>
            <w:bottom w:val="none" w:sz="0" w:space="0" w:color="auto"/>
            <w:right w:val="none" w:sz="0" w:space="0" w:color="auto"/>
          </w:divBdr>
        </w:div>
      </w:divsChild>
    </w:div>
    <w:div w:id="643311971">
      <w:bodyDiv w:val="1"/>
      <w:marLeft w:val="0"/>
      <w:marRight w:val="0"/>
      <w:marTop w:val="0"/>
      <w:marBottom w:val="0"/>
      <w:divBdr>
        <w:top w:val="none" w:sz="0" w:space="0" w:color="auto"/>
        <w:left w:val="none" w:sz="0" w:space="0" w:color="auto"/>
        <w:bottom w:val="none" w:sz="0" w:space="0" w:color="auto"/>
        <w:right w:val="none" w:sz="0" w:space="0" w:color="auto"/>
      </w:divBdr>
    </w:div>
    <w:div w:id="656955976">
      <w:bodyDiv w:val="1"/>
      <w:marLeft w:val="0"/>
      <w:marRight w:val="0"/>
      <w:marTop w:val="0"/>
      <w:marBottom w:val="0"/>
      <w:divBdr>
        <w:top w:val="none" w:sz="0" w:space="0" w:color="auto"/>
        <w:left w:val="none" w:sz="0" w:space="0" w:color="auto"/>
        <w:bottom w:val="none" w:sz="0" w:space="0" w:color="auto"/>
        <w:right w:val="none" w:sz="0" w:space="0" w:color="auto"/>
      </w:divBdr>
    </w:div>
    <w:div w:id="661854715">
      <w:bodyDiv w:val="1"/>
      <w:marLeft w:val="0"/>
      <w:marRight w:val="0"/>
      <w:marTop w:val="0"/>
      <w:marBottom w:val="0"/>
      <w:divBdr>
        <w:top w:val="none" w:sz="0" w:space="0" w:color="auto"/>
        <w:left w:val="none" w:sz="0" w:space="0" w:color="auto"/>
        <w:bottom w:val="none" w:sz="0" w:space="0" w:color="auto"/>
        <w:right w:val="none" w:sz="0" w:space="0" w:color="auto"/>
      </w:divBdr>
    </w:div>
    <w:div w:id="681514395">
      <w:bodyDiv w:val="1"/>
      <w:marLeft w:val="0"/>
      <w:marRight w:val="0"/>
      <w:marTop w:val="0"/>
      <w:marBottom w:val="0"/>
      <w:divBdr>
        <w:top w:val="none" w:sz="0" w:space="0" w:color="auto"/>
        <w:left w:val="none" w:sz="0" w:space="0" w:color="auto"/>
        <w:bottom w:val="none" w:sz="0" w:space="0" w:color="auto"/>
        <w:right w:val="none" w:sz="0" w:space="0" w:color="auto"/>
      </w:divBdr>
    </w:div>
    <w:div w:id="706223629">
      <w:bodyDiv w:val="1"/>
      <w:marLeft w:val="0"/>
      <w:marRight w:val="0"/>
      <w:marTop w:val="0"/>
      <w:marBottom w:val="0"/>
      <w:divBdr>
        <w:top w:val="none" w:sz="0" w:space="0" w:color="auto"/>
        <w:left w:val="none" w:sz="0" w:space="0" w:color="auto"/>
        <w:bottom w:val="none" w:sz="0" w:space="0" w:color="auto"/>
        <w:right w:val="none" w:sz="0" w:space="0" w:color="auto"/>
      </w:divBdr>
      <w:divsChild>
        <w:div w:id="277301639">
          <w:marLeft w:val="547"/>
          <w:marRight w:val="0"/>
          <w:marTop w:val="120"/>
          <w:marBottom w:val="0"/>
          <w:divBdr>
            <w:top w:val="none" w:sz="0" w:space="0" w:color="auto"/>
            <w:left w:val="none" w:sz="0" w:space="0" w:color="auto"/>
            <w:bottom w:val="none" w:sz="0" w:space="0" w:color="auto"/>
            <w:right w:val="none" w:sz="0" w:space="0" w:color="auto"/>
          </w:divBdr>
        </w:div>
        <w:div w:id="499661602">
          <w:marLeft w:val="547"/>
          <w:marRight w:val="0"/>
          <w:marTop w:val="120"/>
          <w:marBottom w:val="0"/>
          <w:divBdr>
            <w:top w:val="none" w:sz="0" w:space="0" w:color="auto"/>
            <w:left w:val="none" w:sz="0" w:space="0" w:color="auto"/>
            <w:bottom w:val="none" w:sz="0" w:space="0" w:color="auto"/>
            <w:right w:val="none" w:sz="0" w:space="0" w:color="auto"/>
          </w:divBdr>
        </w:div>
        <w:div w:id="982194291">
          <w:marLeft w:val="547"/>
          <w:marRight w:val="0"/>
          <w:marTop w:val="120"/>
          <w:marBottom w:val="0"/>
          <w:divBdr>
            <w:top w:val="none" w:sz="0" w:space="0" w:color="auto"/>
            <w:left w:val="none" w:sz="0" w:space="0" w:color="auto"/>
            <w:bottom w:val="none" w:sz="0" w:space="0" w:color="auto"/>
            <w:right w:val="none" w:sz="0" w:space="0" w:color="auto"/>
          </w:divBdr>
        </w:div>
        <w:div w:id="1449162471">
          <w:marLeft w:val="547"/>
          <w:marRight w:val="0"/>
          <w:marTop w:val="120"/>
          <w:marBottom w:val="0"/>
          <w:divBdr>
            <w:top w:val="none" w:sz="0" w:space="0" w:color="auto"/>
            <w:left w:val="none" w:sz="0" w:space="0" w:color="auto"/>
            <w:bottom w:val="none" w:sz="0" w:space="0" w:color="auto"/>
            <w:right w:val="none" w:sz="0" w:space="0" w:color="auto"/>
          </w:divBdr>
        </w:div>
      </w:divsChild>
    </w:div>
    <w:div w:id="724791850">
      <w:bodyDiv w:val="1"/>
      <w:marLeft w:val="0"/>
      <w:marRight w:val="0"/>
      <w:marTop w:val="0"/>
      <w:marBottom w:val="0"/>
      <w:divBdr>
        <w:top w:val="none" w:sz="0" w:space="0" w:color="auto"/>
        <w:left w:val="none" w:sz="0" w:space="0" w:color="auto"/>
        <w:bottom w:val="none" w:sz="0" w:space="0" w:color="auto"/>
        <w:right w:val="none" w:sz="0" w:space="0" w:color="auto"/>
      </w:divBdr>
    </w:div>
    <w:div w:id="732317065">
      <w:bodyDiv w:val="1"/>
      <w:marLeft w:val="0"/>
      <w:marRight w:val="0"/>
      <w:marTop w:val="0"/>
      <w:marBottom w:val="0"/>
      <w:divBdr>
        <w:top w:val="none" w:sz="0" w:space="0" w:color="auto"/>
        <w:left w:val="none" w:sz="0" w:space="0" w:color="auto"/>
        <w:bottom w:val="none" w:sz="0" w:space="0" w:color="auto"/>
        <w:right w:val="none" w:sz="0" w:space="0" w:color="auto"/>
      </w:divBdr>
    </w:div>
    <w:div w:id="740643083">
      <w:bodyDiv w:val="1"/>
      <w:marLeft w:val="0"/>
      <w:marRight w:val="0"/>
      <w:marTop w:val="0"/>
      <w:marBottom w:val="0"/>
      <w:divBdr>
        <w:top w:val="none" w:sz="0" w:space="0" w:color="auto"/>
        <w:left w:val="none" w:sz="0" w:space="0" w:color="auto"/>
        <w:bottom w:val="none" w:sz="0" w:space="0" w:color="auto"/>
        <w:right w:val="none" w:sz="0" w:space="0" w:color="auto"/>
      </w:divBdr>
      <w:divsChild>
        <w:div w:id="224267554">
          <w:marLeft w:val="907"/>
          <w:marRight w:val="0"/>
          <w:marTop w:val="0"/>
          <w:marBottom w:val="120"/>
          <w:divBdr>
            <w:top w:val="none" w:sz="0" w:space="0" w:color="auto"/>
            <w:left w:val="none" w:sz="0" w:space="0" w:color="auto"/>
            <w:bottom w:val="none" w:sz="0" w:space="0" w:color="auto"/>
            <w:right w:val="none" w:sz="0" w:space="0" w:color="auto"/>
          </w:divBdr>
        </w:div>
        <w:div w:id="337007319">
          <w:marLeft w:val="1080"/>
          <w:marRight w:val="0"/>
          <w:marTop w:val="0"/>
          <w:marBottom w:val="120"/>
          <w:divBdr>
            <w:top w:val="none" w:sz="0" w:space="0" w:color="auto"/>
            <w:left w:val="none" w:sz="0" w:space="0" w:color="auto"/>
            <w:bottom w:val="none" w:sz="0" w:space="0" w:color="auto"/>
            <w:right w:val="none" w:sz="0" w:space="0" w:color="auto"/>
          </w:divBdr>
        </w:div>
        <w:div w:id="610938966">
          <w:marLeft w:val="1080"/>
          <w:marRight w:val="0"/>
          <w:marTop w:val="0"/>
          <w:marBottom w:val="120"/>
          <w:divBdr>
            <w:top w:val="none" w:sz="0" w:space="0" w:color="auto"/>
            <w:left w:val="none" w:sz="0" w:space="0" w:color="auto"/>
            <w:bottom w:val="none" w:sz="0" w:space="0" w:color="auto"/>
            <w:right w:val="none" w:sz="0" w:space="0" w:color="auto"/>
          </w:divBdr>
        </w:div>
        <w:div w:id="1065488426">
          <w:marLeft w:val="907"/>
          <w:marRight w:val="0"/>
          <w:marTop w:val="0"/>
          <w:marBottom w:val="120"/>
          <w:divBdr>
            <w:top w:val="none" w:sz="0" w:space="0" w:color="auto"/>
            <w:left w:val="none" w:sz="0" w:space="0" w:color="auto"/>
            <w:bottom w:val="none" w:sz="0" w:space="0" w:color="auto"/>
            <w:right w:val="none" w:sz="0" w:space="0" w:color="auto"/>
          </w:divBdr>
        </w:div>
        <w:div w:id="1409645383">
          <w:marLeft w:val="547"/>
          <w:marRight w:val="0"/>
          <w:marTop w:val="0"/>
          <w:marBottom w:val="120"/>
          <w:divBdr>
            <w:top w:val="none" w:sz="0" w:space="0" w:color="auto"/>
            <w:left w:val="none" w:sz="0" w:space="0" w:color="auto"/>
            <w:bottom w:val="none" w:sz="0" w:space="0" w:color="auto"/>
            <w:right w:val="none" w:sz="0" w:space="0" w:color="auto"/>
          </w:divBdr>
        </w:div>
        <w:div w:id="1683044557">
          <w:marLeft w:val="1080"/>
          <w:marRight w:val="0"/>
          <w:marTop w:val="0"/>
          <w:marBottom w:val="120"/>
          <w:divBdr>
            <w:top w:val="none" w:sz="0" w:space="0" w:color="auto"/>
            <w:left w:val="none" w:sz="0" w:space="0" w:color="auto"/>
            <w:bottom w:val="none" w:sz="0" w:space="0" w:color="auto"/>
            <w:right w:val="none" w:sz="0" w:space="0" w:color="auto"/>
          </w:divBdr>
        </w:div>
        <w:div w:id="1924414245">
          <w:marLeft w:val="547"/>
          <w:marRight w:val="0"/>
          <w:marTop w:val="0"/>
          <w:marBottom w:val="120"/>
          <w:divBdr>
            <w:top w:val="none" w:sz="0" w:space="0" w:color="auto"/>
            <w:left w:val="none" w:sz="0" w:space="0" w:color="auto"/>
            <w:bottom w:val="none" w:sz="0" w:space="0" w:color="auto"/>
            <w:right w:val="none" w:sz="0" w:space="0" w:color="auto"/>
          </w:divBdr>
        </w:div>
      </w:divsChild>
    </w:div>
    <w:div w:id="744500352">
      <w:bodyDiv w:val="1"/>
      <w:marLeft w:val="0"/>
      <w:marRight w:val="0"/>
      <w:marTop w:val="0"/>
      <w:marBottom w:val="0"/>
      <w:divBdr>
        <w:top w:val="none" w:sz="0" w:space="0" w:color="auto"/>
        <w:left w:val="none" w:sz="0" w:space="0" w:color="auto"/>
        <w:bottom w:val="none" w:sz="0" w:space="0" w:color="auto"/>
        <w:right w:val="none" w:sz="0" w:space="0" w:color="auto"/>
      </w:divBdr>
    </w:div>
    <w:div w:id="756365819">
      <w:bodyDiv w:val="1"/>
      <w:marLeft w:val="0"/>
      <w:marRight w:val="0"/>
      <w:marTop w:val="0"/>
      <w:marBottom w:val="0"/>
      <w:divBdr>
        <w:top w:val="none" w:sz="0" w:space="0" w:color="auto"/>
        <w:left w:val="none" w:sz="0" w:space="0" w:color="auto"/>
        <w:bottom w:val="none" w:sz="0" w:space="0" w:color="auto"/>
        <w:right w:val="none" w:sz="0" w:space="0" w:color="auto"/>
      </w:divBdr>
    </w:div>
    <w:div w:id="788398941">
      <w:bodyDiv w:val="1"/>
      <w:marLeft w:val="0"/>
      <w:marRight w:val="0"/>
      <w:marTop w:val="0"/>
      <w:marBottom w:val="0"/>
      <w:divBdr>
        <w:top w:val="none" w:sz="0" w:space="0" w:color="auto"/>
        <w:left w:val="none" w:sz="0" w:space="0" w:color="auto"/>
        <w:bottom w:val="none" w:sz="0" w:space="0" w:color="auto"/>
        <w:right w:val="none" w:sz="0" w:space="0" w:color="auto"/>
      </w:divBdr>
    </w:div>
    <w:div w:id="788475310">
      <w:bodyDiv w:val="1"/>
      <w:marLeft w:val="0"/>
      <w:marRight w:val="0"/>
      <w:marTop w:val="0"/>
      <w:marBottom w:val="0"/>
      <w:divBdr>
        <w:top w:val="none" w:sz="0" w:space="0" w:color="auto"/>
        <w:left w:val="none" w:sz="0" w:space="0" w:color="auto"/>
        <w:bottom w:val="none" w:sz="0" w:space="0" w:color="auto"/>
        <w:right w:val="none" w:sz="0" w:space="0" w:color="auto"/>
      </w:divBdr>
    </w:div>
    <w:div w:id="790129536">
      <w:bodyDiv w:val="1"/>
      <w:marLeft w:val="0"/>
      <w:marRight w:val="0"/>
      <w:marTop w:val="0"/>
      <w:marBottom w:val="0"/>
      <w:divBdr>
        <w:top w:val="none" w:sz="0" w:space="0" w:color="auto"/>
        <w:left w:val="none" w:sz="0" w:space="0" w:color="auto"/>
        <w:bottom w:val="none" w:sz="0" w:space="0" w:color="auto"/>
        <w:right w:val="none" w:sz="0" w:space="0" w:color="auto"/>
      </w:divBdr>
    </w:div>
    <w:div w:id="792940340">
      <w:bodyDiv w:val="1"/>
      <w:marLeft w:val="0"/>
      <w:marRight w:val="0"/>
      <w:marTop w:val="0"/>
      <w:marBottom w:val="0"/>
      <w:divBdr>
        <w:top w:val="none" w:sz="0" w:space="0" w:color="auto"/>
        <w:left w:val="none" w:sz="0" w:space="0" w:color="auto"/>
        <w:bottom w:val="none" w:sz="0" w:space="0" w:color="auto"/>
        <w:right w:val="none" w:sz="0" w:space="0" w:color="auto"/>
      </w:divBdr>
    </w:div>
    <w:div w:id="805701907">
      <w:bodyDiv w:val="1"/>
      <w:marLeft w:val="0"/>
      <w:marRight w:val="0"/>
      <w:marTop w:val="0"/>
      <w:marBottom w:val="0"/>
      <w:divBdr>
        <w:top w:val="none" w:sz="0" w:space="0" w:color="auto"/>
        <w:left w:val="none" w:sz="0" w:space="0" w:color="auto"/>
        <w:bottom w:val="none" w:sz="0" w:space="0" w:color="auto"/>
        <w:right w:val="none" w:sz="0" w:space="0" w:color="auto"/>
      </w:divBdr>
    </w:div>
    <w:div w:id="808664728">
      <w:bodyDiv w:val="1"/>
      <w:marLeft w:val="0"/>
      <w:marRight w:val="0"/>
      <w:marTop w:val="0"/>
      <w:marBottom w:val="0"/>
      <w:divBdr>
        <w:top w:val="none" w:sz="0" w:space="0" w:color="auto"/>
        <w:left w:val="none" w:sz="0" w:space="0" w:color="auto"/>
        <w:bottom w:val="none" w:sz="0" w:space="0" w:color="auto"/>
        <w:right w:val="none" w:sz="0" w:space="0" w:color="auto"/>
      </w:divBdr>
    </w:div>
    <w:div w:id="819270197">
      <w:bodyDiv w:val="1"/>
      <w:marLeft w:val="0"/>
      <w:marRight w:val="0"/>
      <w:marTop w:val="0"/>
      <w:marBottom w:val="0"/>
      <w:divBdr>
        <w:top w:val="none" w:sz="0" w:space="0" w:color="auto"/>
        <w:left w:val="none" w:sz="0" w:space="0" w:color="auto"/>
        <w:bottom w:val="none" w:sz="0" w:space="0" w:color="auto"/>
        <w:right w:val="none" w:sz="0" w:space="0" w:color="auto"/>
      </w:divBdr>
    </w:div>
    <w:div w:id="829950204">
      <w:bodyDiv w:val="1"/>
      <w:marLeft w:val="0"/>
      <w:marRight w:val="0"/>
      <w:marTop w:val="0"/>
      <w:marBottom w:val="0"/>
      <w:divBdr>
        <w:top w:val="none" w:sz="0" w:space="0" w:color="auto"/>
        <w:left w:val="none" w:sz="0" w:space="0" w:color="auto"/>
        <w:bottom w:val="none" w:sz="0" w:space="0" w:color="auto"/>
        <w:right w:val="none" w:sz="0" w:space="0" w:color="auto"/>
      </w:divBdr>
    </w:div>
    <w:div w:id="837231416">
      <w:bodyDiv w:val="1"/>
      <w:marLeft w:val="0"/>
      <w:marRight w:val="0"/>
      <w:marTop w:val="0"/>
      <w:marBottom w:val="0"/>
      <w:divBdr>
        <w:top w:val="none" w:sz="0" w:space="0" w:color="auto"/>
        <w:left w:val="none" w:sz="0" w:space="0" w:color="auto"/>
        <w:bottom w:val="none" w:sz="0" w:space="0" w:color="auto"/>
        <w:right w:val="none" w:sz="0" w:space="0" w:color="auto"/>
      </w:divBdr>
    </w:div>
    <w:div w:id="846483081">
      <w:bodyDiv w:val="1"/>
      <w:marLeft w:val="0"/>
      <w:marRight w:val="0"/>
      <w:marTop w:val="0"/>
      <w:marBottom w:val="0"/>
      <w:divBdr>
        <w:top w:val="none" w:sz="0" w:space="0" w:color="auto"/>
        <w:left w:val="none" w:sz="0" w:space="0" w:color="auto"/>
        <w:bottom w:val="none" w:sz="0" w:space="0" w:color="auto"/>
        <w:right w:val="none" w:sz="0" w:space="0" w:color="auto"/>
      </w:divBdr>
    </w:div>
    <w:div w:id="847980961">
      <w:bodyDiv w:val="1"/>
      <w:marLeft w:val="0"/>
      <w:marRight w:val="0"/>
      <w:marTop w:val="0"/>
      <w:marBottom w:val="0"/>
      <w:divBdr>
        <w:top w:val="none" w:sz="0" w:space="0" w:color="auto"/>
        <w:left w:val="none" w:sz="0" w:space="0" w:color="auto"/>
        <w:bottom w:val="none" w:sz="0" w:space="0" w:color="auto"/>
        <w:right w:val="none" w:sz="0" w:space="0" w:color="auto"/>
      </w:divBdr>
      <w:divsChild>
        <w:div w:id="360323632">
          <w:marLeft w:val="547"/>
          <w:marRight w:val="0"/>
          <w:marTop w:val="120"/>
          <w:marBottom w:val="0"/>
          <w:divBdr>
            <w:top w:val="none" w:sz="0" w:space="0" w:color="auto"/>
            <w:left w:val="none" w:sz="0" w:space="0" w:color="auto"/>
            <w:bottom w:val="none" w:sz="0" w:space="0" w:color="auto"/>
            <w:right w:val="none" w:sz="0" w:space="0" w:color="auto"/>
          </w:divBdr>
        </w:div>
        <w:div w:id="474032045">
          <w:marLeft w:val="547"/>
          <w:marRight w:val="0"/>
          <w:marTop w:val="120"/>
          <w:marBottom w:val="0"/>
          <w:divBdr>
            <w:top w:val="none" w:sz="0" w:space="0" w:color="auto"/>
            <w:left w:val="none" w:sz="0" w:space="0" w:color="auto"/>
            <w:bottom w:val="none" w:sz="0" w:space="0" w:color="auto"/>
            <w:right w:val="none" w:sz="0" w:space="0" w:color="auto"/>
          </w:divBdr>
        </w:div>
        <w:div w:id="721098164">
          <w:marLeft w:val="547"/>
          <w:marRight w:val="0"/>
          <w:marTop w:val="120"/>
          <w:marBottom w:val="0"/>
          <w:divBdr>
            <w:top w:val="none" w:sz="0" w:space="0" w:color="auto"/>
            <w:left w:val="none" w:sz="0" w:space="0" w:color="auto"/>
            <w:bottom w:val="none" w:sz="0" w:space="0" w:color="auto"/>
            <w:right w:val="none" w:sz="0" w:space="0" w:color="auto"/>
          </w:divBdr>
        </w:div>
        <w:div w:id="1963534218">
          <w:marLeft w:val="144"/>
          <w:marRight w:val="0"/>
          <w:marTop w:val="360"/>
          <w:marBottom w:val="0"/>
          <w:divBdr>
            <w:top w:val="none" w:sz="0" w:space="0" w:color="auto"/>
            <w:left w:val="none" w:sz="0" w:space="0" w:color="auto"/>
            <w:bottom w:val="none" w:sz="0" w:space="0" w:color="auto"/>
            <w:right w:val="none" w:sz="0" w:space="0" w:color="auto"/>
          </w:divBdr>
        </w:div>
        <w:div w:id="2135323532">
          <w:marLeft w:val="547"/>
          <w:marRight w:val="0"/>
          <w:marTop w:val="120"/>
          <w:marBottom w:val="0"/>
          <w:divBdr>
            <w:top w:val="none" w:sz="0" w:space="0" w:color="auto"/>
            <w:left w:val="none" w:sz="0" w:space="0" w:color="auto"/>
            <w:bottom w:val="none" w:sz="0" w:space="0" w:color="auto"/>
            <w:right w:val="none" w:sz="0" w:space="0" w:color="auto"/>
          </w:divBdr>
        </w:div>
      </w:divsChild>
    </w:div>
    <w:div w:id="849949732">
      <w:bodyDiv w:val="1"/>
      <w:marLeft w:val="0"/>
      <w:marRight w:val="0"/>
      <w:marTop w:val="0"/>
      <w:marBottom w:val="0"/>
      <w:divBdr>
        <w:top w:val="none" w:sz="0" w:space="0" w:color="auto"/>
        <w:left w:val="none" w:sz="0" w:space="0" w:color="auto"/>
        <w:bottom w:val="none" w:sz="0" w:space="0" w:color="auto"/>
        <w:right w:val="none" w:sz="0" w:space="0" w:color="auto"/>
      </w:divBdr>
      <w:divsChild>
        <w:div w:id="1053390759">
          <w:marLeft w:val="547"/>
          <w:marRight w:val="0"/>
          <w:marTop w:val="120"/>
          <w:marBottom w:val="0"/>
          <w:divBdr>
            <w:top w:val="none" w:sz="0" w:space="0" w:color="auto"/>
            <w:left w:val="none" w:sz="0" w:space="0" w:color="auto"/>
            <w:bottom w:val="none" w:sz="0" w:space="0" w:color="auto"/>
            <w:right w:val="none" w:sz="0" w:space="0" w:color="auto"/>
          </w:divBdr>
        </w:div>
        <w:div w:id="2139564340">
          <w:marLeft w:val="547"/>
          <w:marRight w:val="0"/>
          <w:marTop w:val="120"/>
          <w:marBottom w:val="0"/>
          <w:divBdr>
            <w:top w:val="none" w:sz="0" w:space="0" w:color="auto"/>
            <w:left w:val="none" w:sz="0" w:space="0" w:color="auto"/>
            <w:bottom w:val="none" w:sz="0" w:space="0" w:color="auto"/>
            <w:right w:val="none" w:sz="0" w:space="0" w:color="auto"/>
          </w:divBdr>
        </w:div>
      </w:divsChild>
    </w:div>
    <w:div w:id="852186101">
      <w:bodyDiv w:val="1"/>
      <w:marLeft w:val="0"/>
      <w:marRight w:val="0"/>
      <w:marTop w:val="0"/>
      <w:marBottom w:val="0"/>
      <w:divBdr>
        <w:top w:val="none" w:sz="0" w:space="0" w:color="auto"/>
        <w:left w:val="none" w:sz="0" w:space="0" w:color="auto"/>
        <w:bottom w:val="none" w:sz="0" w:space="0" w:color="auto"/>
        <w:right w:val="none" w:sz="0" w:space="0" w:color="auto"/>
      </w:divBdr>
    </w:div>
    <w:div w:id="881357819">
      <w:bodyDiv w:val="1"/>
      <w:marLeft w:val="0"/>
      <w:marRight w:val="0"/>
      <w:marTop w:val="0"/>
      <w:marBottom w:val="0"/>
      <w:divBdr>
        <w:top w:val="none" w:sz="0" w:space="0" w:color="auto"/>
        <w:left w:val="none" w:sz="0" w:space="0" w:color="auto"/>
        <w:bottom w:val="none" w:sz="0" w:space="0" w:color="auto"/>
        <w:right w:val="none" w:sz="0" w:space="0" w:color="auto"/>
      </w:divBdr>
    </w:div>
    <w:div w:id="883256183">
      <w:bodyDiv w:val="1"/>
      <w:marLeft w:val="0"/>
      <w:marRight w:val="0"/>
      <w:marTop w:val="0"/>
      <w:marBottom w:val="0"/>
      <w:divBdr>
        <w:top w:val="none" w:sz="0" w:space="0" w:color="auto"/>
        <w:left w:val="none" w:sz="0" w:space="0" w:color="auto"/>
        <w:bottom w:val="none" w:sz="0" w:space="0" w:color="auto"/>
        <w:right w:val="none" w:sz="0" w:space="0" w:color="auto"/>
      </w:divBdr>
    </w:div>
    <w:div w:id="888152291">
      <w:bodyDiv w:val="1"/>
      <w:marLeft w:val="0"/>
      <w:marRight w:val="0"/>
      <w:marTop w:val="0"/>
      <w:marBottom w:val="0"/>
      <w:divBdr>
        <w:top w:val="none" w:sz="0" w:space="0" w:color="auto"/>
        <w:left w:val="none" w:sz="0" w:space="0" w:color="auto"/>
        <w:bottom w:val="none" w:sz="0" w:space="0" w:color="auto"/>
        <w:right w:val="none" w:sz="0" w:space="0" w:color="auto"/>
      </w:divBdr>
      <w:divsChild>
        <w:div w:id="228343748">
          <w:marLeft w:val="144"/>
          <w:marRight w:val="0"/>
          <w:marTop w:val="360"/>
          <w:marBottom w:val="0"/>
          <w:divBdr>
            <w:top w:val="none" w:sz="0" w:space="0" w:color="auto"/>
            <w:left w:val="none" w:sz="0" w:space="0" w:color="auto"/>
            <w:bottom w:val="none" w:sz="0" w:space="0" w:color="auto"/>
            <w:right w:val="none" w:sz="0" w:space="0" w:color="auto"/>
          </w:divBdr>
        </w:div>
        <w:div w:id="933056503">
          <w:marLeft w:val="547"/>
          <w:marRight w:val="0"/>
          <w:marTop w:val="120"/>
          <w:marBottom w:val="0"/>
          <w:divBdr>
            <w:top w:val="none" w:sz="0" w:space="0" w:color="auto"/>
            <w:left w:val="none" w:sz="0" w:space="0" w:color="auto"/>
            <w:bottom w:val="none" w:sz="0" w:space="0" w:color="auto"/>
            <w:right w:val="none" w:sz="0" w:space="0" w:color="auto"/>
          </w:divBdr>
        </w:div>
        <w:div w:id="1008216247">
          <w:marLeft w:val="547"/>
          <w:marRight w:val="0"/>
          <w:marTop w:val="120"/>
          <w:marBottom w:val="0"/>
          <w:divBdr>
            <w:top w:val="none" w:sz="0" w:space="0" w:color="auto"/>
            <w:left w:val="none" w:sz="0" w:space="0" w:color="auto"/>
            <w:bottom w:val="none" w:sz="0" w:space="0" w:color="auto"/>
            <w:right w:val="none" w:sz="0" w:space="0" w:color="auto"/>
          </w:divBdr>
        </w:div>
        <w:div w:id="1288974057">
          <w:marLeft w:val="547"/>
          <w:marRight w:val="0"/>
          <w:marTop w:val="120"/>
          <w:marBottom w:val="0"/>
          <w:divBdr>
            <w:top w:val="none" w:sz="0" w:space="0" w:color="auto"/>
            <w:left w:val="none" w:sz="0" w:space="0" w:color="auto"/>
            <w:bottom w:val="none" w:sz="0" w:space="0" w:color="auto"/>
            <w:right w:val="none" w:sz="0" w:space="0" w:color="auto"/>
          </w:divBdr>
        </w:div>
      </w:divsChild>
    </w:div>
    <w:div w:id="902905766">
      <w:bodyDiv w:val="1"/>
      <w:marLeft w:val="0"/>
      <w:marRight w:val="0"/>
      <w:marTop w:val="0"/>
      <w:marBottom w:val="0"/>
      <w:divBdr>
        <w:top w:val="none" w:sz="0" w:space="0" w:color="auto"/>
        <w:left w:val="none" w:sz="0" w:space="0" w:color="auto"/>
        <w:bottom w:val="none" w:sz="0" w:space="0" w:color="auto"/>
        <w:right w:val="none" w:sz="0" w:space="0" w:color="auto"/>
      </w:divBdr>
    </w:div>
    <w:div w:id="908922791">
      <w:bodyDiv w:val="1"/>
      <w:marLeft w:val="0"/>
      <w:marRight w:val="0"/>
      <w:marTop w:val="0"/>
      <w:marBottom w:val="0"/>
      <w:divBdr>
        <w:top w:val="none" w:sz="0" w:space="0" w:color="auto"/>
        <w:left w:val="none" w:sz="0" w:space="0" w:color="auto"/>
        <w:bottom w:val="none" w:sz="0" w:space="0" w:color="auto"/>
        <w:right w:val="none" w:sz="0" w:space="0" w:color="auto"/>
      </w:divBdr>
    </w:div>
    <w:div w:id="914778263">
      <w:bodyDiv w:val="1"/>
      <w:marLeft w:val="0"/>
      <w:marRight w:val="0"/>
      <w:marTop w:val="0"/>
      <w:marBottom w:val="0"/>
      <w:divBdr>
        <w:top w:val="none" w:sz="0" w:space="0" w:color="auto"/>
        <w:left w:val="none" w:sz="0" w:space="0" w:color="auto"/>
        <w:bottom w:val="none" w:sz="0" w:space="0" w:color="auto"/>
        <w:right w:val="none" w:sz="0" w:space="0" w:color="auto"/>
      </w:divBdr>
    </w:div>
    <w:div w:id="917639599">
      <w:bodyDiv w:val="1"/>
      <w:marLeft w:val="0"/>
      <w:marRight w:val="0"/>
      <w:marTop w:val="0"/>
      <w:marBottom w:val="0"/>
      <w:divBdr>
        <w:top w:val="none" w:sz="0" w:space="0" w:color="auto"/>
        <w:left w:val="none" w:sz="0" w:space="0" w:color="auto"/>
        <w:bottom w:val="none" w:sz="0" w:space="0" w:color="auto"/>
        <w:right w:val="none" w:sz="0" w:space="0" w:color="auto"/>
      </w:divBdr>
    </w:div>
    <w:div w:id="936904844">
      <w:bodyDiv w:val="1"/>
      <w:marLeft w:val="0"/>
      <w:marRight w:val="0"/>
      <w:marTop w:val="0"/>
      <w:marBottom w:val="0"/>
      <w:divBdr>
        <w:top w:val="none" w:sz="0" w:space="0" w:color="auto"/>
        <w:left w:val="none" w:sz="0" w:space="0" w:color="auto"/>
        <w:bottom w:val="none" w:sz="0" w:space="0" w:color="auto"/>
        <w:right w:val="none" w:sz="0" w:space="0" w:color="auto"/>
      </w:divBdr>
      <w:divsChild>
        <w:div w:id="206383821">
          <w:marLeft w:val="446"/>
          <w:marRight w:val="0"/>
          <w:marTop w:val="0"/>
          <w:marBottom w:val="0"/>
          <w:divBdr>
            <w:top w:val="none" w:sz="0" w:space="0" w:color="auto"/>
            <w:left w:val="none" w:sz="0" w:space="0" w:color="auto"/>
            <w:bottom w:val="none" w:sz="0" w:space="0" w:color="auto"/>
            <w:right w:val="none" w:sz="0" w:space="0" w:color="auto"/>
          </w:divBdr>
        </w:div>
        <w:div w:id="232014108">
          <w:marLeft w:val="446"/>
          <w:marRight w:val="0"/>
          <w:marTop w:val="0"/>
          <w:marBottom w:val="0"/>
          <w:divBdr>
            <w:top w:val="none" w:sz="0" w:space="0" w:color="auto"/>
            <w:left w:val="none" w:sz="0" w:space="0" w:color="auto"/>
            <w:bottom w:val="none" w:sz="0" w:space="0" w:color="auto"/>
            <w:right w:val="none" w:sz="0" w:space="0" w:color="auto"/>
          </w:divBdr>
        </w:div>
        <w:div w:id="478771082">
          <w:marLeft w:val="446"/>
          <w:marRight w:val="0"/>
          <w:marTop w:val="0"/>
          <w:marBottom w:val="0"/>
          <w:divBdr>
            <w:top w:val="none" w:sz="0" w:space="0" w:color="auto"/>
            <w:left w:val="none" w:sz="0" w:space="0" w:color="auto"/>
            <w:bottom w:val="none" w:sz="0" w:space="0" w:color="auto"/>
            <w:right w:val="none" w:sz="0" w:space="0" w:color="auto"/>
          </w:divBdr>
        </w:div>
        <w:div w:id="707337457">
          <w:marLeft w:val="446"/>
          <w:marRight w:val="0"/>
          <w:marTop w:val="0"/>
          <w:marBottom w:val="0"/>
          <w:divBdr>
            <w:top w:val="none" w:sz="0" w:space="0" w:color="auto"/>
            <w:left w:val="none" w:sz="0" w:space="0" w:color="auto"/>
            <w:bottom w:val="none" w:sz="0" w:space="0" w:color="auto"/>
            <w:right w:val="none" w:sz="0" w:space="0" w:color="auto"/>
          </w:divBdr>
        </w:div>
        <w:div w:id="728067819">
          <w:marLeft w:val="446"/>
          <w:marRight w:val="0"/>
          <w:marTop w:val="0"/>
          <w:marBottom w:val="0"/>
          <w:divBdr>
            <w:top w:val="none" w:sz="0" w:space="0" w:color="auto"/>
            <w:left w:val="none" w:sz="0" w:space="0" w:color="auto"/>
            <w:bottom w:val="none" w:sz="0" w:space="0" w:color="auto"/>
            <w:right w:val="none" w:sz="0" w:space="0" w:color="auto"/>
          </w:divBdr>
        </w:div>
        <w:div w:id="898177101">
          <w:marLeft w:val="446"/>
          <w:marRight w:val="0"/>
          <w:marTop w:val="0"/>
          <w:marBottom w:val="0"/>
          <w:divBdr>
            <w:top w:val="none" w:sz="0" w:space="0" w:color="auto"/>
            <w:left w:val="none" w:sz="0" w:space="0" w:color="auto"/>
            <w:bottom w:val="none" w:sz="0" w:space="0" w:color="auto"/>
            <w:right w:val="none" w:sz="0" w:space="0" w:color="auto"/>
          </w:divBdr>
        </w:div>
        <w:div w:id="1006178029">
          <w:marLeft w:val="446"/>
          <w:marRight w:val="0"/>
          <w:marTop w:val="0"/>
          <w:marBottom w:val="0"/>
          <w:divBdr>
            <w:top w:val="none" w:sz="0" w:space="0" w:color="auto"/>
            <w:left w:val="none" w:sz="0" w:space="0" w:color="auto"/>
            <w:bottom w:val="none" w:sz="0" w:space="0" w:color="auto"/>
            <w:right w:val="none" w:sz="0" w:space="0" w:color="auto"/>
          </w:divBdr>
        </w:div>
        <w:div w:id="1300189694">
          <w:marLeft w:val="446"/>
          <w:marRight w:val="0"/>
          <w:marTop w:val="0"/>
          <w:marBottom w:val="0"/>
          <w:divBdr>
            <w:top w:val="none" w:sz="0" w:space="0" w:color="auto"/>
            <w:left w:val="none" w:sz="0" w:space="0" w:color="auto"/>
            <w:bottom w:val="none" w:sz="0" w:space="0" w:color="auto"/>
            <w:right w:val="none" w:sz="0" w:space="0" w:color="auto"/>
          </w:divBdr>
        </w:div>
        <w:div w:id="1337728289">
          <w:marLeft w:val="446"/>
          <w:marRight w:val="0"/>
          <w:marTop w:val="0"/>
          <w:marBottom w:val="0"/>
          <w:divBdr>
            <w:top w:val="none" w:sz="0" w:space="0" w:color="auto"/>
            <w:left w:val="none" w:sz="0" w:space="0" w:color="auto"/>
            <w:bottom w:val="none" w:sz="0" w:space="0" w:color="auto"/>
            <w:right w:val="none" w:sz="0" w:space="0" w:color="auto"/>
          </w:divBdr>
        </w:div>
        <w:div w:id="1813790717">
          <w:marLeft w:val="446"/>
          <w:marRight w:val="0"/>
          <w:marTop w:val="0"/>
          <w:marBottom w:val="0"/>
          <w:divBdr>
            <w:top w:val="none" w:sz="0" w:space="0" w:color="auto"/>
            <w:left w:val="none" w:sz="0" w:space="0" w:color="auto"/>
            <w:bottom w:val="none" w:sz="0" w:space="0" w:color="auto"/>
            <w:right w:val="none" w:sz="0" w:space="0" w:color="auto"/>
          </w:divBdr>
        </w:div>
        <w:div w:id="2087025119">
          <w:marLeft w:val="446"/>
          <w:marRight w:val="0"/>
          <w:marTop w:val="0"/>
          <w:marBottom w:val="0"/>
          <w:divBdr>
            <w:top w:val="none" w:sz="0" w:space="0" w:color="auto"/>
            <w:left w:val="none" w:sz="0" w:space="0" w:color="auto"/>
            <w:bottom w:val="none" w:sz="0" w:space="0" w:color="auto"/>
            <w:right w:val="none" w:sz="0" w:space="0" w:color="auto"/>
          </w:divBdr>
        </w:div>
      </w:divsChild>
    </w:div>
    <w:div w:id="971593689">
      <w:bodyDiv w:val="1"/>
      <w:marLeft w:val="0"/>
      <w:marRight w:val="0"/>
      <w:marTop w:val="0"/>
      <w:marBottom w:val="0"/>
      <w:divBdr>
        <w:top w:val="none" w:sz="0" w:space="0" w:color="auto"/>
        <w:left w:val="none" w:sz="0" w:space="0" w:color="auto"/>
        <w:bottom w:val="none" w:sz="0" w:space="0" w:color="auto"/>
        <w:right w:val="none" w:sz="0" w:space="0" w:color="auto"/>
      </w:divBdr>
    </w:div>
    <w:div w:id="977299376">
      <w:bodyDiv w:val="1"/>
      <w:marLeft w:val="0"/>
      <w:marRight w:val="0"/>
      <w:marTop w:val="0"/>
      <w:marBottom w:val="0"/>
      <w:divBdr>
        <w:top w:val="none" w:sz="0" w:space="0" w:color="auto"/>
        <w:left w:val="none" w:sz="0" w:space="0" w:color="auto"/>
        <w:bottom w:val="none" w:sz="0" w:space="0" w:color="auto"/>
        <w:right w:val="none" w:sz="0" w:space="0" w:color="auto"/>
      </w:divBdr>
    </w:div>
    <w:div w:id="1006710268">
      <w:bodyDiv w:val="1"/>
      <w:marLeft w:val="0"/>
      <w:marRight w:val="0"/>
      <w:marTop w:val="0"/>
      <w:marBottom w:val="0"/>
      <w:divBdr>
        <w:top w:val="none" w:sz="0" w:space="0" w:color="auto"/>
        <w:left w:val="none" w:sz="0" w:space="0" w:color="auto"/>
        <w:bottom w:val="none" w:sz="0" w:space="0" w:color="auto"/>
        <w:right w:val="none" w:sz="0" w:space="0" w:color="auto"/>
      </w:divBdr>
    </w:div>
    <w:div w:id="1015957699">
      <w:bodyDiv w:val="1"/>
      <w:marLeft w:val="0"/>
      <w:marRight w:val="0"/>
      <w:marTop w:val="0"/>
      <w:marBottom w:val="0"/>
      <w:divBdr>
        <w:top w:val="none" w:sz="0" w:space="0" w:color="auto"/>
        <w:left w:val="none" w:sz="0" w:space="0" w:color="auto"/>
        <w:bottom w:val="none" w:sz="0" w:space="0" w:color="auto"/>
        <w:right w:val="none" w:sz="0" w:space="0" w:color="auto"/>
      </w:divBdr>
    </w:div>
    <w:div w:id="1020546927">
      <w:bodyDiv w:val="1"/>
      <w:marLeft w:val="0"/>
      <w:marRight w:val="0"/>
      <w:marTop w:val="0"/>
      <w:marBottom w:val="0"/>
      <w:divBdr>
        <w:top w:val="none" w:sz="0" w:space="0" w:color="auto"/>
        <w:left w:val="none" w:sz="0" w:space="0" w:color="auto"/>
        <w:bottom w:val="none" w:sz="0" w:space="0" w:color="auto"/>
        <w:right w:val="none" w:sz="0" w:space="0" w:color="auto"/>
      </w:divBdr>
      <w:divsChild>
        <w:div w:id="2049792">
          <w:marLeft w:val="547"/>
          <w:marRight w:val="0"/>
          <w:marTop w:val="240"/>
          <w:marBottom w:val="0"/>
          <w:divBdr>
            <w:top w:val="none" w:sz="0" w:space="0" w:color="auto"/>
            <w:left w:val="none" w:sz="0" w:space="0" w:color="auto"/>
            <w:bottom w:val="none" w:sz="0" w:space="0" w:color="auto"/>
            <w:right w:val="none" w:sz="0" w:space="0" w:color="auto"/>
          </w:divBdr>
        </w:div>
        <w:div w:id="314070074">
          <w:marLeft w:val="907"/>
          <w:marRight w:val="0"/>
          <w:marTop w:val="240"/>
          <w:marBottom w:val="0"/>
          <w:divBdr>
            <w:top w:val="none" w:sz="0" w:space="0" w:color="auto"/>
            <w:left w:val="none" w:sz="0" w:space="0" w:color="auto"/>
            <w:bottom w:val="none" w:sz="0" w:space="0" w:color="auto"/>
            <w:right w:val="none" w:sz="0" w:space="0" w:color="auto"/>
          </w:divBdr>
        </w:div>
        <w:div w:id="662514576">
          <w:marLeft w:val="907"/>
          <w:marRight w:val="0"/>
          <w:marTop w:val="240"/>
          <w:marBottom w:val="0"/>
          <w:divBdr>
            <w:top w:val="none" w:sz="0" w:space="0" w:color="auto"/>
            <w:left w:val="none" w:sz="0" w:space="0" w:color="auto"/>
            <w:bottom w:val="none" w:sz="0" w:space="0" w:color="auto"/>
            <w:right w:val="none" w:sz="0" w:space="0" w:color="auto"/>
          </w:divBdr>
        </w:div>
        <w:div w:id="1137529239">
          <w:marLeft w:val="907"/>
          <w:marRight w:val="0"/>
          <w:marTop w:val="240"/>
          <w:marBottom w:val="0"/>
          <w:divBdr>
            <w:top w:val="none" w:sz="0" w:space="0" w:color="auto"/>
            <w:left w:val="none" w:sz="0" w:space="0" w:color="auto"/>
            <w:bottom w:val="none" w:sz="0" w:space="0" w:color="auto"/>
            <w:right w:val="none" w:sz="0" w:space="0" w:color="auto"/>
          </w:divBdr>
        </w:div>
        <w:div w:id="1153179683">
          <w:marLeft w:val="547"/>
          <w:marRight w:val="0"/>
          <w:marTop w:val="240"/>
          <w:marBottom w:val="0"/>
          <w:divBdr>
            <w:top w:val="none" w:sz="0" w:space="0" w:color="auto"/>
            <w:left w:val="none" w:sz="0" w:space="0" w:color="auto"/>
            <w:bottom w:val="none" w:sz="0" w:space="0" w:color="auto"/>
            <w:right w:val="none" w:sz="0" w:space="0" w:color="auto"/>
          </w:divBdr>
        </w:div>
        <w:div w:id="1170294621">
          <w:marLeft w:val="907"/>
          <w:marRight w:val="0"/>
          <w:marTop w:val="240"/>
          <w:marBottom w:val="0"/>
          <w:divBdr>
            <w:top w:val="none" w:sz="0" w:space="0" w:color="auto"/>
            <w:left w:val="none" w:sz="0" w:space="0" w:color="auto"/>
            <w:bottom w:val="none" w:sz="0" w:space="0" w:color="auto"/>
            <w:right w:val="none" w:sz="0" w:space="0" w:color="auto"/>
          </w:divBdr>
        </w:div>
        <w:div w:id="1468863594">
          <w:marLeft w:val="907"/>
          <w:marRight w:val="0"/>
          <w:marTop w:val="240"/>
          <w:marBottom w:val="0"/>
          <w:divBdr>
            <w:top w:val="none" w:sz="0" w:space="0" w:color="auto"/>
            <w:left w:val="none" w:sz="0" w:space="0" w:color="auto"/>
            <w:bottom w:val="none" w:sz="0" w:space="0" w:color="auto"/>
            <w:right w:val="none" w:sz="0" w:space="0" w:color="auto"/>
          </w:divBdr>
        </w:div>
        <w:div w:id="1581793546">
          <w:marLeft w:val="907"/>
          <w:marRight w:val="0"/>
          <w:marTop w:val="240"/>
          <w:marBottom w:val="0"/>
          <w:divBdr>
            <w:top w:val="none" w:sz="0" w:space="0" w:color="auto"/>
            <w:left w:val="none" w:sz="0" w:space="0" w:color="auto"/>
            <w:bottom w:val="none" w:sz="0" w:space="0" w:color="auto"/>
            <w:right w:val="none" w:sz="0" w:space="0" w:color="auto"/>
          </w:divBdr>
        </w:div>
        <w:div w:id="1617758765">
          <w:marLeft w:val="547"/>
          <w:marRight w:val="0"/>
          <w:marTop w:val="240"/>
          <w:marBottom w:val="0"/>
          <w:divBdr>
            <w:top w:val="none" w:sz="0" w:space="0" w:color="auto"/>
            <w:left w:val="none" w:sz="0" w:space="0" w:color="auto"/>
            <w:bottom w:val="none" w:sz="0" w:space="0" w:color="auto"/>
            <w:right w:val="none" w:sz="0" w:space="0" w:color="auto"/>
          </w:divBdr>
        </w:div>
        <w:div w:id="1820419648">
          <w:marLeft w:val="547"/>
          <w:marRight w:val="0"/>
          <w:marTop w:val="240"/>
          <w:marBottom w:val="0"/>
          <w:divBdr>
            <w:top w:val="none" w:sz="0" w:space="0" w:color="auto"/>
            <w:left w:val="none" w:sz="0" w:space="0" w:color="auto"/>
            <w:bottom w:val="none" w:sz="0" w:space="0" w:color="auto"/>
            <w:right w:val="none" w:sz="0" w:space="0" w:color="auto"/>
          </w:divBdr>
        </w:div>
      </w:divsChild>
    </w:div>
    <w:div w:id="1029989584">
      <w:bodyDiv w:val="1"/>
      <w:marLeft w:val="0"/>
      <w:marRight w:val="0"/>
      <w:marTop w:val="0"/>
      <w:marBottom w:val="0"/>
      <w:divBdr>
        <w:top w:val="none" w:sz="0" w:space="0" w:color="auto"/>
        <w:left w:val="none" w:sz="0" w:space="0" w:color="auto"/>
        <w:bottom w:val="none" w:sz="0" w:space="0" w:color="auto"/>
        <w:right w:val="none" w:sz="0" w:space="0" w:color="auto"/>
      </w:divBdr>
    </w:div>
    <w:div w:id="1056125496">
      <w:bodyDiv w:val="1"/>
      <w:marLeft w:val="0"/>
      <w:marRight w:val="0"/>
      <w:marTop w:val="0"/>
      <w:marBottom w:val="0"/>
      <w:divBdr>
        <w:top w:val="none" w:sz="0" w:space="0" w:color="auto"/>
        <w:left w:val="none" w:sz="0" w:space="0" w:color="auto"/>
        <w:bottom w:val="none" w:sz="0" w:space="0" w:color="auto"/>
        <w:right w:val="none" w:sz="0" w:space="0" w:color="auto"/>
      </w:divBdr>
    </w:div>
    <w:div w:id="1079792036">
      <w:bodyDiv w:val="1"/>
      <w:marLeft w:val="0"/>
      <w:marRight w:val="0"/>
      <w:marTop w:val="0"/>
      <w:marBottom w:val="0"/>
      <w:divBdr>
        <w:top w:val="none" w:sz="0" w:space="0" w:color="auto"/>
        <w:left w:val="none" w:sz="0" w:space="0" w:color="auto"/>
        <w:bottom w:val="none" w:sz="0" w:space="0" w:color="auto"/>
        <w:right w:val="none" w:sz="0" w:space="0" w:color="auto"/>
      </w:divBdr>
    </w:div>
    <w:div w:id="1111240501">
      <w:bodyDiv w:val="1"/>
      <w:marLeft w:val="0"/>
      <w:marRight w:val="0"/>
      <w:marTop w:val="0"/>
      <w:marBottom w:val="0"/>
      <w:divBdr>
        <w:top w:val="none" w:sz="0" w:space="0" w:color="auto"/>
        <w:left w:val="none" w:sz="0" w:space="0" w:color="auto"/>
        <w:bottom w:val="none" w:sz="0" w:space="0" w:color="auto"/>
        <w:right w:val="none" w:sz="0" w:space="0" w:color="auto"/>
      </w:divBdr>
    </w:div>
    <w:div w:id="1132796470">
      <w:bodyDiv w:val="1"/>
      <w:marLeft w:val="0"/>
      <w:marRight w:val="0"/>
      <w:marTop w:val="0"/>
      <w:marBottom w:val="0"/>
      <w:divBdr>
        <w:top w:val="none" w:sz="0" w:space="0" w:color="auto"/>
        <w:left w:val="none" w:sz="0" w:space="0" w:color="auto"/>
        <w:bottom w:val="none" w:sz="0" w:space="0" w:color="auto"/>
        <w:right w:val="none" w:sz="0" w:space="0" w:color="auto"/>
      </w:divBdr>
      <w:divsChild>
        <w:div w:id="1044065301">
          <w:marLeft w:val="446"/>
          <w:marRight w:val="0"/>
          <w:marTop w:val="120"/>
          <w:marBottom w:val="0"/>
          <w:divBdr>
            <w:top w:val="none" w:sz="0" w:space="0" w:color="auto"/>
            <w:left w:val="none" w:sz="0" w:space="0" w:color="auto"/>
            <w:bottom w:val="none" w:sz="0" w:space="0" w:color="auto"/>
            <w:right w:val="none" w:sz="0" w:space="0" w:color="auto"/>
          </w:divBdr>
        </w:div>
      </w:divsChild>
    </w:div>
    <w:div w:id="1143692863">
      <w:bodyDiv w:val="1"/>
      <w:marLeft w:val="0"/>
      <w:marRight w:val="0"/>
      <w:marTop w:val="0"/>
      <w:marBottom w:val="0"/>
      <w:divBdr>
        <w:top w:val="none" w:sz="0" w:space="0" w:color="auto"/>
        <w:left w:val="none" w:sz="0" w:space="0" w:color="auto"/>
        <w:bottom w:val="none" w:sz="0" w:space="0" w:color="auto"/>
        <w:right w:val="none" w:sz="0" w:space="0" w:color="auto"/>
      </w:divBdr>
      <w:divsChild>
        <w:div w:id="25643273">
          <w:marLeft w:val="547"/>
          <w:marRight w:val="0"/>
          <w:marTop w:val="120"/>
          <w:marBottom w:val="0"/>
          <w:divBdr>
            <w:top w:val="none" w:sz="0" w:space="0" w:color="auto"/>
            <w:left w:val="none" w:sz="0" w:space="0" w:color="auto"/>
            <w:bottom w:val="none" w:sz="0" w:space="0" w:color="auto"/>
            <w:right w:val="none" w:sz="0" w:space="0" w:color="auto"/>
          </w:divBdr>
        </w:div>
        <w:div w:id="718362901">
          <w:marLeft w:val="547"/>
          <w:marRight w:val="0"/>
          <w:marTop w:val="120"/>
          <w:marBottom w:val="0"/>
          <w:divBdr>
            <w:top w:val="none" w:sz="0" w:space="0" w:color="auto"/>
            <w:left w:val="none" w:sz="0" w:space="0" w:color="auto"/>
            <w:bottom w:val="none" w:sz="0" w:space="0" w:color="auto"/>
            <w:right w:val="none" w:sz="0" w:space="0" w:color="auto"/>
          </w:divBdr>
        </w:div>
        <w:div w:id="945119978">
          <w:marLeft w:val="144"/>
          <w:marRight w:val="0"/>
          <w:marTop w:val="360"/>
          <w:marBottom w:val="0"/>
          <w:divBdr>
            <w:top w:val="none" w:sz="0" w:space="0" w:color="auto"/>
            <w:left w:val="none" w:sz="0" w:space="0" w:color="auto"/>
            <w:bottom w:val="none" w:sz="0" w:space="0" w:color="auto"/>
            <w:right w:val="none" w:sz="0" w:space="0" w:color="auto"/>
          </w:divBdr>
        </w:div>
        <w:div w:id="1084912098">
          <w:marLeft w:val="907"/>
          <w:marRight w:val="0"/>
          <w:marTop w:val="120"/>
          <w:marBottom w:val="0"/>
          <w:divBdr>
            <w:top w:val="none" w:sz="0" w:space="0" w:color="auto"/>
            <w:left w:val="none" w:sz="0" w:space="0" w:color="auto"/>
            <w:bottom w:val="none" w:sz="0" w:space="0" w:color="auto"/>
            <w:right w:val="none" w:sz="0" w:space="0" w:color="auto"/>
          </w:divBdr>
        </w:div>
        <w:div w:id="1316497004">
          <w:marLeft w:val="907"/>
          <w:marRight w:val="0"/>
          <w:marTop w:val="120"/>
          <w:marBottom w:val="0"/>
          <w:divBdr>
            <w:top w:val="none" w:sz="0" w:space="0" w:color="auto"/>
            <w:left w:val="none" w:sz="0" w:space="0" w:color="auto"/>
            <w:bottom w:val="none" w:sz="0" w:space="0" w:color="auto"/>
            <w:right w:val="none" w:sz="0" w:space="0" w:color="auto"/>
          </w:divBdr>
        </w:div>
        <w:div w:id="1552577632">
          <w:marLeft w:val="547"/>
          <w:marRight w:val="0"/>
          <w:marTop w:val="120"/>
          <w:marBottom w:val="0"/>
          <w:divBdr>
            <w:top w:val="none" w:sz="0" w:space="0" w:color="auto"/>
            <w:left w:val="none" w:sz="0" w:space="0" w:color="auto"/>
            <w:bottom w:val="none" w:sz="0" w:space="0" w:color="auto"/>
            <w:right w:val="none" w:sz="0" w:space="0" w:color="auto"/>
          </w:divBdr>
        </w:div>
        <w:div w:id="1566376855">
          <w:marLeft w:val="907"/>
          <w:marRight w:val="0"/>
          <w:marTop w:val="120"/>
          <w:marBottom w:val="0"/>
          <w:divBdr>
            <w:top w:val="none" w:sz="0" w:space="0" w:color="auto"/>
            <w:left w:val="none" w:sz="0" w:space="0" w:color="auto"/>
            <w:bottom w:val="none" w:sz="0" w:space="0" w:color="auto"/>
            <w:right w:val="none" w:sz="0" w:space="0" w:color="auto"/>
          </w:divBdr>
        </w:div>
        <w:div w:id="1673946669">
          <w:marLeft w:val="547"/>
          <w:marRight w:val="0"/>
          <w:marTop w:val="120"/>
          <w:marBottom w:val="0"/>
          <w:divBdr>
            <w:top w:val="none" w:sz="0" w:space="0" w:color="auto"/>
            <w:left w:val="none" w:sz="0" w:space="0" w:color="auto"/>
            <w:bottom w:val="none" w:sz="0" w:space="0" w:color="auto"/>
            <w:right w:val="none" w:sz="0" w:space="0" w:color="auto"/>
          </w:divBdr>
        </w:div>
        <w:div w:id="1823034553">
          <w:marLeft w:val="144"/>
          <w:marRight w:val="0"/>
          <w:marTop w:val="120"/>
          <w:marBottom w:val="0"/>
          <w:divBdr>
            <w:top w:val="none" w:sz="0" w:space="0" w:color="auto"/>
            <w:left w:val="none" w:sz="0" w:space="0" w:color="auto"/>
            <w:bottom w:val="none" w:sz="0" w:space="0" w:color="auto"/>
            <w:right w:val="none" w:sz="0" w:space="0" w:color="auto"/>
          </w:divBdr>
        </w:div>
      </w:divsChild>
    </w:div>
    <w:div w:id="1149983804">
      <w:bodyDiv w:val="1"/>
      <w:marLeft w:val="0"/>
      <w:marRight w:val="0"/>
      <w:marTop w:val="0"/>
      <w:marBottom w:val="0"/>
      <w:divBdr>
        <w:top w:val="none" w:sz="0" w:space="0" w:color="auto"/>
        <w:left w:val="none" w:sz="0" w:space="0" w:color="auto"/>
        <w:bottom w:val="none" w:sz="0" w:space="0" w:color="auto"/>
        <w:right w:val="none" w:sz="0" w:space="0" w:color="auto"/>
      </w:divBdr>
    </w:div>
    <w:div w:id="1164786588">
      <w:bodyDiv w:val="1"/>
      <w:marLeft w:val="0"/>
      <w:marRight w:val="0"/>
      <w:marTop w:val="0"/>
      <w:marBottom w:val="0"/>
      <w:divBdr>
        <w:top w:val="none" w:sz="0" w:space="0" w:color="auto"/>
        <w:left w:val="none" w:sz="0" w:space="0" w:color="auto"/>
        <w:bottom w:val="none" w:sz="0" w:space="0" w:color="auto"/>
        <w:right w:val="none" w:sz="0" w:space="0" w:color="auto"/>
      </w:divBdr>
      <w:divsChild>
        <w:div w:id="65343098">
          <w:marLeft w:val="907"/>
          <w:marRight w:val="0"/>
          <w:marTop w:val="0"/>
          <w:marBottom w:val="240"/>
          <w:divBdr>
            <w:top w:val="none" w:sz="0" w:space="0" w:color="auto"/>
            <w:left w:val="none" w:sz="0" w:space="0" w:color="auto"/>
            <w:bottom w:val="none" w:sz="0" w:space="0" w:color="auto"/>
            <w:right w:val="none" w:sz="0" w:space="0" w:color="auto"/>
          </w:divBdr>
        </w:div>
        <w:div w:id="1025521773">
          <w:marLeft w:val="547"/>
          <w:marRight w:val="0"/>
          <w:marTop w:val="0"/>
          <w:marBottom w:val="240"/>
          <w:divBdr>
            <w:top w:val="none" w:sz="0" w:space="0" w:color="auto"/>
            <w:left w:val="none" w:sz="0" w:space="0" w:color="auto"/>
            <w:bottom w:val="none" w:sz="0" w:space="0" w:color="auto"/>
            <w:right w:val="none" w:sz="0" w:space="0" w:color="auto"/>
          </w:divBdr>
        </w:div>
        <w:div w:id="1118914764">
          <w:marLeft w:val="547"/>
          <w:marRight w:val="0"/>
          <w:marTop w:val="0"/>
          <w:marBottom w:val="240"/>
          <w:divBdr>
            <w:top w:val="none" w:sz="0" w:space="0" w:color="auto"/>
            <w:left w:val="none" w:sz="0" w:space="0" w:color="auto"/>
            <w:bottom w:val="none" w:sz="0" w:space="0" w:color="auto"/>
            <w:right w:val="none" w:sz="0" w:space="0" w:color="auto"/>
          </w:divBdr>
        </w:div>
        <w:div w:id="1840803792">
          <w:marLeft w:val="907"/>
          <w:marRight w:val="0"/>
          <w:marTop w:val="0"/>
          <w:marBottom w:val="240"/>
          <w:divBdr>
            <w:top w:val="none" w:sz="0" w:space="0" w:color="auto"/>
            <w:left w:val="none" w:sz="0" w:space="0" w:color="auto"/>
            <w:bottom w:val="none" w:sz="0" w:space="0" w:color="auto"/>
            <w:right w:val="none" w:sz="0" w:space="0" w:color="auto"/>
          </w:divBdr>
        </w:div>
        <w:div w:id="1975940535">
          <w:marLeft w:val="907"/>
          <w:marRight w:val="0"/>
          <w:marTop w:val="0"/>
          <w:marBottom w:val="240"/>
          <w:divBdr>
            <w:top w:val="none" w:sz="0" w:space="0" w:color="auto"/>
            <w:left w:val="none" w:sz="0" w:space="0" w:color="auto"/>
            <w:bottom w:val="none" w:sz="0" w:space="0" w:color="auto"/>
            <w:right w:val="none" w:sz="0" w:space="0" w:color="auto"/>
          </w:divBdr>
        </w:div>
      </w:divsChild>
    </w:div>
    <w:div w:id="1166745366">
      <w:bodyDiv w:val="1"/>
      <w:marLeft w:val="0"/>
      <w:marRight w:val="0"/>
      <w:marTop w:val="0"/>
      <w:marBottom w:val="0"/>
      <w:divBdr>
        <w:top w:val="none" w:sz="0" w:space="0" w:color="auto"/>
        <w:left w:val="none" w:sz="0" w:space="0" w:color="auto"/>
        <w:bottom w:val="none" w:sz="0" w:space="0" w:color="auto"/>
        <w:right w:val="none" w:sz="0" w:space="0" w:color="auto"/>
      </w:divBdr>
      <w:divsChild>
        <w:div w:id="145905522">
          <w:marLeft w:val="547"/>
          <w:marRight w:val="0"/>
          <w:marTop w:val="120"/>
          <w:marBottom w:val="0"/>
          <w:divBdr>
            <w:top w:val="none" w:sz="0" w:space="0" w:color="auto"/>
            <w:left w:val="none" w:sz="0" w:space="0" w:color="auto"/>
            <w:bottom w:val="none" w:sz="0" w:space="0" w:color="auto"/>
            <w:right w:val="none" w:sz="0" w:space="0" w:color="auto"/>
          </w:divBdr>
        </w:div>
        <w:div w:id="863862701">
          <w:marLeft w:val="547"/>
          <w:marRight w:val="0"/>
          <w:marTop w:val="120"/>
          <w:marBottom w:val="0"/>
          <w:divBdr>
            <w:top w:val="none" w:sz="0" w:space="0" w:color="auto"/>
            <w:left w:val="none" w:sz="0" w:space="0" w:color="auto"/>
            <w:bottom w:val="none" w:sz="0" w:space="0" w:color="auto"/>
            <w:right w:val="none" w:sz="0" w:space="0" w:color="auto"/>
          </w:divBdr>
        </w:div>
      </w:divsChild>
    </w:div>
    <w:div w:id="1211764000">
      <w:bodyDiv w:val="1"/>
      <w:marLeft w:val="0"/>
      <w:marRight w:val="0"/>
      <w:marTop w:val="0"/>
      <w:marBottom w:val="0"/>
      <w:divBdr>
        <w:top w:val="none" w:sz="0" w:space="0" w:color="auto"/>
        <w:left w:val="none" w:sz="0" w:space="0" w:color="auto"/>
        <w:bottom w:val="none" w:sz="0" w:space="0" w:color="auto"/>
        <w:right w:val="none" w:sz="0" w:space="0" w:color="auto"/>
      </w:divBdr>
    </w:div>
    <w:div w:id="1237010598">
      <w:bodyDiv w:val="1"/>
      <w:marLeft w:val="0"/>
      <w:marRight w:val="0"/>
      <w:marTop w:val="0"/>
      <w:marBottom w:val="0"/>
      <w:divBdr>
        <w:top w:val="none" w:sz="0" w:space="0" w:color="auto"/>
        <w:left w:val="none" w:sz="0" w:space="0" w:color="auto"/>
        <w:bottom w:val="none" w:sz="0" w:space="0" w:color="auto"/>
        <w:right w:val="none" w:sz="0" w:space="0" w:color="auto"/>
      </w:divBdr>
    </w:div>
    <w:div w:id="1249999223">
      <w:bodyDiv w:val="1"/>
      <w:marLeft w:val="0"/>
      <w:marRight w:val="0"/>
      <w:marTop w:val="0"/>
      <w:marBottom w:val="0"/>
      <w:divBdr>
        <w:top w:val="none" w:sz="0" w:space="0" w:color="auto"/>
        <w:left w:val="none" w:sz="0" w:space="0" w:color="auto"/>
        <w:bottom w:val="none" w:sz="0" w:space="0" w:color="auto"/>
        <w:right w:val="none" w:sz="0" w:space="0" w:color="auto"/>
      </w:divBdr>
    </w:div>
    <w:div w:id="1253466409">
      <w:bodyDiv w:val="1"/>
      <w:marLeft w:val="0"/>
      <w:marRight w:val="0"/>
      <w:marTop w:val="0"/>
      <w:marBottom w:val="0"/>
      <w:divBdr>
        <w:top w:val="none" w:sz="0" w:space="0" w:color="auto"/>
        <w:left w:val="none" w:sz="0" w:space="0" w:color="auto"/>
        <w:bottom w:val="none" w:sz="0" w:space="0" w:color="auto"/>
        <w:right w:val="none" w:sz="0" w:space="0" w:color="auto"/>
      </w:divBdr>
    </w:div>
    <w:div w:id="1257717149">
      <w:bodyDiv w:val="1"/>
      <w:marLeft w:val="0"/>
      <w:marRight w:val="0"/>
      <w:marTop w:val="0"/>
      <w:marBottom w:val="0"/>
      <w:divBdr>
        <w:top w:val="none" w:sz="0" w:space="0" w:color="auto"/>
        <w:left w:val="none" w:sz="0" w:space="0" w:color="auto"/>
        <w:bottom w:val="none" w:sz="0" w:space="0" w:color="auto"/>
        <w:right w:val="none" w:sz="0" w:space="0" w:color="auto"/>
      </w:divBdr>
      <w:divsChild>
        <w:div w:id="500969180">
          <w:marLeft w:val="547"/>
          <w:marRight w:val="0"/>
          <w:marTop w:val="120"/>
          <w:marBottom w:val="0"/>
          <w:divBdr>
            <w:top w:val="none" w:sz="0" w:space="0" w:color="auto"/>
            <w:left w:val="none" w:sz="0" w:space="0" w:color="auto"/>
            <w:bottom w:val="none" w:sz="0" w:space="0" w:color="auto"/>
            <w:right w:val="none" w:sz="0" w:space="0" w:color="auto"/>
          </w:divBdr>
        </w:div>
        <w:div w:id="832526964">
          <w:marLeft w:val="547"/>
          <w:marRight w:val="0"/>
          <w:marTop w:val="120"/>
          <w:marBottom w:val="0"/>
          <w:divBdr>
            <w:top w:val="none" w:sz="0" w:space="0" w:color="auto"/>
            <w:left w:val="none" w:sz="0" w:space="0" w:color="auto"/>
            <w:bottom w:val="none" w:sz="0" w:space="0" w:color="auto"/>
            <w:right w:val="none" w:sz="0" w:space="0" w:color="auto"/>
          </w:divBdr>
        </w:div>
        <w:div w:id="1603607912">
          <w:marLeft w:val="547"/>
          <w:marRight w:val="0"/>
          <w:marTop w:val="120"/>
          <w:marBottom w:val="0"/>
          <w:divBdr>
            <w:top w:val="none" w:sz="0" w:space="0" w:color="auto"/>
            <w:left w:val="none" w:sz="0" w:space="0" w:color="auto"/>
            <w:bottom w:val="none" w:sz="0" w:space="0" w:color="auto"/>
            <w:right w:val="none" w:sz="0" w:space="0" w:color="auto"/>
          </w:divBdr>
        </w:div>
        <w:div w:id="2109420201">
          <w:marLeft w:val="144"/>
          <w:marRight w:val="0"/>
          <w:marTop w:val="120"/>
          <w:marBottom w:val="0"/>
          <w:divBdr>
            <w:top w:val="none" w:sz="0" w:space="0" w:color="auto"/>
            <w:left w:val="none" w:sz="0" w:space="0" w:color="auto"/>
            <w:bottom w:val="none" w:sz="0" w:space="0" w:color="auto"/>
            <w:right w:val="none" w:sz="0" w:space="0" w:color="auto"/>
          </w:divBdr>
        </w:div>
      </w:divsChild>
    </w:div>
    <w:div w:id="1263731031">
      <w:bodyDiv w:val="1"/>
      <w:marLeft w:val="0"/>
      <w:marRight w:val="0"/>
      <w:marTop w:val="0"/>
      <w:marBottom w:val="0"/>
      <w:divBdr>
        <w:top w:val="none" w:sz="0" w:space="0" w:color="auto"/>
        <w:left w:val="none" w:sz="0" w:space="0" w:color="auto"/>
        <w:bottom w:val="none" w:sz="0" w:space="0" w:color="auto"/>
        <w:right w:val="none" w:sz="0" w:space="0" w:color="auto"/>
      </w:divBdr>
      <w:divsChild>
        <w:div w:id="1834755607">
          <w:marLeft w:val="547"/>
          <w:marRight w:val="0"/>
          <w:marTop w:val="0"/>
          <w:marBottom w:val="240"/>
          <w:divBdr>
            <w:top w:val="none" w:sz="0" w:space="0" w:color="auto"/>
            <w:left w:val="none" w:sz="0" w:space="0" w:color="auto"/>
            <w:bottom w:val="none" w:sz="0" w:space="0" w:color="auto"/>
            <w:right w:val="none" w:sz="0" w:space="0" w:color="auto"/>
          </w:divBdr>
        </w:div>
        <w:div w:id="1908610840">
          <w:marLeft w:val="547"/>
          <w:marRight w:val="0"/>
          <w:marTop w:val="0"/>
          <w:marBottom w:val="240"/>
          <w:divBdr>
            <w:top w:val="none" w:sz="0" w:space="0" w:color="auto"/>
            <w:left w:val="none" w:sz="0" w:space="0" w:color="auto"/>
            <w:bottom w:val="none" w:sz="0" w:space="0" w:color="auto"/>
            <w:right w:val="none" w:sz="0" w:space="0" w:color="auto"/>
          </w:divBdr>
        </w:div>
        <w:div w:id="2008366376">
          <w:marLeft w:val="547"/>
          <w:marRight w:val="0"/>
          <w:marTop w:val="0"/>
          <w:marBottom w:val="240"/>
          <w:divBdr>
            <w:top w:val="none" w:sz="0" w:space="0" w:color="auto"/>
            <w:left w:val="none" w:sz="0" w:space="0" w:color="auto"/>
            <w:bottom w:val="none" w:sz="0" w:space="0" w:color="auto"/>
            <w:right w:val="none" w:sz="0" w:space="0" w:color="auto"/>
          </w:divBdr>
        </w:div>
      </w:divsChild>
    </w:div>
    <w:div w:id="1264193829">
      <w:bodyDiv w:val="1"/>
      <w:marLeft w:val="0"/>
      <w:marRight w:val="0"/>
      <w:marTop w:val="0"/>
      <w:marBottom w:val="0"/>
      <w:divBdr>
        <w:top w:val="none" w:sz="0" w:space="0" w:color="auto"/>
        <w:left w:val="none" w:sz="0" w:space="0" w:color="auto"/>
        <w:bottom w:val="none" w:sz="0" w:space="0" w:color="auto"/>
        <w:right w:val="none" w:sz="0" w:space="0" w:color="auto"/>
      </w:divBdr>
    </w:div>
    <w:div w:id="1286815711">
      <w:bodyDiv w:val="1"/>
      <w:marLeft w:val="0"/>
      <w:marRight w:val="0"/>
      <w:marTop w:val="0"/>
      <w:marBottom w:val="0"/>
      <w:divBdr>
        <w:top w:val="none" w:sz="0" w:space="0" w:color="auto"/>
        <w:left w:val="none" w:sz="0" w:space="0" w:color="auto"/>
        <w:bottom w:val="none" w:sz="0" w:space="0" w:color="auto"/>
        <w:right w:val="none" w:sz="0" w:space="0" w:color="auto"/>
      </w:divBdr>
    </w:div>
    <w:div w:id="1287080171">
      <w:bodyDiv w:val="1"/>
      <w:marLeft w:val="0"/>
      <w:marRight w:val="0"/>
      <w:marTop w:val="0"/>
      <w:marBottom w:val="0"/>
      <w:divBdr>
        <w:top w:val="none" w:sz="0" w:space="0" w:color="auto"/>
        <w:left w:val="none" w:sz="0" w:space="0" w:color="auto"/>
        <w:bottom w:val="none" w:sz="0" w:space="0" w:color="auto"/>
        <w:right w:val="none" w:sz="0" w:space="0" w:color="auto"/>
      </w:divBdr>
    </w:div>
    <w:div w:id="1292589870">
      <w:bodyDiv w:val="1"/>
      <w:marLeft w:val="0"/>
      <w:marRight w:val="0"/>
      <w:marTop w:val="0"/>
      <w:marBottom w:val="0"/>
      <w:divBdr>
        <w:top w:val="none" w:sz="0" w:space="0" w:color="auto"/>
        <w:left w:val="none" w:sz="0" w:space="0" w:color="auto"/>
        <w:bottom w:val="none" w:sz="0" w:space="0" w:color="auto"/>
        <w:right w:val="none" w:sz="0" w:space="0" w:color="auto"/>
      </w:divBdr>
    </w:div>
    <w:div w:id="1305038914">
      <w:bodyDiv w:val="1"/>
      <w:marLeft w:val="0"/>
      <w:marRight w:val="0"/>
      <w:marTop w:val="0"/>
      <w:marBottom w:val="0"/>
      <w:divBdr>
        <w:top w:val="none" w:sz="0" w:space="0" w:color="auto"/>
        <w:left w:val="none" w:sz="0" w:space="0" w:color="auto"/>
        <w:bottom w:val="none" w:sz="0" w:space="0" w:color="auto"/>
        <w:right w:val="none" w:sz="0" w:space="0" w:color="auto"/>
      </w:divBdr>
      <w:divsChild>
        <w:div w:id="335839146">
          <w:marLeft w:val="907"/>
          <w:marRight w:val="0"/>
          <w:marTop w:val="60"/>
          <w:marBottom w:val="0"/>
          <w:divBdr>
            <w:top w:val="none" w:sz="0" w:space="0" w:color="auto"/>
            <w:left w:val="none" w:sz="0" w:space="0" w:color="auto"/>
            <w:bottom w:val="none" w:sz="0" w:space="0" w:color="auto"/>
            <w:right w:val="none" w:sz="0" w:space="0" w:color="auto"/>
          </w:divBdr>
        </w:div>
        <w:div w:id="715659661">
          <w:marLeft w:val="907"/>
          <w:marRight w:val="0"/>
          <w:marTop w:val="60"/>
          <w:marBottom w:val="0"/>
          <w:divBdr>
            <w:top w:val="none" w:sz="0" w:space="0" w:color="auto"/>
            <w:left w:val="none" w:sz="0" w:space="0" w:color="auto"/>
            <w:bottom w:val="none" w:sz="0" w:space="0" w:color="auto"/>
            <w:right w:val="none" w:sz="0" w:space="0" w:color="auto"/>
          </w:divBdr>
        </w:div>
        <w:div w:id="973682033">
          <w:marLeft w:val="907"/>
          <w:marRight w:val="0"/>
          <w:marTop w:val="60"/>
          <w:marBottom w:val="0"/>
          <w:divBdr>
            <w:top w:val="none" w:sz="0" w:space="0" w:color="auto"/>
            <w:left w:val="none" w:sz="0" w:space="0" w:color="auto"/>
            <w:bottom w:val="none" w:sz="0" w:space="0" w:color="auto"/>
            <w:right w:val="none" w:sz="0" w:space="0" w:color="auto"/>
          </w:divBdr>
        </w:div>
        <w:div w:id="1017926420">
          <w:marLeft w:val="547"/>
          <w:marRight w:val="0"/>
          <w:marTop w:val="120"/>
          <w:marBottom w:val="0"/>
          <w:divBdr>
            <w:top w:val="none" w:sz="0" w:space="0" w:color="auto"/>
            <w:left w:val="none" w:sz="0" w:space="0" w:color="auto"/>
            <w:bottom w:val="none" w:sz="0" w:space="0" w:color="auto"/>
            <w:right w:val="none" w:sz="0" w:space="0" w:color="auto"/>
          </w:divBdr>
        </w:div>
        <w:div w:id="1183938613">
          <w:marLeft w:val="547"/>
          <w:marRight w:val="0"/>
          <w:marTop w:val="120"/>
          <w:marBottom w:val="0"/>
          <w:divBdr>
            <w:top w:val="none" w:sz="0" w:space="0" w:color="auto"/>
            <w:left w:val="none" w:sz="0" w:space="0" w:color="auto"/>
            <w:bottom w:val="none" w:sz="0" w:space="0" w:color="auto"/>
            <w:right w:val="none" w:sz="0" w:space="0" w:color="auto"/>
          </w:divBdr>
        </w:div>
        <w:div w:id="1607542410">
          <w:marLeft w:val="547"/>
          <w:marRight w:val="0"/>
          <w:marTop w:val="120"/>
          <w:marBottom w:val="0"/>
          <w:divBdr>
            <w:top w:val="none" w:sz="0" w:space="0" w:color="auto"/>
            <w:left w:val="none" w:sz="0" w:space="0" w:color="auto"/>
            <w:bottom w:val="none" w:sz="0" w:space="0" w:color="auto"/>
            <w:right w:val="none" w:sz="0" w:space="0" w:color="auto"/>
          </w:divBdr>
        </w:div>
      </w:divsChild>
    </w:div>
    <w:div w:id="1306278053">
      <w:bodyDiv w:val="1"/>
      <w:marLeft w:val="0"/>
      <w:marRight w:val="0"/>
      <w:marTop w:val="0"/>
      <w:marBottom w:val="0"/>
      <w:divBdr>
        <w:top w:val="none" w:sz="0" w:space="0" w:color="auto"/>
        <w:left w:val="none" w:sz="0" w:space="0" w:color="auto"/>
        <w:bottom w:val="none" w:sz="0" w:space="0" w:color="auto"/>
        <w:right w:val="none" w:sz="0" w:space="0" w:color="auto"/>
      </w:divBdr>
      <w:divsChild>
        <w:div w:id="633146203">
          <w:marLeft w:val="547"/>
          <w:marRight w:val="0"/>
          <w:marTop w:val="120"/>
          <w:marBottom w:val="0"/>
          <w:divBdr>
            <w:top w:val="none" w:sz="0" w:space="0" w:color="auto"/>
            <w:left w:val="none" w:sz="0" w:space="0" w:color="auto"/>
            <w:bottom w:val="none" w:sz="0" w:space="0" w:color="auto"/>
            <w:right w:val="none" w:sz="0" w:space="0" w:color="auto"/>
          </w:divBdr>
        </w:div>
        <w:div w:id="1544780727">
          <w:marLeft w:val="547"/>
          <w:marRight w:val="0"/>
          <w:marTop w:val="120"/>
          <w:marBottom w:val="0"/>
          <w:divBdr>
            <w:top w:val="none" w:sz="0" w:space="0" w:color="auto"/>
            <w:left w:val="none" w:sz="0" w:space="0" w:color="auto"/>
            <w:bottom w:val="none" w:sz="0" w:space="0" w:color="auto"/>
            <w:right w:val="none" w:sz="0" w:space="0" w:color="auto"/>
          </w:divBdr>
        </w:div>
      </w:divsChild>
    </w:div>
    <w:div w:id="1306623253">
      <w:bodyDiv w:val="1"/>
      <w:marLeft w:val="0"/>
      <w:marRight w:val="0"/>
      <w:marTop w:val="0"/>
      <w:marBottom w:val="0"/>
      <w:divBdr>
        <w:top w:val="none" w:sz="0" w:space="0" w:color="auto"/>
        <w:left w:val="none" w:sz="0" w:space="0" w:color="auto"/>
        <w:bottom w:val="none" w:sz="0" w:space="0" w:color="auto"/>
        <w:right w:val="none" w:sz="0" w:space="0" w:color="auto"/>
      </w:divBdr>
    </w:div>
    <w:div w:id="1340933107">
      <w:bodyDiv w:val="1"/>
      <w:marLeft w:val="0"/>
      <w:marRight w:val="0"/>
      <w:marTop w:val="0"/>
      <w:marBottom w:val="0"/>
      <w:divBdr>
        <w:top w:val="none" w:sz="0" w:space="0" w:color="auto"/>
        <w:left w:val="none" w:sz="0" w:space="0" w:color="auto"/>
        <w:bottom w:val="none" w:sz="0" w:space="0" w:color="auto"/>
        <w:right w:val="none" w:sz="0" w:space="0" w:color="auto"/>
      </w:divBdr>
    </w:div>
    <w:div w:id="1365448818">
      <w:bodyDiv w:val="1"/>
      <w:marLeft w:val="0"/>
      <w:marRight w:val="0"/>
      <w:marTop w:val="0"/>
      <w:marBottom w:val="0"/>
      <w:divBdr>
        <w:top w:val="none" w:sz="0" w:space="0" w:color="auto"/>
        <w:left w:val="none" w:sz="0" w:space="0" w:color="auto"/>
        <w:bottom w:val="none" w:sz="0" w:space="0" w:color="auto"/>
        <w:right w:val="none" w:sz="0" w:space="0" w:color="auto"/>
      </w:divBdr>
    </w:div>
    <w:div w:id="1376657638">
      <w:bodyDiv w:val="1"/>
      <w:marLeft w:val="0"/>
      <w:marRight w:val="0"/>
      <w:marTop w:val="0"/>
      <w:marBottom w:val="0"/>
      <w:divBdr>
        <w:top w:val="none" w:sz="0" w:space="0" w:color="auto"/>
        <w:left w:val="none" w:sz="0" w:space="0" w:color="auto"/>
        <w:bottom w:val="none" w:sz="0" w:space="0" w:color="auto"/>
        <w:right w:val="none" w:sz="0" w:space="0" w:color="auto"/>
      </w:divBdr>
    </w:div>
    <w:div w:id="1433092232">
      <w:bodyDiv w:val="1"/>
      <w:marLeft w:val="0"/>
      <w:marRight w:val="0"/>
      <w:marTop w:val="0"/>
      <w:marBottom w:val="0"/>
      <w:divBdr>
        <w:top w:val="none" w:sz="0" w:space="0" w:color="auto"/>
        <w:left w:val="none" w:sz="0" w:space="0" w:color="auto"/>
        <w:bottom w:val="none" w:sz="0" w:space="0" w:color="auto"/>
        <w:right w:val="none" w:sz="0" w:space="0" w:color="auto"/>
      </w:divBdr>
    </w:div>
    <w:div w:id="1437748891">
      <w:bodyDiv w:val="1"/>
      <w:marLeft w:val="0"/>
      <w:marRight w:val="0"/>
      <w:marTop w:val="0"/>
      <w:marBottom w:val="0"/>
      <w:divBdr>
        <w:top w:val="none" w:sz="0" w:space="0" w:color="auto"/>
        <w:left w:val="none" w:sz="0" w:space="0" w:color="auto"/>
        <w:bottom w:val="none" w:sz="0" w:space="0" w:color="auto"/>
        <w:right w:val="none" w:sz="0" w:space="0" w:color="auto"/>
      </w:divBdr>
      <w:divsChild>
        <w:div w:id="24910067">
          <w:marLeft w:val="547"/>
          <w:marRight w:val="0"/>
          <w:marTop w:val="120"/>
          <w:marBottom w:val="0"/>
          <w:divBdr>
            <w:top w:val="none" w:sz="0" w:space="0" w:color="auto"/>
            <w:left w:val="none" w:sz="0" w:space="0" w:color="auto"/>
            <w:bottom w:val="none" w:sz="0" w:space="0" w:color="auto"/>
            <w:right w:val="none" w:sz="0" w:space="0" w:color="auto"/>
          </w:divBdr>
        </w:div>
        <w:div w:id="374620391">
          <w:marLeft w:val="907"/>
          <w:marRight w:val="0"/>
          <w:marTop w:val="120"/>
          <w:marBottom w:val="0"/>
          <w:divBdr>
            <w:top w:val="none" w:sz="0" w:space="0" w:color="auto"/>
            <w:left w:val="none" w:sz="0" w:space="0" w:color="auto"/>
            <w:bottom w:val="none" w:sz="0" w:space="0" w:color="auto"/>
            <w:right w:val="none" w:sz="0" w:space="0" w:color="auto"/>
          </w:divBdr>
        </w:div>
        <w:div w:id="1039427623">
          <w:marLeft w:val="547"/>
          <w:marRight w:val="0"/>
          <w:marTop w:val="120"/>
          <w:marBottom w:val="0"/>
          <w:divBdr>
            <w:top w:val="none" w:sz="0" w:space="0" w:color="auto"/>
            <w:left w:val="none" w:sz="0" w:space="0" w:color="auto"/>
            <w:bottom w:val="none" w:sz="0" w:space="0" w:color="auto"/>
            <w:right w:val="none" w:sz="0" w:space="0" w:color="auto"/>
          </w:divBdr>
        </w:div>
        <w:div w:id="1371690039">
          <w:marLeft w:val="907"/>
          <w:marRight w:val="0"/>
          <w:marTop w:val="120"/>
          <w:marBottom w:val="0"/>
          <w:divBdr>
            <w:top w:val="none" w:sz="0" w:space="0" w:color="auto"/>
            <w:left w:val="none" w:sz="0" w:space="0" w:color="auto"/>
            <w:bottom w:val="none" w:sz="0" w:space="0" w:color="auto"/>
            <w:right w:val="none" w:sz="0" w:space="0" w:color="auto"/>
          </w:divBdr>
        </w:div>
        <w:div w:id="1476727209">
          <w:marLeft w:val="547"/>
          <w:marRight w:val="0"/>
          <w:marTop w:val="120"/>
          <w:marBottom w:val="0"/>
          <w:divBdr>
            <w:top w:val="none" w:sz="0" w:space="0" w:color="auto"/>
            <w:left w:val="none" w:sz="0" w:space="0" w:color="auto"/>
            <w:bottom w:val="none" w:sz="0" w:space="0" w:color="auto"/>
            <w:right w:val="none" w:sz="0" w:space="0" w:color="auto"/>
          </w:divBdr>
        </w:div>
        <w:div w:id="1548301047">
          <w:marLeft w:val="907"/>
          <w:marRight w:val="0"/>
          <w:marTop w:val="120"/>
          <w:marBottom w:val="0"/>
          <w:divBdr>
            <w:top w:val="none" w:sz="0" w:space="0" w:color="auto"/>
            <w:left w:val="none" w:sz="0" w:space="0" w:color="auto"/>
            <w:bottom w:val="none" w:sz="0" w:space="0" w:color="auto"/>
            <w:right w:val="none" w:sz="0" w:space="0" w:color="auto"/>
          </w:divBdr>
        </w:div>
        <w:div w:id="1895581341">
          <w:marLeft w:val="907"/>
          <w:marRight w:val="0"/>
          <w:marTop w:val="120"/>
          <w:marBottom w:val="0"/>
          <w:divBdr>
            <w:top w:val="none" w:sz="0" w:space="0" w:color="auto"/>
            <w:left w:val="none" w:sz="0" w:space="0" w:color="auto"/>
            <w:bottom w:val="none" w:sz="0" w:space="0" w:color="auto"/>
            <w:right w:val="none" w:sz="0" w:space="0" w:color="auto"/>
          </w:divBdr>
        </w:div>
        <w:div w:id="2003846308">
          <w:marLeft w:val="907"/>
          <w:marRight w:val="0"/>
          <w:marTop w:val="120"/>
          <w:marBottom w:val="0"/>
          <w:divBdr>
            <w:top w:val="none" w:sz="0" w:space="0" w:color="auto"/>
            <w:left w:val="none" w:sz="0" w:space="0" w:color="auto"/>
            <w:bottom w:val="none" w:sz="0" w:space="0" w:color="auto"/>
            <w:right w:val="none" w:sz="0" w:space="0" w:color="auto"/>
          </w:divBdr>
        </w:div>
      </w:divsChild>
    </w:div>
    <w:div w:id="1453595927">
      <w:bodyDiv w:val="1"/>
      <w:marLeft w:val="0"/>
      <w:marRight w:val="0"/>
      <w:marTop w:val="0"/>
      <w:marBottom w:val="0"/>
      <w:divBdr>
        <w:top w:val="none" w:sz="0" w:space="0" w:color="auto"/>
        <w:left w:val="none" w:sz="0" w:space="0" w:color="auto"/>
        <w:bottom w:val="none" w:sz="0" w:space="0" w:color="auto"/>
        <w:right w:val="none" w:sz="0" w:space="0" w:color="auto"/>
      </w:divBdr>
    </w:div>
    <w:div w:id="1455783454">
      <w:bodyDiv w:val="1"/>
      <w:marLeft w:val="0"/>
      <w:marRight w:val="0"/>
      <w:marTop w:val="0"/>
      <w:marBottom w:val="0"/>
      <w:divBdr>
        <w:top w:val="none" w:sz="0" w:space="0" w:color="auto"/>
        <w:left w:val="none" w:sz="0" w:space="0" w:color="auto"/>
        <w:bottom w:val="none" w:sz="0" w:space="0" w:color="auto"/>
        <w:right w:val="none" w:sz="0" w:space="0" w:color="auto"/>
      </w:divBdr>
    </w:div>
    <w:div w:id="1462336159">
      <w:bodyDiv w:val="1"/>
      <w:marLeft w:val="0"/>
      <w:marRight w:val="0"/>
      <w:marTop w:val="0"/>
      <w:marBottom w:val="0"/>
      <w:divBdr>
        <w:top w:val="none" w:sz="0" w:space="0" w:color="auto"/>
        <w:left w:val="none" w:sz="0" w:space="0" w:color="auto"/>
        <w:bottom w:val="none" w:sz="0" w:space="0" w:color="auto"/>
        <w:right w:val="none" w:sz="0" w:space="0" w:color="auto"/>
      </w:divBdr>
    </w:div>
    <w:div w:id="1462386839">
      <w:bodyDiv w:val="1"/>
      <w:marLeft w:val="0"/>
      <w:marRight w:val="0"/>
      <w:marTop w:val="0"/>
      <w:marBottom w:val="0"/>
      <w:divBdr>
        <w:top w:val="none" w:sz="0" w:space="0" w:color="auto"/>
        <w:left w:val="none" w:sz="0" w:space="0" w:color="auto"/>
        <w:bottom w:val="none" w:sz="0" w:space="0" w:color="auto"/>
        <w:right w:val="none" w:sz="0" w:space="0" w:color="auto"/>
      </w:divBdr>
    </w:div>
    <w:div w:id="1467426292">
      <w:bodyDiv w:val="1"/>
      <w:marLeft w:val="0"/>
      <w:marRight w:val="0"/>
      <w:marTop w:val="0"/>
      <w:marBottom w:val="0"/>
      <w:divBdr>
        <w:top w:val="none" w:sz="0" w:space="0" w:color="auto"/>
        <w:left w:val="none" w:sz="0" w:space="0" w:color="auto"/>
        <w:bottom w:val="none" w:sz="0" w:space="0" w:color="auto"/>
        <w:right w:val="none" w:sz="0" w:space="0" w:color="auto"/>
      </w:divBdr>
    </w:div>
    <w:div w:id="1483962657">
      <w:bodyDiv w:val="1"/>
      <w:marLeft w:val="0"/>
      <w:marRight w:val="0"/>
      <w:marTop w:val="0"/>
      <w:marBottom w:val="0"/>
      <w:divBdr>
        <w:top w:val="none" w:sz="0" w:space="0" w:color="auto"/>
        <w:left w:val="none" w:sz="0" w:space="0" w:color="auto"/>
        <w:bottom w:val="none" w:sz="0" w:space="0" w:color="auto"/>
        <w:right w:val="none" w:sz="0" w:space="0" w:color="auto"/>
      </w:divBdr>
    </w:div>
    <w:div w:id="1500999844">
      <w:bodyDiv w:val="1"/>
      <w:marLeft w:val="0"/>
      <w:marRight w:val="0"/>
      <w:marTop w:val="0"/>
      <w:marBottom w:val="0"/>
      <w:divBdr>
        <w:top w:val="none" w:sz="0" w:space="0" w:color="auto"/>
        <w:left w:val="none" w:sz="0" w:space="0" w:color="auto"/>
        <w:bottom w:val="none" w:sz="0" w:space="0" w:color="auto"/>
        <w:right w:val="none" w:sz="0" w:space="0" w:color="auto"/>
      </w:divBdr>
    </w:div>
    <w:div w:id="1511485156">
      <w:bodyDiv w:val="1"/>
      <w:marLeft w:val="0"/>
      <w:marRight w:val="0"/>
      <w:marTop w:val="0"/>
      <w:marBottom w:val="0"/>
      <w:divBdr>
        <w:top w:val="none" w:sz="0" w:space="0" w:color="auto"/>
        <w:left w:val="none" w:sz="0" w:space="0" w:color="auto"/>
        <w:bottom w:val="none" w:sz="0" w:space="0" w:color="auto"/>
        <w:right w:val="none" w:sz="0" w:space="0" w:color="auto"/>
      </w:divBdr>
    </w:div>
    <w:div w:id="1520120395">
      <w:bodyDiv w:val="1"/>
      <w:marLeft w:val="0"/>
      <w:marRight w:val="0"/>
      <w:marTop w:val="0"/>
      <w:marBottom w:val="0"/>
      <w:divBdr>
        <w:top w:val="none" w:sz="0" w:space="0" w:color="auto"/>
        <w:left w:val="none" w:sz="0" w:space="0" w:color="auto"/>
        <w:bottom w:val="none" w:sz="0" w:space="0" w:color="auto"/>
        <w:right w:val="none" w:sz="0" w:space="0" w:color="auto"/>
      </w:divBdr>
    </w:div>
    <w:div w:id="1566838827">
      <w:bodyDiv w:val="1"/>
      <w:marLeft w:val="0"/>
      <w:marRight w:val="0"/>
      <w:marTop w:val="0"/>
      <w:marBottom w:val="0"/>
      <w:divBdr>
        <w:top w:val="none" w:sz="0" w:space="0" w:color="auto"/>
        <w:left w:val="none" w:sz="0" w:space="0" w:color="auto"/>
        <w:bottom w:val="none" w:sz="0" w:space="0" w:color="auto"/>
        <w:right w:val="none" w:sz="0" w:space="0" w:color="auto"/>
      </w:divBdr>
    </w:div>
    <w:div w:id="1577856460">
      <w:bodyDiv w:val="1"/>
      <w:marLeft w:val="0"/>
      <w:marRight w:val="0"/>
      <w:marTop w:val="0"/>
      <w:marBottom w:val="0"/>
      <w:divBdr>
        <w:top w:val="none" w:sz="0" w:space="0" w:color="auto"/>
        <w:left w:val="none" w:sz="0" w:space="0" w:color="auto"/>
        <w:bottom w:val="none" w:sz="0" w:space="0" w:color="auto"/>
        <w:right w:val="none" w:sz="0" w:space="0" w:color="auto"/>
      </w:divBdr>
    </w:div>
    <w:div w:id="1582520563">
      <w:bodyDiv w:val="1"/>
      <w:marLeft w:val="0"/>
      <w:marRight w:val="0"/>
      <w:marTop w:val="0"/>
      <w:marBottom w:val="0"/>
      <w:divBdr>
        <w:top w:val="none" w:sz="0" w:space="0" w:color="auto"/>
        <w:left w:val="none" w:sz="0" w:space="0" w:color="auto"/>
        <w:bottom w:val="none" w:sz="0" w:space="0" w:color="auto"/>
        <w:right w:val="none" w:sz="0" w:space="0" w:color="auto"/>
      </w:divBdr>
      <w:divsChild>
        <w:div w:id="294723115">
          <w:marLeft w:val="547"/>
          <w:marRight w:val="0"/>
          <w:marTop w:val="120"/>
          <w:marBottom w:val="0"/>
          <w:divBdr>
            <w:top w:val="none" w:sz="0" w:space="0" w:color="auto"/>
            <w:left w:val="none" w:sz="0" w:space="0" w:color="auto"/>
            <w:bottom w:val="none" w:sz="0" w:space="0" w:color="auto"/>
            <w:right w:val="none" w:sz="0" w:space="0" w:color="auto"/>
          </w:divBdr>
        </w:div>
        <w:div w:id="428893863">
          <w:marLeft w:val="547"/>
          <w:marRight w:val="0"/>
          <w:marTop w:val="120"/>
          <w:marBottom w:val="0"/>
          <w:divBdr>
            <w:top w:val="none" w:sz="0" w:space="0" w:color="auto"/>
            <w:left w:val="none" w:sz="0" w:space="0" w:color="auto"/>
            <w:bottom w:val="none" w:sz="0" w:space="0" w:color="auto"/>
            <w:right w:val="none" w:sz="0" w:space="0" w:color="auto"/>
          </w:divBdr>
        </w:div>
        <w:div w:id="777532455">
          <w:marLeft w:val="547"/>
          <w:marRight w:val="0"/>
          <w:marTop w:val="120"/>
          <w:marBottom w:val="0"/>
          <w:divBdr>
            <w:top w:val="none" w:sz="0" w:space="0" w:color="auto"/>
            <w:left w:val="none" w:sz="0" w:space="0" w:color="auto"/>
            <w:bottom w:val="none" w:sz="0" w:space="0" w:color="auto"/>
            <w:right w:val="none" w:sz="0" w:space="0" w:color="auto"/>
          </w:divBdr>
        </w:div>
        <w:div w:id="1576937215">
          <w:marLeft w:val="547"/>
          <w:marRight w:val="0"/>
          <w:marTop w:val="120"/>
          <w:marBottom w:val="0"/>
          <w:divBdr>
            <w:top w:val="none" w:sz="0" w:space="0" w:color="auto"/>
            <w:left w:val="none" w:sz="0" w:space="0" w:color="auto"/>
            <w:bottom w:val="none" w:sz="0" w:space="0" w:color="auto"/>
            <w:right w:val="none" w:sz="0" w:space="0" w:color="auto"/>
          </w:divBdr>
        </w:div>
        <w:div w:id="1990744578">
          <w:marLeft w:val="144"/>
          <w:marRight w:val="0"/>
          <w:marTop w:val="120"/>
          <w:marBottom w:val="0"/>
          <w:divBdr>
            <w:top w:val="none" w:sz="0" w:space="0" w:color="auto"/>
            <w:left w:val="none" w:sz="0" w:space="0" w:color="auto"/>
            <w:bottom w:val="none" w:sz="0" w:space="0" w:color="auto"/>
            <w:right w:val="none" w:sz="0" w:space="0" w:color="auto"/>
          </w:divBdr>
        </w:div>
        <w:div w:id="2000302495">
          <w:marLeft w:val="144"/>
          <w:marRight w:val="0"/>
          <w:marTop w:val="120"/>
          <w:marBottom w:val="0"/>
          <w:divBdr>
            <w:top w:val="none" w:sz="0" w:space="0" w:color="auto"/>
            <w:left w:val="none" w:sz="0" w:space="0" w:color="auto"/>
            <w:bottom w:val="none" w:sz="0" w:space="0" w:color="auto"/>
            <w:right w:val="none" w:sz="0" w:space="0" w:color="auto"/>
          </w:divBdr>
        </w:div>
      </w:divsChild>
    </w:div>
    <w:div w:id="1598099734">
      <w:bodyDiv w:val="1"/>
      <w:marLeft w:val="0"/>
      <w:marRight w:val="0"/>
      <w:marTop w:val="0"/>
      <w:marBottom w:val="0"/>
      <w:divBdr>
        <w:top w:val="none" w:sz="0" w:space="0" w:color="auto"/>
        <w:left w:val="none" w:sz="0" w:space="0" w:color="auto"/>
        <w:bottom w:val="none" w:sz="0" w:space="0" w:color="auto"/>
        <w:right w:val="none" w:sz="0" w:space="0" w:color="auto"/>
      </w:divBdr>
    </w:div>
    <w:div w:id="1610426015">
      <w:bodyDiv w:val="1"/>
      <w:marLeft w:val="0"/>
      <w:marRight w:val="0"/>
      <w:marTop w:val="0"/>
      <w:marBottom w:val="0"/>
      <w:divBdr>
        <w:top w:val="none" w:sz="0" w:space="0" w:color="auto"/>
        <w:left w:val="none" w:sz="0" w:space="0" w:color="auto"/>
        <w:bottom w:val="none" w:sz="0" w:space="0" w:color="auto"/>
        <w:right w:val="none" w:sz="0" w:space="0" w:color="auto"/>
      </w:divBdr>
      <w:divsChild>
        <w:div w:id="1837383847">
          <w:marLeft w:val="547"/>
          <w:marRight w:val="0"/>
          <w:marTop w:val="0"/>
          <w:marBottom w:val="240"/>
          <w:divBdr>
            <w:top w:val="none" w:sz="0" w:space="0" w:color="auto"/>
            <w:left w:val="none" w:sz="0" w:space="0" w:color="auto"/>
            <w:bottom w:val="none" w:sz="0" w:space="0" w:color="auto"/>
            <w:right w:val="none" w:sz="0" w:space="0" w:color="auto"/>
          </w:divBdr>
        </w:div>
      </w:divsChild>
    </w:div>
    <w:div w:id="1632174733">
      <w:bodyDiv w:val="1"/>
      <w:marLeft w:val="0"/>
      <w:marRight w:val="0"/>
      <w:marTop w:val="0"/>
      <w:marBottom w:val="0"/>
      <w:divBdr>
        <w:top w:val="none" w:sz="0" w:space="0" w:color="auto"/>
        <w:left w:val="none" w:sz="0" w:space="0" w:color="auto"/>
        <w:bottom w:val="none" w:sz="0" w:space="0" w:color="auto"/>
        <w:right w:val="none" w:sz="0" w:space="0" w:color="auto"/>
      </w:divBdr>
      <w:divsChild>
        <w:div w:id="206183679">
          <w:marLeft w:val="893"/>
          <w:marRight w:val="0"/>
          <w:marTop w:val="120"/>
          <w:marBottom w:val="0"/>
          <w:divBdr>
            <w:top w:val="none" w:sz="0" w:space="0" w:color="auto"/>
            <w:left w:val="none" w:sz="0" w:space="0" w:color="auto"/>
            <w:bottom w:val="none" w:sz="0" w:space="0" w:color="auto"/>
            <w:right w:val="none" w:sz="0" w:space="0" w:color="auto"/>
          </w:divBdr>
        </w:div>
        <w:div w:id="296568891">
          <w:marLeft w:val="893"/>
          <w:marRight w:val="0"/>
          <w:marTop w:val="120"/>
          <w:marBottom w:val="0"/>
          <w:divBdr>
            <w:top w:val="none" w:sz="0" w:space="0" w:color="auto"/>
            <w:left w:val="none" w:sz="0" w:space="0" w:color="auto"/>
            <w:bottom w:val="none" w:sz="0" w:space="0" w:color="auto"/>
            <w:right w:val="none" w:sz="0" w:space="0" w:color="auto"/>
          </w:divBdr>
        </w:div>
        <w:div w:id="741685758">
          <w:marLeft w:val="1080"/>
          <w:marRight w:val="0"/>
          <w:marTop w:val="60"/>
          <w:marBottom w:val="0"/>
          <w:divBdr>
            <w:top w:val="none" w:sz="0" w:space="0" w:color="auto"/>
            <w:left w:val="none" w:sz="0" w:space="0" w:color="auto"/>
            <w:bottom w:val="none" w:sz="0" w:space="0" w:color="auto"/>
            <w:right w:val="none" w:sz="0" w:space="0" w:color="auto"/>
          </w:divBdr>
        </w:div>
        <w:div w:id="792482592">
          <w:marLeft w:val="1080"/>
          <w:marRight w:val="0"/>
          <w:marTop w:val="60"/>
          <w:marBottom w:val="0"/>
          <w:divBdr>
            <w:top w:val="none" w:sz="0" w:space="0" w:color="auto"/>
            <w:left w:val="none" w:sz="0" w:space="0" w:color="auto"/>
            <w:bottom w:val="none" w:sz="0" w:space="0" w:color="auto"/>
            <w:right w:val="none" w:sz="0" w:space="0" w:color="auto"/>
          </w:divBdr>
        </w:div>
        <w:div w:id="818495937">
          <w:marLeft w:val="893"/>
          <w:marRight w:val="0"/>
          <w:marTop w:val="120"/>
          <w:marBottom w:val="0"/>
          <w:divBdr>
            <w:top w:val="none" w:sz="0" w:space="0" w:color="auto"/>
            <w:left w:val="none" w:sz="0" w:space="0" w:color="auto"/>
            <w:bottom w:val="none" w:sz="0" w:space="0" w:color="auto"/>
            <w:right w:val="none" w:sz="0" w:space="0" w:color="auto"/>
          </w:divBdr>
        </w:div>
        <w:div w:id="835192012">
          <w:marLeft w:val="1080"/>
          <w:marRight w:val="0"/>
          <w:marTop w:val="60"/>
          <w:marBottom w:val="0"/>
          <w:divBdr>
            <w:top w:val="none" w:sz="0" w:space="0" w:color="auto"/>
            <w:left w:val="none" w:sz="0" w:space="0" w:color="auto"/>
            <w:bottom w:val="none" w:sz="0" w:space="0" w:color="auto"/>
            <w:right w:val="none" w:sz="0" w:space="0" w:color="auto"/>
          </w:divBdr>
        </w:div>
        <w:div w:id="1248418301">
          <w:marLeft w:val="1080"/>
          <w:marRight w:val="0"/>
          <w:marTop w:val="60"/>
          <w:marBottom w:val="0"/>
          <w:divBdr>
            <w:top w:val="none" w:sz="0" w:space="0" w:color="auto"/>
            <w:left w:val="none" w:sz="0" w:space="0" w:color="auto"/>
            <w:bottom w:val="none" w:sz="0" w:space="0" w:color="auto"/>
            <w:right w:val="none" w:sz="0" w:space="0" w:color="auto"/>
          </w:divBdr>
        </w:div>
        <w:div w:id="1744183092">
          <w:marLeft w:val="1080"/>
          <w:marRight w:val="0"/>
          <w:marTop w:val="60"/>
          <w:marBottom w:val="0"/>
          <w:divBdr>
            <w:top w:val="none" w:sz="0" w:space="0" w:color="auto"/>
            <w:left w:val="none" w:sz="0" w:space="0" w:color="auto"/>
            <w:bottom w:val="none" w:sz="0" w:space="0" w:color="auto"/>
            <w:right w:val="none" w:sz="0" w:space="0" w:color="auto"/>
          </w:divBdr>
        </w:div>
        <w:div w:id="1982541593">
          <w:marLeft w:val="1080"/>
          <w:marRight w:val="0"/>
          <w:marTop w:val="60"/>
          <w:marBottom w:val="0"/>
          <w:divBdr>
            <w:top w:val="none" w:sz="0" w:space="0" w:color="auto"/>
            <w:left w:val="none" w:sz="0" w:space="0" w:color="auto"/>
            <w:bottom w:val="none" w:sz="0" w:space="0" w:color="auto"/>
            <w:right w:val="none" w:sz="0" w:space="0" w:color="auto"/>
          </w:divBdr>
        </w:div>
      </w:divsChild>
    </w:div>
    <w:div w:id="1632318697">
      <w:bodyDiv w:val="1"/>
      <w:marLeft w:val="0"/>
      <w:marRight w:val="0"/>
      <w:marTop w:val="0"/>
      <w:marBottom w:val="0"/>
      <w:divBdr>
        <w:top w:val="none" w:sz="0" w:space="0" w:color="auto"/>
        <w:left w:val="none" w:sz="0" w:space="0" w:color="auto"/>
        <w:bottom w:val="none" w:sz="0" w:space="0" w:color="auto"/>
        <w:right w:val="none" w:sz="0" w:space="0" w:color="auto"/>
      </w:divBdr>
    </w:div>
    <w:div w:id="1635216093">
      <w:bodyDiv w:val="1"/>
      <w:marLeft w:val="0"/>
      <w:marRight w:val="0"/>
      <w:marTop w:val="0"/>
      <w:marBottom w:val="0"/>
      <w:divBdr>
        <w:top w:val="none" w:sz="0" w:space="0" w:color="auto"/>
        <w:left w:val="none" w:sz="0" w:space="0" w:color="auto"/>
        <w:bottom w:val="none" w:sz="0" w:space="0" w:color="auto"/>
        <w:right w:val="none" w:sz="0" w:space="0" w:color="auto"/>
      </w:divBdr>
    </w:div>
    <w:div w:id="1642730747">
      <w:bodyDiv w:val="1"/>
      <w:marLeft w:val="0"/>
      <w:marRight w:val="0"/>
      <w:marTop w:val="0"/>
      <w:marBottom w:val="0"/>
      <w:divBdr>
        <w:top w:val="none" w:sz="0" w:space="0" w:color="auto"/>
        <w:left w:val="none" w:sz="0" w:space="0" w:color="auto"/>
        <w:bottom w:val="none" w:sz="0" w:space="0" w:color="auto"/>
        <w:right w:val="none" w:sz="0" w:space="0" w:color="auto"/>
      </w:divBdr>
    </w:div>
    <w:div w:id="1644190218">
      <w:bodyDiv w:val="1"/>
      <w:marLeft w:val="0"/>
      <w:marRight w:val="0"/>
      <w:marTop w:val="0"/>
      <w:marBottom w:val="0"/>
      <w:divBdr>
        <w:top w:val="none" w:sz="0" w:space="0" w:color="auto"/>
        <w:left w:val="none" w:sz="0" w:space="0" w:color="auto"/>
        <w:bottom w:val="none" w:sz="0" w:space="0" w:color="auto"/>
        <w:right w:val="none" w:sz="0" w:space="0" w:color="auto"/>
      </w:divBdr>
      <w:divsChild>
        <w:div w:id="116878707">
          <w:marLeft w:val="720"/>
          <w:marRight w:val="0"/>
          <w:marTop w:val="120"/>
          <w:marBottom w:val="0"/>
          <w:divBdr>
            <w:top w:val="none" w:sz="0" w:space="0" w:color="auto"/>
            <w:left w:val="none" w:sz="0" w:space="0" w:color="auto"/>
            <w:bottom w:val="none" w:sz="0" w:space="0" w:color="auto"/>
            <w:right w:val="none" w:sz="0" w:space="0" w:color="auto"/>
          </w:divBdr>
        </w:div>
        <w:div w:id="357970973">
          <w:marLeft w:val="547"/>
          <w:marRight w:val="0"/>
          <w:marTop w:val="120"/>
          <w:marBottom w:val="0"/>
          <w:divBdr>
            <w:top w:val="none" w:sz="0" w:space="0" w:color="auto"/>
            <w:left w:val="none" w:sz="0" w:space="0" w:color="auto"/>
            <w:bottom w:val="none" w:sz="0" w:space="0" w:color="auto"/>
            <w:right w:val="none" w:sz="0" w:space="0" w:color="auto"/>
          </w:divBdr>
        </w:div>
        <w:div w:id="738551202">
          <w:marLeft w:val="907"/>
          <w:marRight w:val="0"/>
          <w:marTop w:val="60"/>
          <w:marBottom w:val="0"/>
          <w:divBdr>
            <w:top w:val="none" w:sz="0" w:space="0" w:color="auto"/>
            <w:left w:val="none" w:sz="0" w:space="0" w:color="auto"/>
            <w:bottom w:val="none" w:sz="0" w:space="0" w:color="auto"/>
            <w:right w:val="none" w:sz="0" w:space="0" w:color="auto"/>
          </w:divBdr>
        </w:div>
        <w:div w:id="847789355">
          <w:marLeft w:val="720"/>
          <w:marRight w:val="0"/>
          <w:marTop w:val="120"/>
          <w:marBottom w:val="0"/>
          <w:divBdr>
            <w:top w:val="none" w:sz="0" w:space="0" w:color="auto"/>
            <w:left w:val="none" w:sz="0" w:space="0" w:color="auto"/>
            <w:bottom w:val="none" w:sz="0" w:space="0" w:color="auto"/>
            <w:right w:val="none" w:sz="0" w:space="0" w:color="auto"/>
          </w:divBdr>
        </w:div>
        <w:div w:id="907181497">
          <w:marLeft w:val="547"/>
          <w:marRight w:val="0"/>
          <w:marTop w:val="120"/>
          <w:marBottom w:val="0"/>
          <w:divBdr>
            <w:top w:val="none" w:sz="0" w:space="0" w:color="auto"/>
            <w:left w:val="none" w:sz="0" w:space="0" w:color="auto"/>
            <w:bottom w:val="none" w:sz="0" w:space="0" w:color="auto"/>
            <w:right w:val="none" w:sz="0" w:space="0" w:color="auto"/>
          </w:divBdr>
        </w:div>
        <w:div w:id="1179270745">
          <w:marLeft w:val="907"/>
          <w:marRight w:val="0"/>
          <w:marTop w:val="60"/>
          <w:marBottom w:val="0"/>
          <w:divBdr>
            <w:top w:val="none" w:sz="0" w:space="0" w:color="auto"/>
            <w:left w:val="none" w:sz="0" w:space="0" w:color="auto"/>
            <w:bottom w:val="none" w:sz="0" w:space="0" w:color="auto"/>
            <w:right w:val="none" w:sz="0" w:space="0" w:color="auto"/>
          </w:divBdr>
        </w:div>
        <w:div w:id="1292632365">
          <w:marLeft w:val="720"/>
          <w:marRight w:val="0"/>
          <w:marTop w:val="120"/>
          <w:marBottom w:val="0"/>
          <w:divBdr>
            <w:top w:val="none" w:sz="0" w:space="0" w:color="auto"/>
            <w:left w:val="none" w:sz="0" w:space="0" w:color="auto"/>
            <w:bottom w:val="none" w:sz="0" w:space="0" w:color="auto"/>
            <w:right w:val="none" w:sz="0" w:space="0" w:color="auto"/>
          </w:divBdr>
        </w:div>
        <w:div w:id="1540240768">
          <w:marLeft w:val="144"/>
          <w:marRight w:val="0"/>
          <w:marTop w:val="360"/>
          <w:marBottom w:val="0"/>
          <w:divBdr>
            <w:top w:val="none" w:sz="0" w:space="0" w:color="auto"/>
            <w:left w:val="none" w:sz="0" w:space="0" w:color="auto"/>
            <w:bottom w:val="none" w:sz="0" w:space="0" w:color="auto"/>
            <w:right w:val="none" w:sz="0" w:space="0" w:color="auto"/>
          </w:divBdr>
        </w:div>
        <w:div w:id="1580601231">
          <w:marLeft w:val="907"/>
          <w:marRight w:val="0"/>
          <w:marTop w:val="60"/>
          <w:marBottom w:val="0"/>
          <w:divBdr>
            <w:top w:val="none" w:sz="0" w:space="0" w:color="auto"/>
            <w:left w:val="none" w:sz="0" w:space="0" w:color="auto"/>
            <w:bottom w:val="none" w:sz="0" w:space="0" w:color="auto"/>
            <w:right w:val="none" w:sz="0" w:space="0" w:color="auto"/>
          </w:divBdr>
        </w:div>
        <w:div w:id="1989899925">
          <w:marLeft w:val="547"/>
          <w:marRight w:val="0"/>
          <w:marTop w:val="120"/>
          <w:marBottom w:val="0"/>
          <w:divBdr>
            <w:top w:val="none" w:sz="0" w:space="0" w:color="auto"/>
            <w:left w:val="none" w:sz="0" w:space="0" w:color="auto"/>
            <w:bottom w:val="none" w:sz="0" w:space="0" w:color="auto"/>
            <w:right w:val="none" w:sz="0" w:space="0" w:color="auto"/>
          </w:divBdr>
        </w:div>
        <w:div w:id="2067756980">
          <w:marLeft w:val="144"/>
          <w:marRight w:val="0"/>
          <w:marTop w:val="360"/>
          <w:marBottom w:val="0"/>
          <w:divBdr>
            <w:top w:val="none" w:sz="0" w:space="0" w:color="auto"/>
            <w:left w:val="none" w:sz="0" w:space="0" w:color="auto"/>
            <w:bottom w:val="none" w:sz="0" w:space="0" w:color="auto"/>
            <w:right w:val="none" w:sz="0" w:space="0" w:color="auto"/>
          </w:divBdr>
        </w:div>
      </w:divsChild>
    </w:div>
    <w:div w:id="1647706184">
      <w:bodyDiv w:val="1"/>
      <w:marLeft w:val="0"/>
      <w:marRight w:val="0"/>
      <w:marTop w:val="0"/>
      <w:marBottom w:val="0"/>
      <w:divBdr>
        <w:top w:val="none" w:sz="0" w:space="0" w:color="auto"/>
        <w:left w:val="none" w:sz="0" w:space="0" w:color="auto"/>
        <w:bottom w:val="none" w:sz="0" w:space="0" w:color="auto"/>
        <w:right w:val="none" w:sz="0" w:space="0" w:color="auto"/>
      </w:divBdr>
    </w:div>
    <w:div w:id="1659961749">
      <w:bodyDiv w:val="1"/>
      <w:marLeft w:val="0"/>
      <w:marRight w:val="0"/>
      <w:marTop w:val="0"/>
      <w:marBottom w:val="0"/>
      <w:divBdr>
        <w:top w:val="none" w:sz="0" w:space="0" w:color="auto"/>
        <w:left w:val="none" w:sz="0" w:space="0" w:color="auto"/>
        <w:bottom w:val="none" w:sz="0" w:space="0" w:color="auto"/>
        <w:right w:val="none" w:sz="0" w:space="0" w:color="auto"/>
      </w:divBdr>
    </w:div>
    <w:div w:id="1665470407">
      <w:bodyDiv w:val="1"/>
      <w:marLeft w:val="0"/>
      <w:marRight w:val="0"/>
      <w:marTop w:val="0"/>
      <w:marBottom w:val="0"/>
      <w:divBdr>
        <w:top w:val="none" w:sz="0" w:space="0" w:color="auto"/>
        <w:left w:val="none" w:sz="0" w:space="0" w:color="auto"/>
        <w:bottom w:val="none" w:sz="0" w:space="0" w:color="auto"/>
        <w:right w:val="none" w:sz="0" w:space="0" w:color="auto"/>
      </w:divBdr>
    </w:div>
    <w:div w:id="1686788951">
      <w:bodyDiv w:val="1"/>
      <w:marLeft w:val="0"/>
      <w:marRight w:val="0"/>
      <w:marTop w:val="0"/>
      <w:marBottom w:val="0"/>
      <w:divBdr>
        <w:top w:val="none" w:sz="0" w:space="0" w:color="auto"/>
        <w:left w:val="none" w:sz="0" w:space="0" w:color="auto"/>
        <w:bottom w:val="none" w:sz="0" w:space="0" w:color="auto"/>
        <w:right w:val="none" w:sz="0" w:space="0" w:color="auto"/>
      </w:divBdr>
    </w:div>
    <w:div w:id="1693067772">
      <w:bodyDiv w:val="1"/>
      <w:marLeft w:val="0"/>
      <w:marRight w:val="0"/>
      <w:marTop w:val="0"/>
      <w:marBottom w:val="0"/>
      <w:divBdr>
        <w:top w:val="none" w:sz="0" w:space="0" w:color="auto"/>
        <w:left w:val="none" w:sz="0" w:space="0" w:color="auto"/>
        <w:bottom w:val="none" w:sz="0" w:space="0" w:color="auto"/>
        <w:right w:val="none" w:sz="0" w:space="0" w:color="auto"/>
      </w:divBdr>
      <w:divsChild>
        <w:div w:id="118572856">
          <w:marLeft w:val="547"/>
          <w:marRight w:val="0"/>
          <w:marTop w:val="240"/>
          <w:marBottom w:val="0"/>
          <w:divBdr>
            <w:top w:val="none" w:sz="0" w:space="0" w:color="auto"/>
            <w:left w:val="none" w:sz="0" w:space="0" w:color="auto"/>
            <w:bottom w:val="none" w:sz="0" w:space="0" w:color="auto"/>
            <w:right w:val="none" w:sz="0" w:space="0" w:color="auto"/>
          </w:divBdr>
        </w:div>
        <w:div w:id="431825377">
          <w:marLeft w:val="547"/>
          <w:marRight w:val="0"/>
          <w:marTop w:val="240"/>
          <w:marBottom w:val="0"/>
          <w:divBdr>
            <w:top w:val="none" w:sz="0" w:space="0" w:color="auto"/>
            <w:left w:val="none" w:sz="0" w:space="0" w:color="auto"/>
            <w:bottom w:val="none" w:sz="0" w:space="0" w:color="auto"/>
            <w:right w:val="none" w:sz="0" w:space="0" w:color="auto"/>
          </w:divBdr>
        </w:div>
        <w:div w:id="914052693">
          <w:marLeft w:val="547"/>
          <w:marRight w:val="0"/>
          <w:marTop w:val="240"/>
          <w:marBottom w:val="0"/>
          <w:divBdr>
            <w:top w:val="none" w:sz="0" w:space="0" w:color="auto"/>
            <w:left w:val="none" w:sz="0" w:space="0" w:color="auto"/>
            <w:bottom w:val="none" w:sz="0" w:space="0" w:color="auto"/>
            <w:right w:val="none" w:sz="0" w:space="0" w:color="auto"/>
          </w:divBdr>
        </w:div>
        <w:div w:id="1094203031">
          <w:marLeft w:val="547"/>
          <w:marRight w:val="0"/>
          <w:marTop w:val="240"/>
          <w:marBottom w:val="0"/>
          <w:divBdr>
            <w:top w:val="none" w:sz="0" w:space="0" w:color="auto"/>
            <w:left w:val="none" w:sz="0" w:space="0" w:color="auto"/>
            <w:bottom w:val="none" w:sz="0" w:space="0" w:color="auto"/>
            <w:right w:val="none" w:sz="0" w:space="0" w:color="auto"/>
          </w:divBdr>
        </w:div>
      </w:divsChild>
    </w:div>
    <w:div w:id="1713993703">
      <w:bodyDiv w:val="1"/>
      <w:marLeft w:val="0"/>
      <w:marRight w:val="0"/>
      <w:marTop w:val="0"/>
      <w:marBottom w:val="0"/>
      <w:divBdr>
        <w:top w:val="none" w:sz="0" w:space="0" w:color="auto"/>
        <w:left w:val="none" w:sz="0" w:space="0" w:color="auto"/>
        <w:bottom w:val="none" w:sz="0" w:space="0" w:color="auto"/>
        <w:right w:val="none" w:sz="0" w:space="0" w:color="auto"/>
      </w:divBdr>
      <w:divsChild>
        <w:div w:id="362444868">
          <w:marLeft w:val="547"/>
          <w:marRight w:val="0"/>
          <w:marTop w:val="0"/>
          <w:marBottom w:val="120"/>
          <w:divBdr>
            <w:top w:val="none" w:sz="0" w:space="0" w:color="auto"/>
            <w:left w:val="none" w:sz="0" w:space="0" w:color="auto"/>
            <w:bottom w:val="none" w:sz="0" w:space="0" w:color="auto"/>
            <w:right w:val="none" w:sz="0" w:space="0" w:color="auto"/>
          </w:divBdr>
        </w:div>
        <w:div w:id="948392912">
          <w:marLeft w:val="547"/>
          <w:marRight w:val="0"/>
          <w:marTop w:val="0"/>
          <w:marBottom w:val="120"/>
          <w:divBdr>
            <w:top w:val="none" w:sz="0" w:space="0" w:color="auto"/>
            <w:left w:val="none" w:sz="0" w:space="0" w:color="auto"/>
            <w:bottom w:val="none" w:sz="0" w:space="0" w:color="auto"/>
            <w:right w:val="none" w:sz="0" w:space="0" w:color="auto"/>
          </w:divBdr>
        </w:div>
      </w:divsChild>
    </w:div>
    <w:div w:id="1738358083">
      <w:bodyDiv w:val="1"/>
      <w:marLeft w:val="0"/>
      <w:marRight w:val="0"/>
      <w:marTop w:val="0"/>
      <w:marBottom w:val="0"/>
      <w:divBdr>
        <w:top w:val="none" w:sz="0" w:space="0" w:color="auto"/>
        <w:left w:val="none" w:sz="0" w:space="0" w:color="auto"/>
        <w:bottom w:val="none" w:sz="0" w:space="0" w:color="auto"/>
        <w:right w:val="none" w:sz="0" w:space="0" w:color="auto"/>
      </w:divBdr>
      <w:divsChild>
        <w:div w:id="1059324173">
          <w:marLeft w:val="547"/>
          <w:marRight w:val="0"/>
          <w:marTop w:val="120"/>
          <w:marBottom w:val="0"/>
          <w:divBdr>
            <w:top w:val="none" w:sz="0" w:space="0" w:color="auto"/>
            <w:left w:val="none" w:sz="0" w:space="0" w:color="auto"/>
            <w:bottom w:val="none" w:sz="0" w:space="0" w:color="auto"/>
            <w:right w:val="none" w:sz="0" w:space="0" w:color="auto"/>
          </w:divBdr>
        </w:div>
      </w:divsChild>
    </w:div>
    <w:div w:id="1739131227">
      <w:bodyDiv w:val="1"/>
      <w:marLeft w:val="0"/>
      <w:marRight w:val="0"/>
      <w:marTop w:val="0"/>
      <w:marBottom w:val="0"/>
      <w:divBdr>
        <w:top w:val="none" w:sz="0" w:space="0" w:color="auto"/>
        <w:left w:val="none" w:sz="0" w:space="0" w:color="auto"/>
        <w:bottom w:val="none" w:sz="0" w:space="0" w:color="auto"/>
        <w:right w:val="none" w:sz="0" w:space="0" w:color="auto"/>
      </w:divBdr>
    </w:div>
    <w:div w:id="1748377237">
      <w:bodyDiv w:val="1"/>
      <w:marLeft w:val="0"/>
      <w:marRight w:val="0"/>
      <w:marTop w:val="0"/>
      <w:marBottom w:val="0"/>
      <w:divBdr>
        <w:top w:val="none" w:sz="0" w:space="0" w:color="auto"/>
        <w:left w:val="none" w:sz="0" w:space="0" w:color="auto"/>
        <w:bottom w:val="none" w:sz="0" w:space="0" w:color="auto"/>
        <w:right w:val="none" w:sz="0" w:space="0" w:color="auto"/>
      </w:divBdr>
      <w:divsChild>
        <w:div w:id="520775546">
          <w:marLeft w:val="547"/>
          <w:marRight w:val="0"/>
          <w:marTop w:val="240"/>
          <w:marBottom w:val="0"/>
          <w:divBdr>
            <w:top w:val="none" w:sz="0" w:space="0" w:color="auto"/>
            <w:left w:val="none" w:sz="0" w:space="0" w:color="auto"/>
            <w:bottom w:val="none" w:sz="0" w:space="0" w:color="auto"/>
            <w:right w:val="none" w:sz="0" w:space="0" w:color="auto"/>
          </w:divBdr>
        </w:div>
        <w:div w:id="1183284371">
          <w:marLeft w:val="547"/>
          <w:marRight w:val="0"/>
          <w:marTop w:val="240"/>
          <w:marBottom w:val="0"/>
          <w:divBdr>
            <w:top w:val="none" w:sz="0" w:space="0" w:color="auto"/>
            <w:left w:val="none" w:sz="0" w:space="0" w:color="auto"/>
            <w:bottom w:val="none" w:sz="0" w:space="0" w:color="auto"/>
            <w:right w:val="none" w:sz="0" w:space="0" w:color="auto"/>
          </w:divBdr>
        </w:div>
        <w:div w:id="1390573104">
          <w:marLeft w:val="547"/>
          <w:marRight w:val="0"/>
          <w:marTop w:val="240"/>
          <w:marBottom w:val="0"/>
          <w:divBdr>
            <w:top w:val="none" w:sz="0" w:space="0" w:color="auto"/>
            <w:left w:val="none" w:sz="0" w:space="0" w:color="auto"/>
            <w:bottom w:val="none" w:sz="0" w:space="0" w:color="auto"/>
            <w:right w:val="none" w:sz="0" w:space="0" w:color="auto"/>
          </w:divBdr>
        </w:div>
        <w:div w:id="1538201820">
          <w:marLeft w:val="547"/>
          <w:marRight w:val="0"/>
          <w:marTop w:val="240"/>
          <w:marBottom w:val="0"/>
          <w:divBdr>
            <w:top w:val="none" w:sz="0" w:space="0" w:color="auto"/>
            <w:left w:val="none" w:sz="0" w:space="0" w:color="auto"/>
            <w:bottom w:val="none" w:sz="0" w:space="0" w:color="auto"/>
            <w:right w:val="none" w:sz="0" w:space="0" w:color="auto"/>
          </w:divBdr>
        </w:div>
      </w:divsChild>
    </w:div>
    <w:div w:id="1759253391">
      <w:bodyDiv w:val="1"/>
      <w:marLeft w:val="0"/>
      <w:marRight w:val="0"/>
      <w:marTop w:val="0"/>
      <w:marBottom w:val="0"/>
      <w:divBdr>
        <w:top w:val="none" w:sz="0" w:space="0" w:color="auto"/>
        <w:left w:val="none" w:sz="0" w:space="0" w:color="auto"/>
        <w:bottom w:val="none" w:sz="0" w:space="0" w:color="auto"/>
        <w:right w:val="none" w:sz="0" w:space="0" w:color="auto"/>
      </w:divBdr>
    </w:div>
    <w:div w:id="1782455292">
      <w:bodyDiv w:val="1"/>
      <w:marLeft w:val="0"/>
      <w:marRight w:val="0"/>
      <w:marTop w:val="0"/>
      <w:marBottom w:val="0"/>
      <w:divBdr>
        <w:top w:val="none" w:sz="0" w:space="0" w:color="auto"/>
        <w:left w:val="none" w:sz="0" w:space="0" w:color="auto"/>
        <w:bottom w:val="none" w:sz="0" w:space="0" w:color="auto"/>
        <w:right w:val="none" w:sz="0" w:space="0" w:color="auto"/>
      </w:divBdr>
    </w:div>
    <w:div w:id="1794784036">
      <w:bodyDiv w:val="1"/>
      <w:marLeft w:val="0"/>
      <w:marRight w:val="0"/>
      <w:marTop w:val="0"/>
      <w:marBottom w:val="0"/>
      <w:divBdr>
        <w:top w:val="none" w:sz="0" w:space="0" w:color="auto"/>
        <w:left w:val="none" w:sz="0" w:space="0" w:color="auto"/>
        <w:bottom w:val="none" w:sz="0" w:space="0" w:color="auto"/>
        <w:right w:val="none" w:sz="0" w:space="0" w:color="auto"/>
      </w:divBdr>
    </w:div>
    <w:div w:id="1804736598">
      <w:bodyDiv w:val="1"/>
      <w:marLeft w:val="0"/>
      <w:marRight w:val="0"/>
      <w:marTop w:val="0"/>
      <w:marBottom w:val="0"/>
      <w:divBdr>
        <w:top w:val="none" w:sz="0" w:space="0" w:color="auto"/>
        <w:left w:val="none" w:sz="0" w:space="0" w:color="auto"/>
        <w:bottom w:val="none" w:sz="0" w:space="0" w:color="auto"/>
        <w:right w:val="none" w:sz="0" w:space="0" w:color="auto"/>
      </w:divBdr>
    </w:div>
    <w:div w:id="1805809443">
      <w:bodyDiv w:val="1"/>
      <w:marLeft w:val="0"/>
      <w:marRight w:val="0"/>
      <w:marTop w:val="0"/>
      <w:marBottom w:val="0"/>
      <w:divBdr>
        <w:top w:val="none" w:sz="0" w:space="0" w:color="auto"/>
        <w:left w:val="none" w:sz="0" w:space="0" w:color="auto"/>
        <w:bottom w:val="none" w:sz="0" w:space="0" w:color="auto"/>
        <w:right w:val="none" w:sz="0" w:space="0" w:color="auto"/>
      </w:divBdr>
    </w:div>
    <w:div w:id="1818719415">
      <w:bodyDiv w:val="1"/>
      <w:marLeft w:val="0"/>
      <w:marRight w:val="0"/>
      <w:marTop w:val="0"/>
      <w:marBottom w:val="0"/>
      <w:divBdr>
        <w:top w:val="none" w:sz="0" w:space="0" w:color="auto"/>
        <w:left w:val="none" w:sz="0" w:space="0" w:color="auto"/>
        <w:bottom w:val="none" w:sz="0" w:space="0" w:color="auto"/>
        <w:right w:val="none" w:sz="0" w:space="0" w:color="auto"/>
      </w:divBdr>
    </w:div>
    <w:div w:id="1819682536">
      <w:bodyDiv w:val="1"/>
      <w:marLeft w:val="0"/>
      <w:marRight w:val="0"/>
      <w:marTop w:val="0"/>
      <w:marBottom w:val="0"/>
      <w:divBdr>
        <w:top w:val="none" w:sz="0" w:space="0" w:color="auto"/>
        <w:left w:val="none" w:sz="0" w:space="0" w:color="auto"/>
        <w:bottom w:val="none" w:sz="0" w:space="0" w:color="auto"/>
        <w:right w:val="none" w:sz="0" w:space="0" w:color="auto"/>
      </w:divBdr>
      <w:divsChild>
        <w:div w:id="1127550477">
          <w:marLeft w:val="144"/>
          <w:marRight w:val="0"/>
          <w:marTop w:val="360"/>
          <w:marBottom w:val="0"/>
          <w:divBdr>
            <w:top w:val="none" w:sz="0" w:space="0" w:color="auto"/>
            <w:left w:val="none" w:sz="0" w:space="0" w:color="auto"/>
            <w:bottom w:val="none" w:sz="0" w:space="0" w:color="auto"/>
            <w:right w:val="none" w:sz="0" w:space="0" w:color="auto"/>
          </w:divBdr>
        </w:div>
        <w:div w:id="1631864336">
          <w:marLeft w:val="547"/>
          <w:marRight w:val="0"/>
          <w:marTop w:val="120"/>
          <w:marBottom w:val="0"/>
          <w:divBdr>
            <w:top w:val="none" w:sz="0" w:space="0" w:color="auto"/>
            <w:left w:val="none" w:sz="0" w:space="0" w:color="auto"/>
            <w:bottom w:val="none" w:sz="0" w:space="0" w:color="auto"/>
            <w:right w:val="none" w:sz="0" w:space="0" w:color="auto"/>
          </w:divBdr>
        </w:div>
        <w:div w:id="1835603862">
          <w:marLeft w:val="547"/>
          <w:marRight w:val="0"/>
          <w:marTop w:val="120"/>
          <w:marBottom w:val="0"/>
          <w:divBdr>
            <w:top w:val="none" w:sz="0" w:space="0" w:color="auto"/>
            <w:left w:val="none" w:sz="0" w:space="0" w:color="auto"/>
            <w:bottom w:val="none" w:sz="0" w:space="0" w:color="auto"/>
            <w:right w:val="none" w:sz="0" w:space="0" w:color="auto"/>
          </w:divBdr>
        </w:div>
      </w:divsChild>
    </w:div>
    <w:div w:id="1822886787">
      <w:bodyDiv w:val="1"/>
      <w:marLeft w:val="0"/>
      <w:marRight w:val="0"/>
      <w:marTop w:val="0"/>
      <w:marBottom w:val="0"/>
      <w:divBdr>
        <w:top w:val="none" w:sz="0" w:space="0" w:color="auto"/>
        <w:left w:val="none" w:sz="0" w:space="0" w:color="auto"/>
        <w:bottom w:val="none" w:sz="0" w:space="0" w:color="auto"/>
        <w:right w:val="none" w:sz="0" w:space="0" w:color="auto"/>
      </w:divBdr>
      <w:divsChild>
        <w:div w:id="108361252">
          <w:marLeft w:val="547"/>
          <w:marRight w:val="0"/>
          <w:marTop w:val="120"/>
          <w:marBottom w:val="0"/>
          <w:divBdr>
            <w:top w:val="none" w:sz="0" w:space="0" w:color="auto"/>
            <w:left w:val="none" w:sz="0" w:space="0" w:color="auto"/>
            <w:bottom w:val="none" w:sz="0" w:space="0" w:color="auto"/>
            <w:right w:val="none" w:sz="0" w:space="0" w:color="auto"/>
          </w:divBdr>
        </w:div>
        <w:div w:id="647593922">
          <w:marLeft w:val="547"/>
          <w:marRight w:val="0"/>
          <w:marTop w:val="120"/>
          <w:marBottom w:val="0"/>
          <w:divBdr>
            <w:top w:val="none" w:sz="0" w:space="0" w:color="auto"/>
            <w:left w:val="none" w:sz="0" w:space="0" w:color="auto"/>
            <w:bottom w:val="none" w:sz="0" w:space="0" w:color="auto"/>
            <w:right w:val="none" w:sz="0" w:space="0" w:color="auto"/>
          </w:divBdr>
        </w:div>
        <w:div w:id="950211669">
          <w:marLeft w:val="547"/>
          <w:marRight w:val="0"/>
          <w:marTop w:val="120"/>
          <w:marBottom w:val="0"/>
          <w:divBdr>
            <w:top w:val="none" w:sz="0" w:space="0" w:color="auto"/>
            <w:left w:val="none" w:sz="0" w:space="0" w:color="auto"/>
            <w:bottom w:val="none" w:sz="0" w:space="0" w:color="auto"/>
            <w:right w:val="none" w:sz="0" w:space="0" w:color="auto"/>
          </w:divBdr>
        </w:div>
      </w:divsChild>
    </w:div>
    <w:div w:id="1834688060">
      <w:bodyDiv w:val="1"/>
      <w:marLeft w:val="0"/>
      <w:marRight w:val="0"/>
      <w:marTop w:val="0"/>
      <w:marBottom w:val="0"/>
      <w:divBdr>
        <w:top w:val="none" w:sz="0" w:space="0" w:color="auto"/>
        <w:left w:val="none" w:sz="0" w:space="0" w:color="auto"/>
        <w:bottom w:val="none" w:sz="0" w:space="0" w:color="auto"/>
        <w:right w:val="none" w:sz="0" w:space="0" w:color="auto"/>
      </w:divBdr>
    </w:div>
    <w:div w:id="1861385257">
      <w:bodyDiv w:val="1"/>
      <w:marLeft w:val="0"/>
      <w:marRight w:val="0"/>
      <w:marTop w:val="0"/>
      <w:marBottom w:val="0"/>
      <w:divBdr>
        <w:top w:val="none" w:sz="0" w:space="0" w:color="auto"/>
        <w:left w:val="none" w:sz="0" w:space="0" w:color="auto"/>
        <w:bottom w:val="none" w:sz="0" w:space="0" w:color="auto"/>
        <w:right w:val="none" w:sz="0" w:space="0" w:color="auto"/>
      </w:divBdr>
    </w:div>
    <w:div w:id="1865710353">
      <w:bodyDiv w:val="1"/>
      <w:marLeft w:val="0"/>
      <w:marRight w:val="0"/>
      <w:marTop w:val="0"/>
      <w:marBottom w:val="0"/>
      <w:divBdr>
        <w:top w:val="none" w:sz="0" w:space="0" w:color="auto"/>
        <w:left w:val="none" w:sz="0" w:space="0" w:color="auto"/>
        <w:bottom w:val="none" w:sz="0" w:space="0" w:color="auto"/>
        <w:right w:val="none" w:sz="0" w:space="0" w:color="auto"/>
      </w:divBdr>
    </w:div>
    <w:div w:id="1887057603">
      <w:bodyDiv w:val="1"/>
      <w:marLeft w:val="0"/>
      <w:marRight w:val="0"/>
      <w:marTop w:val="0"/>
      <w:marBottom w:val="0"/>
      <w:divBdr>
        <w:top w:val="none" w:sz="0" w:space="0" w:color="auto"/>
        <w:left w:val="none" w:sz="0" w:space="0" w:color="auto"/>
        <w:bottom w:val="none" w:sz="0" w:space="0" w:color="auto"/>
        <w:right w:val="none" w:sz="0" w:space="0" w:color="auto"/>
      </w:divBdr>
    </w:div>
    <w:div w:id="1892158093">
      <w:bodyDiv w:val="1"/>
      <w:marLeft w:val="0"/>
      <w:marRight w:val="0"/>
      <w:marTop w:val="0"/>
      <w:marBottom w:val="0"/>
      <w:divBdr>
        <w:top w:val="none" w:sz="0" w:space="0" w:color="auto"/>
        <w:left w:val="none" w:sz="0" w:space="0" w:color="auto"/>
        <w:bottom w:val="none" w:sz="0" w:space="0" w:color="auto"/>
        <w:right w:val="none" w:sz="0" w:space="0" w:color="auto"/>
      </w:divBdr>
    </w:div>
    <w:div w:id="1896618039">
      <w:bodyDiv w:val="1"/>
      <w:marLeft w:val="0"/>
      <w:marRight w:val="0"/>
      <w:marTop w:val="0"/>
      <w:marBottom w:val="0"/>
      <w:divBdr>
        <w:top w:val="none" w:sz="0" w:space="0" w:color="auto"/>
        <w:left w:val="none" w:sz="0" w:space="0" w:color="auto"/>
        <w:bottom w:val="none" w:sz="0" w:space="0" w:color="auto"/>
        <w:right w:val="none" w:sz="0" w:space="0" w:color="auto"/>
      </w:divBdr>
    </w:div>
    <w:div w:id="1910113710">
      <w:bodyDiv w:val="1"/>
      <w:marLeft w:val="0"/>
      <w:marRight w:val="0"/>
      <w:marTop w:val="0"/>
      <w:marBottom w:val="0"/>
      <w:divBdr>
        <w:top w:val="none" w:sz="0" w:space="0" w:color="auto"/>
        <w:left w:val="none" w:sz="0" w:space="0" w:color="auto"/>
        <w:bottom w:val="none" w:sz="0" w:space="0" w:color="auto"/>
        <w:right w:val="none" w:sz="0" w:space="0" w:color="auto"/>
      </w:divBdr>
      <w:divsChild>
        <w:div w:id="4016489">
          <w:marLeft w:val="547"/>
          <w:marRight w:val="0"/>
          <w:marTop w:val="0"/>
          <w:marBottom w:val="120"/>
          <w:divBdr>
            <w:top w:val="none" w:sz="0" w:space="0" w:color="auto"/>
            <w:left w:val="none" w:sz="0" w:space="0" w:color="auto"/>
            <w:bottom w:val="none" w:sz="0" w:space="0" w:color="auto"/>
            <w:right w:val="none" w:sz="0" w:space="0" w:color="auto"/>
          </w:divBdr>
        </w:div>
        <w:div w:id="524712525">
          <w:marLeft w:val="547"/>
          <w:marRight w:val="0"/>
          <w:marTop w:val="0"/>
          <w:marBottom w:val="120"/>
          <w:divBdr>
            <w:top w:val="none" w:sz="0" w:space="0" w:color="auto"/>
            <w:left w:val="none" w:sz="0" w:space="0" w:color="auto"/>
            <w:bottom w:val="none" w:sz="0" w:space="0" w:color="auto"/>
            <w:right w:val="none" w:sz="0" w:space="0" w:color="auto"/>
          </w:divBdr>
        </w:div>
      </w:divsChild>
    </w:div>
    <w:div w:id="1914393399">
      <w:bodyDiv w:val="1"/>
      <w:marLeft w:val="0"/>
      <w:marRight w:val="0"/>
      <w:marTop w:val="0"/>
      <w:marBottom w:val="0"/>
      <w:divBdr>
        <w:top w:val="none" w:sz="0" w:space="0" w:color="auto"/>
        <w:left w:val="none" w:sz="0" w:space="0" w:color="auto"/>
        <w:bottom w:val="none" w:sz="0" w:space="0" w:color="auto"/>
        <w:right w:val="none" w:sz="0" w:space="0" w:color="auto"/>
      </w:divBdr>
      <w:divsChild>
        <w:div w:id="1648319884">
          <w:marLeft w:val="446"/>
          <w:marRight w:val="0"/>
          <w:marTop w:val="120"/>
          <w:marBottom w:val="0"/>
          <w:divBdr>
            <w:top w:val="none" w:sz="0" w:space="0" w:color="auto"/>
            <w:left w:val="none" w:sz="0" w:space="0" w:color="auto"/>
            <w:bottom w:val="none" w:sz="0" w:space="0" w:color="auto"/>
            <w:right w:val="none" w:sz="0" w:space="0" w:color="auto"/>
          </w:divBdr>
        </w:div>
      </w:divsChild>
    </w:div>
    <w:div w:id="1917786788">
      <w:bodyDiv w:val="1"/>
      <w:marLeft w:val="0"/>
      <w:marRight w:val="0"/>
      <w:marTop w:val="0"/>
      <w:marBottom w:val="0"/>
      <w:divBdr>
        <w:top w:val="none" w:sz="0" w:space="0" w:color="auto"/>
        <w:left w:val="none" w:sz="0" w:space="0" w:color="auto"/>
        <w:bottom w:val="none" w:sz="0" w:space="0" w:color="auto"/>
        <w:right w:val="none" w:sz="0" w:space="0" w:color="auto"/>
      </w:divBdr>
    </w:div>
    <w:div w:id="1918245210">
      <w:bodyDiv w:val="1"/>
      <w:marLeft w:val="0"/>
      <w:marRight w:val="0"/>
      <w:marTop w:val="0"/>
      <w:marBottom w:val="0"/>
      <w:divBdr>
        <w:top w:val="none" w:sz="0" w:space="0" w:color="auto"/>
        <w:left w:val="none" w:sz="0" w:space="0" w:color="auto"/>
        <w:bottom w:val="none" w:sz="0" w:space="0" w:color="auto"/>
        <w:right w:val="none" w:sz="0" w:space="0" w:color="auto"/>
      </w:divBdr>
    </w:div>
    <w:div w:id="1945189944">
      <w:bodyDiv w:val="1"/>
      <w:marLeft w:val="0"/>
      <w:marRight w:val="0"/>
      <w:marTop w:val="0"/>
      <w:marBottom w:val="0"/>
      <w:divBdr>
        <w:top w:val="none" w:sz="0" w:space="0" w:color="auto"/>
        <w:left w:val="none" w:sz="0" w:space="0" w:color="auto"/>
        <w:bottom w:val="none" w:sz="0" w:space="0" w:color="auto"/>
        <w:right w:val="none" w:sz="0" w:space="0" w:color="auto"/>
      </w:divBdr>
      <w:divsChild>
        <w:div w:id="405034443">
          <w:marLeft w:val="547"/>
          <w:marRight w:val="0"/>
          <w:marTop w:val="0"/>
          <w:marBottom w:val="240"/>
          <w:divBdr>
            <w:top w:val="none" w:sz="0" w:space="0" w:color="auto"/>
            <w:left w:val="none" w:sz="0" w:space="0" w:color="auto"/>
            <w:bottom w:val="none" w:sz="0" w:space="0" w:color="auto"/>
            <w:right w:val="none" w:sz="0" w:space="0" w:color="auto"/>
          </w:divBdr>
        </w:div>
        <w:div w:id="585070430">
          <w:marLeft w:val="907"/>
          <w:marRight w:val="0"/>
          <w:marTop w:val="0"/>
          <w:marBottom w:val="240"/>
          <w:divBdr>
            <w:top w:val="none" w:sz="0" w:space="0" w:color="auto"/>
            <w:left w:val="none" w:sz="0" w:space="0" w:color="auto"/>
            <w:bottom w:val="none" w:sz="0" w:space="0" w:color="auto"/>
            <w:right w:val="none" w:sz="0" w:space="0" w:color="auto"/>
          </w:divBdr>
        </w:div>
        <w:div w:id="739137099">
          <w:marLeft w:val="907"/>
          <w:marRight w:val="0"/>
          <w:marTop w:val="0"/>
          <w:marBottom w:val="240"/>
          <w:divBdr>
            <w:top w:val="none" w:sz="0" w:space="0" w:color="auto"/>
            <w:left w:val="none" w:sz="0" w:space="0" w:color="auto"/>
            <w:bottom w:val="none" w:sz="0" w:space="0" w:color="auto"/>
            <w:right w:val="none" w:sz="0" w:space="0" w:color="auto"/>
          </w:divBdr>
        </w:div>
        <w:div w:id="2009089088">
          <w:marLeft w:val="907"/>
          <w:marRight w:val="0"/>
          <w:marTop w:val="0"/>
          <w:marBottom w:val="240"/>
          <w:divBdr>
            <w:top w:val="none" w:sz="0" w:space="0" w:color="auto"/>
            <w:left w:val="none" w:sz="0" w:space="0" w:color="auto"/>
            <w:bottom w:val="none" w:sz="0" w:space="0" w:color="auto"/>
            <w:right w:val="none" w:sz="0" w:space="0" w:color="auto"/>
          </w:divBdr>
        </w:div>
        <w:div w:id="2030986944">
          <w:marLeft w:val="547"/>
          <w:marRight w:val="0"/>
          <w:marTop w:val="0"/>
          <w:marBottom w:val="240"/>
          <w:divBdr>
            <w:top w:val="none" w:sz="0" w:space="0" w:color="auto"/>
            <w:left w:val="none" w:sz="0" w:space="0" w:color="auto"/>
            <w:bottom w:val="none" w:sz="0" w:space="0" w:color="auto"/>
            <w:right w:val="none" w:sz="0" w:space="0" w:color="auto"/>
          </w:divBdr>
        </w:div>
      </w:divsChild>
    </w:div>
    <w:div w:id="1950311991">
      <w:bodyDiv w:val="1"/>
      <w:marLeft w:val="0"/>
      <w:marRight w:val="0"/>
      <w:marTop w:val="0"/>
      <w:marBottom w:val="0"/>
      <w:divBdr>
        <w:top w:val="none" w:sz="0" w:space="0" w:color="auto"/>
        <w:left w:val="none" w:sz="0" w:space="0" w:color="auto"/>
        <w:bottom w:val="none" w:sz="0" w:space="0" w:color="auto"/>
        <w:right w:val="none" w:sz="0" w:space="0" w:color="auto"/>
      </w:divBdr>
    </w:div>
    <w:div w:id="1965309097">
      <w:bodyDiv w:val="1"/>
      <w:marLeft w:val="0"/>
      <w:marRight w:val="0"/>
      <w:marTop w:val="0"/>
      <w:marBottom w:val="0"/>
      <w:divBdr>
        <w:top w:val="none" w:sz="0" w:space="0" w:color="auto"/>
        <w:left w:val="none" w:sz="0" w:space="0" w:color="auto"/>
        <w:bottom w:val="none" w:sz="0" w:space="0" w:color="auto"/>
        <w:right w:val="none" w:sz="0" w:space="0" w:color="auto"/>
      </w:divBdr>
    </w:div>
    <w:div w:id="1966884215">
      <w:bodyDiv w:val="1"/>
      <w:marLeft w:val="0"/>
      <w:marRight w:val="0"/>
      <w:marTop w:val="0"/>
      <w:marBottom w:val="0"/>
      <w:divBdr>
        <w:top w:val="none" w:sz="0" w:space="0" w:color="auto"/>
        <w:left w:val="none" w:sz="0" w:space="0" w:color="auto"/>
        <w:bottom w:val="none" w:sz="0" w:space="0" w:color="auto"/>
        <w:right w:val="none" w:sz="0" w:space="0" w:color="auto"/>
      </w:divBdr>
    </w:div>
    <w:div w:id="1976373708">
      <w:bodyDiv w:val="1"/>
      <w:marLeft w:val="0"/>
      <w:marRight w:val="0"/>
      <w:marTop w:val="0"/>
      <w:marBottom w:val="0"/>
      <w:divBdr>
        <w:top w:val="none" w:sz="0" w:space="0" w:color="auto"/>
        <w:left w:val="none" w:sz="0" w:space="0" w:color="auto"/>
        <w:bottom w:val="none" w:sz="0" w:space="0" w:color="auto"/>
        <w:right w:val="none" w:sz="0" w:space="0" w:color="auto"/>
      </w:divBdr>
    </w:div>
    <w:div w:id="2001958786">
      <w:bodyDiv w:val="1"/>
      <w:marLeft w:val="0"/>
      <w:marRight w:val="0"/>
      <w:marTop w:val="0"/>
      <w:marBottom w:val="0"/>
      <w:divBdr>
        <w:top w:val="none" w:sz="0" w:space="0" w:color="auto"/>
        <w:left w:val="none" w:sz="0" w:space="0" w:color="auto"/>
        <w:bottom w:val="none" w:sz="0" w:space="0" w:color="auto"/>
        <w:right w:val="none" w:sz="0" w:space="0" w:color="auto"/>
      </w:divBdr>
      <w:divsChild>
        <w:div w:id="678697208">
          <w:marLeft w:val="547"/>
          <w:marRight w:val="0"/>
          <w:marTop w:val="0"/>
          <w:marBottom w:val="240"/>
          <w:divBdr>
            <w:top w:val="none" w:sz="0" w:space="0" w:color="auto"/>
            <w:left w:val="none" w:sz="0" w:space="0" w:color="auto"/>
            <w:bottom w:val="none" w:sz="0" w:space="0" w:color="auto"/>
            <w:right w:val="none" w:sz="0" w:space="0" w:color="auto"/>
          </w:divBdr>
        </w:div>
        <w:div w:id="1111702974">
          <w:marLeft w:val="547"/>
          <w:marRight w:val="0"/>
          <w:marTop w:val="0"/>
          <w:marBottom w:val="240"/>
          <w:divBdr>
            <w:top w:val="none" w:sz="0" w:space="0" w:color="auto"/>
            <w:left w:val="none" w:sz="0" w:space="0" w:color="auto"/>
            <w:bottom w:val="none" w:sz="0" w:space="0" w:color="auto"/>
            <w:right w:val="none" w:sz="0" w:space="0" w:color="auto"/>
          </w:divBdr>
        </w:div>
        <w:div w:id="2075200974">
          <w:marLeft w:val="547"/>
          <w:marRight w:val="0"/>
          <w:marTop w:val="0"/>
          <w:marBottom w:val="240"/>
          <w:divBdr>
            <w:top w:val="none" w:sz="0" w:space="0" w:color="auto"/>
            <w:left w:val="none" w:sz="0" w:space="0" w:color="auto"/>
            <w:bottom w:val="none" w:sz="0" w:space="0" w:color="auto"/>
            <w:right w:val="none" w:sz="0" w:space="0" w:color="auto"/>
          </w:divBdr>
        </w:div>
      </w:divsChild>
    </w:div>
    <w:div w:id="2006665904">
      <w:bodyDiv w:val="1"/>
      <w:marLeft w:val="0"/>
      <w:marRight w:val="0"/>
      <w:marTop w:val="0"/>
      <w:marBottom w:val="0"/>
      <w:divBdr>
        <w:top w:val="none" w:sz="0" w:space="0" w:color="auto"/>
        <w:left w:val="none" w:sz="0" w:space="0" w:color="auto"/>
        <w:bottom w:val="none" w:sz="0" w:space="0" w:color="auto"/>
        <w:right w:val="none" w:sz="0" w:space="0" w:color="auto"/>
      </w:divBdr>
    </w:div>
    <w:div w:id="2010518092">
      <w:bodyDiv w:val="1"/>
      <w:marLeft w:val="0"/>
      <w:marRight w:val="0"/>
      <w:marTop w:val="0"/>
      <w:marBottom w:val="0"/>
      <w:divBdr>
        <w:top w:val="none" w:sz="0" w:space="0" w:color="auto"/>
        <w:left w:val="none" w:sz="0" w:space="0" w:color="auto"/>
        <w:bottom w:val="none" w:sz="0" w:space="0" w:color="auto"/>
        <w:right w:val="none" w:sz="0" w:space="0" w:color="auto"/>
      </w:divBdr>
    </w:div>
    <w:div w:id="2023119049">
      <w:bodyDiv w:val="1"/>
      <w:marLeft w:val="0"/>
      <w:marRight w:val="0"/>
      <w:marTop w:val="0"/>
      <w:marBottom w:val="0"/>
      <w:divBdr>
        <w:top w:val="none" w:sz="0" w:space="0" w:color="auto"/>
        <w:left w:val="none" w:sz="0" w:space="0" w:color="auto"/>
        <w:bottom w:val="none" w:sz="0" w:space="0" w:color="auto"/>
        <w:right w:val="none" w:sz="0" w:space="0" w:color="auto"/>
      </w:divBdr>
    </w:div>
    <w:div w:id="2033458351">
      <w:bodyDiv w:val="1"/>
      <w:marLeft w:val="0"/>
      <w:marRight w:val="0"/>
      <w:marTop w:val="0"/>
      <w:marBottom w:val="0"/>
      <w:divBdr>
        <w:top w:val="none" w:sz="0" w:space="0" w:color="auto"/>
        <w:left w:val="none" w:sz="0" w:space="0" w:color="auto"/>
        <w:bottom w:val="none" w:sz="0" w:space="0" w:color="auto"/>
        <w:right w:val="none" w:sz="0" w:space="0" w:color="auto"/>
      </w:divBdr>
      <w:divsChild>
        <w:div w:id="1187449830">
          <w:marLeft w:val="547"/>
          <w:marRight w:val="0"/>
          <w:marTop w:val="120"/>
          <w:marBottom w:val="0"/>
          <w:divBdr>
            <w:top w:val="none" w:sz="0" w:space="0" w:color="auto"/>
            <w:left w:val="none" w:sz="0" w:space="0" w:color="auto"/>
            <w:bottom w:val="none" w:sz="0" w:space="0" w:color="auto"/>
            <w:right w:val="none" w:sz="0" w:space="0" w:color="auto"/>
          </w:divBdr>
        </w:div>
      </w:divsChild>
    </w:div>
    <w:div w:id="2035839170">
      <w:bodyDiv w:val="1"/>
      <w:marLeft w:val="0"/>
      <w:marRight w:val="0"/>
      <w:marTop w:val="0"/>
      <w:marBottom w:val="0"/>
      <w:divBdr>
        <w:top w:val="none" w:sz="0" w:space="0" w:color="auto"/>
        <w:left w:val="none" w:sz="0" w:space="0" w:color="auto"/>
        <w:bottom w:val="none" w:sz="0" w:space="0" w:color="auto"/>
        <w:right w:val="none" w:sz="0" w:space="0" w:color="auto"/>
      </w:divBdr>
      <w:divsChild>
        <w:div w:id="71436501">
          <w:marLeft w:val="1253"/>
          <w:marRight w:val="0"/>
          <w:marTop w:val="0"/>
          <w:marBottom w:val="240"/>
          <w:divBdr>
            <w:top w:val="none" w:sz="0" w:space="0" w:color="auto"/>
            <w:left w:val="none" w:sz="0" w:space="0" w:color="auto"/>
            <w:bottom w:val="none" w:sz="0" w:space="0" w:color="auto"/>
            <w:right w:val="none" w:sz="0" w:space="0" w:color="auto"/>
          </w:divBdr>
        </w:div>
        <w:div w:id="126164180">
          <w:marLeft w:val="907"/>
          <w:marRight w:val="0"/>
          <w:marTop w:val="0"/>
          <w:marBottom w:val="240"/>
          <w:divBdr>
            <w:top w:val="none" w:sz="0" w:space="0" w:color="auto"/>
            <w:left w:val="none" w:sz="0" w:space="0" w:color="auto"/>
            <w:bottom w:val="none" w:sz="0" w:space="0" w:color="auto"/>
            <w:right w:val="none" w:sz="0" w:space="0" w:color="auto"/>
          </w:divBdr>
        </w:div>
        <w:div w:id="331764023">
          <w:marLeft w:val="1253"/>
          <w:marRight w:val="0"/>
          <w:marTop w:val="0"/>
          <w:marBottom w:val="240"/>
          <w:divBdr>
            <w:top w:val="none" w:sz="0" w:space="0" w:color="auto"/>
            <w:left w:val="none" w:sz="0" w:space="0" w:color="auto"/>
            <w:bottom w:val="none" w:sz="0" w:space="0" w:color="auto"/>
            <w:right w:val="none" w:sz="0" w:space="0" w:color="auto"/>
          </w:divBdr>
        </w:div>
        <w:div w:id="631179883">
          <w:marLeft w:val="907"/>
          <w:marRight w:val="0"/>
          <w:marTop w:val="0"/>
          <w:marBottom w:val="240"/>
          <w:divBdr>
            <w:top w:val="none" w:sz="0" w:space="0" w:color="auto"/>
            <w:left w:val="none" w:sz="0" w:space="0" w:color="auto"/>
            <w:bottom w:val="none" w:sz="0" w:space="0" w:color="auto"/>
            <w:right w:val="none" w:sz="0" w:space="0" w:color="auto"/>
          </w:divBdr>
        </w:div>
        <w:div w:id="1264611469">
          <w:marLeft w:val="1253"/>
          <w:marRight w:val="0"/>
          <w:marTop w:val="0"/>
          <w:marBottom w:val="240"/>
          <w:divBdr>
            <w:top w:val="none" w:sz="0" w:space="0" w:color="auto"/>
            <w:left w:val="none" w:sz="0" w:space="0" w:color="auto"/>
            <w:bottom w:val="none" w:sz="0" w:space="0" w:color="auto"/>
            <w:right w:val="none" w:sz="0" w:space="0" w:color="auto"/>
          </w:divBdr>
        </w:div>
        <w:div w:id="1469206921">
          <w:marLeft w:val="547"/>
          <w:marRight w:val="0"/>
          <w:marTop w:val="0"/>
          <w:marBottom w:val="240"/>
          <w:divBdr>
            <w:top w:val="none" w:sz="0" w:space="0" w:color="auto"/>
            <w:left w:val="none" w:sz="0" w:space="0" w:color="auto"/>
            <w:bottom w:val="none" w:sz="0" w:space="0" w:color="auto"/>
            <w:right w:val="none" w:sz="0" w:space="0" w:color="auto"/>
          </w:divBdr>
        </w:div>
        <w:div w:id="1852917528">
          <w:marLeft w:val="547"/>
          <w:marRight w:val="0"/>
          <w:marTop w:val="0"/>
          <w:marBottom w:val="240"/>
          <w:divBdr>
            <w:top w:val="none" w:sz="0" w:space="0" w:color="auto"/>
            <w:left w:val="none" w:sz="0" w:space="0" w:color="auto"/>
            <w:bottom w:val="none" w:sz="0" w:space="0" w:color="auto"/>
            <w:right w:val="none" w:sz="0" w:space="0" w:color="auto"/>
          </w:divBdr>
        </w:div>
        <w:div w:id="1915121524">
          <w:marLeft w:val="907"/>
          <w:marRight w:val="0"/>
          <w:marTop w:val="0"/>
          <w:marBottom w:val="240"/>
          <w:divBdr>
            <w:top w:val="none" w:sz="0" w:space="0" w:color="auto"/>
            <w:left w:val="none" w:sz="0" w:space="0" w:color="auto"/>
            <w:bottom w:val="none" w:sz="0" w:space="0" w:color="auto"/>
            <w:right w:val="none" w:sz="0" w:space="0" w:color="auto"/>
          </w:divBdr>
        </w:div>
        <w:div w:id="2110614337">
          <w:marLeft w:val="1253"/>
          <w:marRight w:val="0"/>
          <w:marTop w:val="0"/>
          <w:marBottom w:val="240"/>
          <w:divBdr>
            <w:top w:val="none" w:sz="0" w:space="0" w:color="auto"/>
            <w:left w:val="none" w:sz="0" w:space="0" w:color="auto"/>
            <w:bottom w:val="none" w:sz="0" w:space="0" w:color="auto"/>
            <w:right w:val="none" w:sz="0" w:space="0" w:color="auto"/>
          </w:divBdr>
        </w:div>
      </w:divsChild>
    </w:div>
    <w:div w:id="2039701632">
      <w:bodyDiv w:val="1"/>
      <w:marLeft w:val="0"/>
      <w:marRight w:val="0"/>
      <w:marTop w:val="0"/>
      <w:marBottom w:val="0"/>
      <w:divBdr>
        <w:top w:val="none" w:sz="0" w:space="0" w:color="auto"/>
        <w:left w:val="none" w:sz="0" w:space="0" w:color="auto"/>
        <w:bottom w:val="none" w:sz="0" w:space="0" w:color="auto"/>
        <w:right w:val="none" w:sz="0" w:space="0" w:color="auto"/>
      </w:divBdr>
    </w:div>
    <w:div w:id="2041659092">
      <w:bodyDiv w:val="1"/>
      <w:marLeft w:val="0"/>
      <w:marRight w:val="0"/>
      <w:marTop w:val="0"/>
      <w:marBottom w:val="0"/>
      <w:divBdr>
        <w:top w:val="none" w:sz="0" w:space="0" w:color="auto"/>
        <w:left w:val="none" w:sz="0" w:space="0" w:color="auto"/>
        <w:bottom w:val="none" w:sz="0" w:space="0" w:color="auto"/>
        <w:right w:val="none" w:sz="0" w:space="0" w:color="auto"/>
      </w:divBdr>
    </w:div>
    <w:div w:id="2065256322">
      <w:bodyDiv w:val="1"/>
      <w:marLeft w:val="0"/>
      <w:marRight w:val="0"/>
      <w:marTop w:val="0"/>
      <w:marBottom w:val="0"/>
      <w:divBdr>
        <w:top w:val="none" w:sz="0" w:space="0" w:color="auto"/>
        <w:left w:val="none" w:sz="0" w:space="0" w:color="auto"/>
        <w:bottom w:val="none" w:sz="0" w:space="0" w:color="auto"/>
        <w:right w:val="none" w:sz="0" w:space="0" w:color="auto"/>
      </w:divBdr>
      <w:divsChild>
        <w:div w:id="153690361">
          <w:marLeft w:val="907"/>
          <w:marRight w:val="0"/>
          <w:marTop w:val="0"/>
          <w:marBottom w:val="120"/>
          <w:divBdr>
            <w:top w:val="none" w:sz="0" w:space="0" w:color="auto"/>
            <w:left w:val="none" w:sz="0" w:space="0" w:color="auto"/>
            <w:bottom w:val="none" w:sz="0" w:space="0" w:color="auto"/>
            <w:right w:val="none" w:sz="0" w:space="0" w:color="auto"/>
          </w:divBdr>
        </w:div>
        <w:div w:id="1093743060">
          <w:marLeft w:val="907"/>
          <w:marRight w:val="0"/>
          <w:marTop w:val="0"/>
          <w:marBottom w:val="120"/>
          <w:divBdr>
            <w:top w:val="none" w:sz="0" w:space="0" w:color="auto"/>
            <w:left w:val="none" w:sz="0" w:space="0" w:color="auto"/>
            <w:bottom w:val="none" w:sz="0" w:space="0" w:color="auto"/>
            <w:right w:val="none" w:sz="0" w:space="0" w:color="auto"/>
          </w:divBdr>
        </w:div>
        <w:div w:id="1220286039">
          <w:marLeft w:val="547"/>
          <w:marRight w:val="0"/>
          <w:marTop w:val="0"/>
          <w:marBottom w:val="120"/>
          <w:divBdr>
            <w:top w:val="none" w:sz="0" w:space="0" w:color="auto"/>
            <w:left w:val="none" w:sz="0" w:space="0" w:color="auto"/>
            <w:bottom w:val="none" w:sz="0" w:space="0" w:color="auto"/>
            <w:right w:val="none" w:sz="0" w:space="0" w:color="auto"/>
          </w:divBdr>
        </w:div>
      </w:divsChild>
    </w:div>
    <w:div w:id="2071423295">
      <w:bodyDiv w:val="1"/>
      <w:marLeft w:val="0"/>
      <w:marRight w:val="0"/>
      <w:marTop w:val="0"/>
      <w:marBottom w:val="0"/>
      <w:divBdr>
        <w:top w:val="none" w:sz="0" w:space="0" w:color="auto"/>
        <w:left w:val="none" w:sz="0" w:space="0" w:color="auto"/>
        <w:bottom w:val="none" w:sz="0" w:space="0" w:color="auto"/>
        <w:right w:val="none" w:sz="0" w:space="0" w:color="auto"/>
      </w:divBdr>
    </w:div>
    <w:div w:id="2082171137">
      <w:bodyDiv w:val="1"/>
      <w:marLeft w:val="0"/>
      <w:marRight w:val="0"/>
      <w:marTop w:val="0"/>
      <w:marBottom w:val="0"/>
      <w:divBdr>
        <w:top w:val="none" w:sz="0" w:space="0" w:color="auto"/>
        <w:left w:val="none" w:sz="0" w:space="0" w:color="auto"/>
        <w:bottom w:val="none" w:sz="0" w:space="0" w:color="auto"/>
        <w:right w:val="none" w:sz="0" w:space="0" w:color="auto"/>
      </w:divBdr>
    </w:div>
    <w:div w:id="2108386202">
      <w:bodyDiv w:val="1"/>
      <w:marLeft w:val="0"/>
      <w:marRight w:val="0"/>
      <w:marTop w:val="0"/>
      <w:marBottom w:val="0"/>
      <w:divBdr>
        <w:top w:val="none" w:sz="0" w:space="0" w:color="auto"/>
        <w:left w:val="none" w:sz="0" w:space="0" w:color="auto"/>
        <w:bottom w:val="none" w:sz="0" w:space="0" w:color="auto"/>
        <w:right w:val="none" w:sz="0" w:space="0" w:color="auto"/>
      </w:divBdr>
    </w:div>
    <w:div w:id="21207549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8" Type="http://schemas.openxmlformats.org/officeDocument/2006/relationships/footer" Target="footer2.xml"/><Relationship Id="rId26" Type="http://schemas.openxmlformats.org/officeDocument/2006/relationships/image" Target="media/image10.emf"/><Relationship Id="rId39" Type="http://schemas.openxmlformats.org/officeDocument/2006/relationships/image" Target="media/image23.emf"/><Relationship Id="rId21" Type="http://schemas.openxmlformats.org/officeDocument/2006/relationships/image" Target="media/image5.emf"/><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footer" Target="footer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fontTable" Target="fontTable.xml"/><Relationship Id="rId19" Type="http://schemas.openxmlformats.org/officeDocument/2006/relationships/footer" Target="footer3.xml"/><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footer" Target="footer6.xml"/><Relationship Id="rId8" Type="http://schemas.openxmlformats.org/officeDocument/2006/relationships/endnotes" Target="endnotes.xml"/><Relationship Id="rId3" Type="http://schemas.openxmlformats.org/officeDocument/2006/relationships/numbering" Target="numbering.xml"/><Relationship Id="rId17" Type="http://schemas.openxmlformats.org/officeDocument/2006/relationships/footer" Target="footer1.xm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footer" Target="footer4.xml"/><Relationship Id="rId20" Type="http://schemas.openxmlformats.org/officeDocument/2006/relationships/image" Target="media/image4.emf"/><Relationship Id="rId41"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www.acm.nl/sites/default/files/documents/2020-03/onderzoek-naar-de-vermogenskostenvoet-van-kpn-en-vodafoneziggo_1.pdf" TargetMode="External"/><Relationship Id="rId3" Type="http://schemas.openxmlformats.org/officeDocument/2006/relationships/hyperlink" Target="https://nbg.gov.ge/en/page/georgian-lari-yield-curve" TargetMode="External"/><Relationship Id="rId7" Type="http://schemas.openxmlformats.org/officeDocument/2006/relationships/hyperlink" Target="https://www.fitchratings.com/research/corporate-finance/fitch-affirms-silknet-at-b-outlook-stable-28-01-2025" TargetMode="External"/><Relationship Id="rId2" Type="http://schemas.openxmlformats.org/officeDocument/2006/relationships/hyperlink" Target="https://comcom.ge/uploads/other/9/9651.pdf" TargetMode="External"/><Relationship Id="rId1" Type="http://schemas.openxmlformats.org/officeDocument/2006/relationships/hyperlink" Target="https://comcom.ge/ge/legal-acts/solutions/2022--22-19-306.page" TargetMode="External"/><Relationship Id="rId6" Type="http://schemas.openxmlformats.org/officeDocument/2006/relationships/hyperlink" Target="https://scoperatings.com/ratings-and-research/rating/EN/175842" TargetMode="External"/><Relationship Id="rId5" Type="http://schemas.openxmlformats.org/officeDocument/2006/relationships/hyperlink" Target="https://nbg.gov.ge/en/page/bb-corporate-curve" TargetMode="External"/><Relationship Id="rId10" Type="http://schemas.openxmlformats.org/officeDocument/2006/relationships/hyperlink" Target="https://www.acm.nl/system/files/documents/tbg-beta-and-erp-for-the-heating-companies-in-the-netherlands.pdf" TargetMode="External"/><Relationship Id="rId4" Type="http://schemas.openxmlformats.org/officeDocument/2006/relationships/hyperlink" Target="https://www.libertyglobal.com/liberty-global-acquires-100-of-telenet-following-simplified-squeeze-out/" TargetMode="External"/><Relationship Id="rId9" Type="http://schemas.openxmlformats.org/officeDocument/2006/relationships/hyperlink" Target="https://www.ofcom.org.uk/siteassets/resources/documents/consultations/category-1-10-weeks/185028-promoting-investment-and-competition-in-fibre-networks--wholesale-fixed-telecoms-market-review-2021-26/associated-documents/wftmr-statement-brattle-report.pdf?v=326135" TargetMode="External"/></Relationships>
</file>

<file path=word/theme/theme1.xml><?xml version="1.0" encoding="utf-8"?>
<a:theme xmlns:a="http://schemas.openxmlformats.org/drawingml/2006/main" name="Brattle-2020">
  <a:themeElements>
    <a:clrScheme name="Brattle-2020">
      <a:dk1>
        <a:srgbClr val="000000"/>
      </a:dk1>
      <a:lt1>
        <a:srgbClr val="FFFFFF"/>
      </a:lt1>
      <a:dk2>
        <a:srgbClr val="002B54"/>
      </a:dk2>
      <a:lt2>
        <a:srgbClr val="494F56"/>
      </a:lt2>
      <a:accent1>
        <a:srgbClr val="1B3D6F"/>
      </a:accent1>
      <a:accent2>
        <a:srgbClr val="2297AA"/>
      </a:accent2>
      <a:accent3>
        <a:srgbClr val="37BA95"/>
      </a:accent3>
      <a:accent4>
        <a:srgbClr val="F3BD48"/>
      </a:accent4>
      <a:accent5>
        <a:srgbClr val="F26A25"/>
      </a:accent5>
      <a:accent6>
        <a:srgbClr val="CD3E71"/>
      </a:accent6>
      <a:hlink>
        <a:srgbClr val="2297AA"/>
      </a:hlink>
      <a:folHlink>
        <a:srgbClr val="CD3E7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effectLst/>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Brattle-2020" id="{7A495D76-502B-4BBA-B004-D73D5F05016F}" vid="{413C1F95-AAC5-4904-8814-FAF3694DF9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07B89C-3164-4CF3-B3AA-7E52A6895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16439</Words>
  <Characters>93707</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109927</CharactersWithSpaces>
  <SharedDoc>false</SharedDoc>
  <HLinks>
    <vt:vector size="432" baseType="variant">
      <vt:variant>
        <vt:i4>1441842</vt:i4>
      </vt:variant>
      <vt:variant>
        <vt:i4>377</vt:i4>
      </vt:variant>
      <vt:variant>
        <vt:i4>0</vt:i4>
      </vt:variant>
      <vt:variant>
        <vt:i4>5</vt:i4>
      </vt:variant>
      <vt:variant>
        <vt:lpwstr/>
      </vt:variant>
      <vt:variant>
        <vt:lpwstr>_Toc217060101</vt:lpwstr>
      </vt:variant>
      <vt:variant>
        <vt:i4>1441842</vt:i4>
      </vt:variant>
      <vt:variant>
        <vt:i4>371</vt:i4>
      </vt:variant>
      <vt:variant>
        <vt:i4>0</vt:i4>
      </vt:variant>
      <vt:variant>
        <vt:i4>5</vt:i4>
      </vt:variant>
      <vt:variant>
        <vt:lpwstr/>
      </vt:variant>
      <vt:variant>
        <vt:lpwstr>_Toc217060100</vt:lpwstr>
      </vt:variant>
      <vt:variant>
        <vt:i4>2031667</vt:i4>
      </vt:variant>
      <vt:variant>
        <vt:i4>365</vt:i4>
      </vt:variant>
      <vt:variant>
        <vt:i4>0</vt:i4>
      </vt:variant>
      <vt:variant>
        <vt:i4>5</vt:i4>
      </vt:variant>
      <vt:variant>
        <vt:lpwstr/>
      </vt:variant>
      <vt:variant>
        <vt:lpwstr>_Toc217060099</vt:lpwstr>
      </vt:variant>
      <vt:variant>
        <vt:i4>2031667</vt:i4>
      </vt:variant>
      <vt:variant>
        <vt:i4>359</vt:i4>
      </vt:variant>
      <vt:variant>
        <vt:i4>0</vt:i4>
      </vt:variant>
      <vt:variant>
        <vt:i4>5</vt:i4>
      </vt:variant>
      <vt:variant>
        <vt:lpwstr/>
      </vt:variant>
      <vt:variant>
        <vt:lpwstr>_Toc217060098</vt:lpwstr>
      </vt:variant>
      <vt:variant>
        <vt:i4>2031667</vt:i4>
      </vt:variant>
      <vt:variant>
        <vt:i4>353</vt:i4>
      </vt:variant>
      <vt:variant>
        <vt:i4>0</vt:i4>
      </vt:variant>
      <vt:variant>
        <vt:i4>5</vt:i4>
      </vt:variant>
      <vt:variant>
        <vt:lpwstr/>
      </vt:variant>
      <vt:variant>
        <vt:lpwstr>_Toc217060097</vt:lpwstr>
      </vt:variant>
      <vt:variant>
        <vt:i4>2031667</vt:i4>
      </vt:variant>
      <vt:variant>
        <vt:i4>347</vt:i4>
      </vt:variant>
      <vt:variant>
        <vt:i4>0</vt:i4>
      </vt:variant>
      <vt:variant>
        <vt:i4>5</vt:i4>
      </vt:variant>
      <vt:variant>
        <vt:lpwstr/>
      </vt:variant>
      <vt:variant>
        <vt:lpwstr>_Toc217060096</vt:lpwstr>
      </vt:variant>
      <vt:variant>
        <vt:i4>2031667</vt:i4>
      </vt:variant>
      <vt:variant>
        <vt:i4>341</vt:i4>
      </vt:variant>
      <vt:variant>
        <vt:i4>0</vt:i4>
      </vt:variant>
      <vt:variant>
        <vt:i4>5</vt:i4>
      </vt:variant>
      <vt:variant>
        <vt:lpwstr/>
      </vt:variant>
      <vt:variant>
        <vt:lpwstr>_Toc217060095</vt:lpwstr>
      </vt:variant>
      <vt:variant>
        <vt:i4>2031667</vt:i4>
      </vt:variant>
      <vt:variant>
        <vt:i4>335</vt:i4>
      </vt:variant>
      <vt:variant>
        <vt:i4>0</vt:i4>
      </vt:variant>
      <vt:variant>
        <vt:i4>5</vt:i4>
      </vt:variant>
      <vt:variant>
        <vt:lpwstr/>
      </vt:variant>
      <vt:variant>
        <vt:lpwstr>_Toc217060094</vt:lpwstr>
      </vt:variant>
      <vt:variant>
        <vt:i4>2031667</vt:i4>
      </vt:variant>
      <vt:variant>
        <vt:i4>326</vt:i4>
      </vt:variant>
      <vt:variant>
        <vt:i4>0</vt:i4>
      </vt:variant>
      <vt:variant>
        <vt:i4>5</vt:i4>
      </vt:variant>
      <vt:variant>
        <vt:lpwstr/>
      </vt:variant>
      <vt:variant>
        <vt:lpwstr>_Toc217060093</vt:lpwstr>
      </vt:variant>
      <vt:variant>
        <vt:i4>2031667</vt:i4>
      </vt:variant>
      <vt:variant>
        <vt:i4>320</vt:i4>
      </vt:variant>
      <vt:variant>
        <vt:i4>0</vt:i4>
      </vt:variant>
      <vt:variant>
        <vt:i4>5</vt:i4>
      </vt:variant>
      <vt:variant>
        <vt:lpwstr/>
      </vt:variant>
      <vt:variant>
        <vt:lpwstr>_Toc217060092</vt:lpwstr>
      </vt:variant>
      <vt:variant>
        <vt:i4>2031667</vt:i4>
      </vt:variant>
      <vt:variant>
        <vt:i4>314</vt:i4>
      </vt:variant>
      <vt:variant>
        <vt:i4>0</vt:i4>
      </vt:variant>
      <vt:variant>
        <vt:i4>5</vt:i4>
      </vt:variant>
      <vt:variant>
        <vt:lpwstr/>
      </vt:variant>
      <vt:variant>
        <vt:lpwstr>_Toc217060091</vt:lpwstr>
      </vt:variant>
      <vt:variant>
        <vt:i4>2031667</vt:i4>
      </vt:variant>
      <vt:variant>
        <vt:i4>308</vt:i4>
      </vt:variant>
      <vt:variant>
        <vt:i4>0</vt:i4>
      </vt:variant>
      <vt:variant>
        <vt:i4>5</vt:i4>
      </vt:variant>
      <vt:variant>
        <vt:lpwstr/>
      </vt:variant>
      <vt:variant>
        <vt:lpwstr>_Toc217060090</vt:lpwstr>
      </vt:variant>
      <vt:variant>
        <vt:i4>1966131</vt:i4>
      </vt:variant>
      <vt:variant>
        <vt:i4>302</vt:i4>
      </vt:variant>
      <vt:variant>
        <vt:i4>0</vt:i4>
      </vt:variant>
      <vt:variant>
        <vt:i4>5</vt:i4>
      </vt:variant>
      <vt:variant>
        <vt:lpwstr/>
      </vt:variant>
      <vt:variant>
        <vt:lpwstr>_Toc217060089</vt:lpwstr>
      </vt:variant>
      <vt:variant>
        <vt:i4>1966131</vt:i4>
      </vt:variant>
      <vt:variant>
        <vt:i4>296</vt:i4>
      </vt:variant>
      <vt:variant>
        <vt:i4>0</vt:i4>
      </vt:variant>
      <vt:variant>
        <vt:i4>5</vt:i4>
      </vt:variant>
      <vt:variant>
        <vt:lpwstr/>
      </vt:variant>
      <vt:variant>
        <vt:lpwstr>_Toc217060088</vt:lpwstr>
      </vt:variant>
      <vt:variant>
        <vt:i4>1966131</vt:i4>
      </vt:variant>
      <vt:variant>
        <vt:i4>290</vt:i4>
      </vt:variant>
      <vt:variant>
        <vt:i4>0</vt:i4>
      </vt:variant>
      <vt:variant>
        <vt:i4>5</vt:i4>
      </vt:variant>
      <vt:variant>
        <vt:lpwstr/>
      </vt:variant>
      <vt:variant>
        <vt:lpwstr>_Toc217060087</vt:lpwstr>
      </vt:variant>
      <vt:variant>
        <vt:i4>1966131</vt:i4>
      </vt:variant>
      <vt:variant>
        <vt:i4>284</vt:i4>
      </vt:variant>
      <vt:variant>
        <vt:i4>0</vt:i4>
      </vt:variant>
      <vt:variant>
        <vt:i4>5</vt:i4>
      </vt:variant>
      <vt:variant>
        <vt:lpwstr/>
      </vt:variant>
      <vt:variant>
        <vt:lpwstr>_Toc217060086</vt:lpwstr>
      </vt:variant>
      <vt:variant>
        <vt:i4>1966131</vt:i4>
      </vt:variant>
      <vt:variant>
        <vt:i4>278</vt:i4>
      </vt:variant>
      <vt:variant>
        <vt:i4>0</vt:i4>
      </vt:variant>
      <vt:variant>
        <vt:i4>5</vt:i4>
      </vt:variant>
      <vt:variant>
        <vt:lpwstr/>
      </vt:variant>
      <vt:variant>
        <vt:lpwstr>_Toc217060085</vt:lpwstr>
      </vt:variant>
      <vt:variant>
        <vt:i4>1966131</vt:i4>
      </vt:variant>
      <vt:variant>
        <vt:i4>272</vt:i4>
      </vt:variant>
      <vt:variant>
        <vt:i4>0</vt:i4>
      </vt:variant>
      <vt:variant>
        <vt:i4>5</vt:i4>
      </vt:variant>
      <vt:variant>
        <vt:lpwstr/>
      </vt:variant>
      <vt:variant>
        <vt:lpwstr>_Toc217060084</vt:lpwstr>
      </vt:variant>
      <vt:variant>
        <vt:i4>1966131</vt:i4>
      </vt:variant>
      <vt:variant>
        <vt:i4>266</vt:i4>
      </vt:variant>
      <vt:variant>
        <vt:i4>0</vt:i4>
      </vt:variant>
      <vt:variant>
        <vt:i4>5</vt:i4>
      </vt:variant>
      <vt:variant>
        <vt:lpwstr/>
      </vt:variant>
      <vt:variant>
        <vt:lpwstr>_Toc217060083</vt:lpwstr>
      </vt:variant>
      <vt:variant>
        <vt:i4>1966131</vt:i4>
      </vt:variant>
      <vt:variant>
        <vt:i4>260</vt:i4>
      </vt:variant>
      <vt:variant>
        <vt:i4>0</vt:i4>
      </vt:variant>
      <vt:variant>
        <vt:i4>5</vt:i4>
      </vt:variant>
      <vt:variant>
        <vt:lpwstr/>
      </vt:variant>
      <vt:variant>
        <vt:lpwstr>_Toc217060082</vt:lpwstr>
      </vt:variant>
      <vt:variant>
        <vt:i4>1966131</vt:i4>
      </vt:variant>
      <vt:variant>
        <vt:i4>254</vt:i4>
      </vt:variant>
      <vt:variant>
        <vt:i4>0</vt:i4>
      </vt:variant>
      <vt:variant>
        <vt:i4>5</vt:i4>
      </vt:variant>
      <vt:variant>
        <vt:lpwstr/>
      </vt:variant>
      <vt:variant>
        <vt:lpwstr>_Toc217060081</vt:lpwstr>
      </vt:variant>
      <vt:variant>
        <vt:i4>1966131</vt:i4>
      </vt:variant>
      <vt:variant>
        <vt:i4>248</vt:i4>
      </vt:variant>
      <vt:variant>
        <vt:i4>0</vt:i4>
      </vt:variant>
      <vt:variant>
        <vt:i4>5</vt:i4>
      </vt:variant>
      <vt:variant>
        <vt:lpwstr/>
      </vt:variant>
      <vt:variant>
        <vt:lpwstr>_Toc217060080</vt:lpwstr>
      </vt:variant>
      <vt:variant>
        <vt:i4>1114163</vt:i4>
      </vt:variant>
      <vt:variant>
        <vt:i4>242</vt:i4>
      </vt:variant>
      <vt:variant>
        <vt:i4>0</vt:i4>
      </vt:variant>
      <vt:variant>
        <vt:i4>5</vt:i4>
      </vt:variant>
      <vt:variant>
        <vt:lpwstr/>
      </vt:variant>
      <vt:variant>
        <vt:lpwstr>_Toc217060079</vt:lpwstr>
      </vt:variant>
      <vt:variant>
        <vt:i4>1114163</vt:i4>
      </vt:variant>
      <vt:variant>
        <vt:i4>236</vt:i4>
      </vt:variant>
      <vt:variant>
        <vt:i4>0</vt:i4>
      </vt:variant>
      <vt:variant>
        <vt:i4>5</vt:i4>
      </vt:variant>
      <vt:variant>
        <vt:lpwstr/>
      </vt:variant>
      <vt:variant>
        <vt:lpwstr>_Toc217060078</vt:lpwstr>
      </vt:variant>
      <vt:variant>
        <vt:i4>1114163</vt:i4>
      </vt:variant>
      <vt:variant>
        <vt:i4>230</vt:i4>
      </vt:variant>
      <vt:variant>
        <vt:i4>0</vt:i4>
      </vt:variant>
      <vt:variant>
        <vt:i4>5</vt:i4>
      </vt:variant>
      <vt:variant>
        <vt:lpwstr/>
      </vt:variant>
      <vt:variant>
        <vt:lpwstr>_Toc217060077</vt:lpwstr>
      </vt:variant>
      <vt:variant>
        <vt:i4>1114163</vt:i4>
      </vt:variant>
      <vt:variant>
        <vt:i4>221</vt:i4>
      </vt:variant>
      <vt:variant>
        <vt:i4>0</vt:i4>
      </vt:variant>
      <vt:variant>
        <vt:i4>5</vt:i4>
      </vt:variant>
      <vt:variant>
        <vt:lpwstr/>
      </vt:variant>
      <vt:variant>
        <vt:lpwstr>_Toc217060076</vt:lpwstr>
      </vt:variant>
      <vt:variant>
        <vt:i4>1114163</vt:i4>
      </vt:variant>
      <vt:variant>
        <vt:i4>215</vt:i4>
      </vt:variant>
      <vt:variant>
        <vt:i4>0</vt:i4>
      </vt:variant>
      <vt:variant>
        <vt:i4>5</vt:i4>
      </vt:variant>
      <vt:variant>
        <vt:lpwstr/>
      </vt:variant>
      <vt:variant>
        <vt:lpwstr>_Toc217060075</vt:lpwstr>
      </vt:variant>
      <vt:variant>
        <vt:i4>1114163</vt:i4>
      </vt:variant>
      <vt:variant>
        <vt:i4>209</vt:i4>
      </vt:variant>
      <vt:variant>
        <vt:i4>0</vt:i4>
      </vt:variant>
      <vt:variant>
        <vt:i4>5</vt:i4>
      </vt:variant>
      <vt:variant>
        <vt:lpwstr/>
      </vt:variant>
      <vt:variant>
        <vt:lpwstr>_Toc217060074</vt:lpwstr>
      </vt:variant>
      <vt:variant>
        <vt:i4>1114163</vt:i4>
      </vt:variant>
      <vt:variant>
        <vt:i4>203</vt:i4>
      </vt:variant>
      <vt:variant>
        <vt:i4>0</vt:i4>
      </vt:variant>
      <vt:variant>
        <vt:i4>5</vt:i4>
      </vt:variant>
      <vt:variant>
        <vt:lpwstr/>
      </vt:variant>
      <vt:variant>
        <vt:lpwstr>_Toc217060073</vt:lpwstr>
      </vt:variant>
      <vt:variant>
        <vt:i4>1114163</vt:i4>
      </vt:variant>
      <vt:variant>
        <vt:i4>197</vt:i4>
      </vt:variant>
      <vt:variant>
        <vt:i4>0</vt:i4>
      </vt:variant>
      <vt:variant>
        <vt:i4>5</vt:i4>
      </vt:variant>
      <vt:variant>
        <vt:lpwstr/>
      </vt:variant>
      <vt:variant>
        <vt:lpwstr>_Toc217060072</vt:lpwstr>
      </vt:variant>
      <vt:variant>
        <vt:i4>1114163</vt:i4>
      </vt:variant>
      <vt:variant>
        <vt:i4>191</vt:i4>
      </vt:variant>
      <vt:variant>
        <vt:i4>0</vt:i4>
      </vt:variant>
      <vt:variant>
        <vt:i4>5</vt:i4>
      </vt:variant>
      <vt:variant>
        <vt:lpwstr/>
      </vt:variant>
      <vt:variant>
        <vt:lpwstr>_Toc217060071</vt:lpwstr>
      </vt:variant>
      <vt:variant>
        <vt:i4>1114163</vt:i4>
      </vt:variant>
      <vt:variant>
        <vt:i4>185</vt:i4>
      </vt:variant>
      <vt:variant>
        <vt:i4>0</vt:i4>
      </vt:variant>
      <vt:variant>
        <vt:i4>5</vt:i4>
      </vt:variant>
      <vt:variant>
        <vt:lpwstr/>
      </vt:variant>
      <vt:variant>
        <vt:lpwstr>_Toc217060070</vt:lpwstr>
      </vt:variant>
      <vt:variant>
        <vt:i4>1048627</vt:i4>
      </vt:variant>
      <vt:variant>
        <vt:i4>179</vt:i4>
      </vt:variant>
      <vt:variant>
        <vt:i4>0</vt:i4>
      </vt:variant>
      <vt:variant>
        <vt:i4>5</vt:i4>
      </vt:variant>
      <vt:variant>
        <vt:lpwstr/>
      </vt:variant>
      <vt:variant>
        <vt:lpwstr>_Toc217060069</vt:lpwstr>
      </vt:variant>
      <vt:variant>
        <vt:i4>1048627</vt:i4>
      </vt:variant>
      <vt:variant>
        <vt:i4>173</vt:i4>
      </vt:variant>
      <vt:variant>
        <vt:i4>0</vt:i4>
      </vt:variant>
      <vt:variant>
        <vt:i4>5</vt:i4>
      </vt:variant>
      <vt:variant>
        <vt:lpwstr/>
      </vt:variant>
      <vt:variant>
        <vt:lpwstr>_Toc217060068</vt:lpwstr>
      </vt:variant>
      <vt:variant>
        <vt:i4>1048627</vt:i4>
      </vt:variant>
      <vt:variant>
        <vt:i4>167</vt:i4>
      </vt:variant>
      <vt:variant>
        <vt:i4>0</vt:i4>
      </vt:variant>
      <vt:variant>
        <vt:i4>5</vt:i4>
      </vt:variant>
      <vt:variant>
        <vt:lpwstr/>
      </vt:variant>
      <vt:variant>
        <vt:lpwstr>_Toc217060067</vt:lpwstr>
      </vt:variant>
      <vt:variant>
        <vt:i4>1048627</vt:i4>
      </vt:variant>
      <vt:variant>
        <vt:i4>161</vt:i4>
      </vt:variant>
      <vt:variant>
        <vt:i4>0</vt:i4>
      </vt:variant>
      <vt:variant>
        <vt:i4>5</vt:i4>
      </vt:variant>
      <vt:variant>
        <vt:lpwstr/>
      </vt:variant>
      <vt:variant>
        <vt:lpwstr>_Toc217060066</vt:lpwstr>
      </vt:variant>
      <vt:variant>
        <vt:i4>1048627</vt:i4>
      </vt:variant>
      <vt:variant>
        <vt:i4>155</vt:i4>
      </vt:variant>
      <vt:variant>
        <vt:i4>0</vt:i4>
      </vt:variant>
      <vt:variant>
        <vt:i4>5</vt:i4>
      </vt:variant>
      <vt:variant>
        <vt:lpwstr/>
      </vt:variant>
      <vt:variant>
        <vt:lpwstr>_Toc217060065</vt:lpwstr>
      </vt:variant>
      <vt:variant>
        <vt:i4>1048627</vt:i4>
      </vt:variant>
      <vt:variant>
        <vt:i4>149</vt:i4>
      </vt:variant>
      <vt:variant>
        <vt:i4>0</vt:i4>
      </vt:variant>
      <vt:variant>
        <vt:i4>5</vt:i4>
      </vt:variant>
      <vt:variant>
        <vt:lpwstr/>
      </vt:variant>
      <vt:variant>
        <vt:lpwstr>_Toc217060064</vt:lpwstr>
      </vt:variant>
      <vt:variant>
        <vt:i4>1048627</vt:i4>
      </vt:variant>
      <vt:variant>
        <vt:i4>143</vt:i4>
      </vt:variant>
      <vt:variant>
        <vt:i4>0</vt:i4>
      </vt:variant>
      <vt:variant>
        <vt:i4>5</vt:i4>
      </vt:variant>
      <vt:variant>
        <vt:lpwstr/>
      </vt:variant>
      <vt:variant>
        <vt:lpwstr>_Toc217060063</vt:lpwstr>
      </vt:variant>
      <vt:variant>
        <vt:i4>1048627</vt:i4>
      </vt:variant>
      <vt:variant>
        <vt:i4>137</vt:i4>
      </vt:variant>
      <vt:variant>
        <vt:i4>0</vt:i4>
      </vt:variant>
      <vt:variant>
        <vt:i4>5</vt:i4>
      </vt:variant>
      <vt:variant>
        <vt:lpwstr/>
      </vt:variant>
      <vt:variant>
        <vt:lpwstr>_Toc217060062</vt:lpwstr>
      </vt:variant>
      <vt:variant>
        <vt:i4>1048627</vt:i4>
      </vt:variant>
      <vt:variant>
        <vt:i4>131</vt:i4>
      </vt:variant>
      <vt:variant>
        <vt:i4>0</vt:i4>
      </vt:variant>
      <vt:variant>
        <vt:i4>5</vt:i4>
      </vt:variant>
      <vt:variant>
        <vt:lpwstr/>
      </vt:variant>
      <vt:variant>
        <vt:lpwstr>_Toc217060061</vt:lpwstr>
      </vt:variant>
      <vt:variant>
        <vt:i4>1048627</vt:i4>
      </vt:variant>
      <vt:variant>
        <vt:i4>125</vt:i4>
      </vt:variant>
      <vt:variant>
        <vt:i4>0</vt:i4>
      </vt:variant>
      <vt:variant>
        <vt:i4>5</vt:i4>
      </vt:variant>
      <vt:variant>
        <vt:lpwstr/>
      </vt:variant>
      <vt:variant>
        <vt:lpwstr>_Toc217060060</vt:lpwstr>
      </vt:variant>
      <vt:variant>
        <vt:i4>1245235</vt:i4>
      </vt:variant>
      <vt:variant>
        <vt:i4>119</vt:i4>
      </vt:variant>
      <vt:variant>
        <vt:i4>0</vt:i4>
      </vt:variant>
      <vt:variant>
        <vt:i4>5</vt:i4>
      </vt:variant>
      <vt:variant>
        <vt:lpwstr/>
      </vt:variant>
      <vt:variant>
        <vt:lpwstr>_Toc217060059</vt:lpwstr>
      </vt:variant>
      <vt:variant>
        <vt:i4>1245235</vt:i4>
      </vt:variant>
      <vt:variant>
        <vt:i4>113</vt:i4>
      </vt:variant>
      <vt:variant>
        <vt:i4>0</vt:i4>
      </vt:variant>
      <vt:variant>
        <vt:i4>5</vt:i4>
      </vt:variant>
      <vt:variant>
        <vt:lpwstr/>
      </vt:variant>
      <vt:variant>
        <vt:lpwstr>_Toc217060058</vt:lpwstr>
      </vt:variant>
      <vt:variant>
        <vt:i4>1245235</vt:i4>
      </vt:variant>
      <vt:variant>
        <vt:i4>107</vt:i4>
      </vt:variant>
      <vt:variant>
        <vt:i4>0</vt:i4>
      </vt:variant>
      <vt:variant>
        <vt:i4>5</vt:i4>
      </vt:variant>
      <vt:variant>
        <vt:lpwstr/>
      </vt:variant>
      <vt:variant>
        <vt:lpwstr>_Toc217060057</vt:lpwstr>
      </vt:variant>
      <vt:variant>
        <vt:i4>1245235</vt:i4>
      </vt:variant>
      <vt:variant>
        <vt:i4>101</vt:i4>
      </vt:variant>
      <vt:variant>
        <vt:i4>0</vt:i4>
      </vt:variant>
      <vt:variant>
        <vt:i4>5</vt:i4>
      </vt:variant>
      <vt:variant>
        <vt:lpwstr/>
      </vt:variant>
      <vt:variant>
        <vt:lpwstr>_Toc217060056</vt:lpwstr>
      </vt:variant>
      <vt:variant>
        <vt:i4>1245235</vt:i4>
      </vt:variant>
      <vt:variant>
        <vt:i4>95</vt:i4>
      </vt:variant>
      <vt:variant>
        <vt:i4>0</vt:i4>
      </vt:variant>
      <vt:variant>
        <vt:i4>5</vt:i4>
      </vt:variant>
      <vt:variant>
        <vt:lpwstr/>
      </vt:variant>
      <vt:variant>
        <vt:lpwstr>_Toc217060055</vt:lpwstr>
      </vt:variant>
      <vt:variant>
        <vt:i4>1245235</vt:i4>
      </vt:variant>
      <vt:variant>
        <vt:i4>89</vt:i4>
      </vt:variant>
      <vt:variant>
        <vt:i4>0</vt:i4>
      </vt:variant>
      <vt:variant>
        <vt:i4>5</vt:i4>
      </vt:variant>
      <vt:variant>
        <vt:lpwstr/>
      </vt:variant>
      <vt:variant>
        <vt:lpwstr>_Toc217060054</vt:lpwstr>
      </vt:variant>
      <vt:variant>
        <vt:i4>1245235</vt:i4>
      </vt:variant>
      <vt:variant>
        <vt:i4>83</vt:i4>
      </vt:variant>
      <vt:variant>
        <vt:i4>0</vt:i4>
      </vt:variant>
      <vt:variant>
        <vt:i4>5</vt:i4>
      </vt:variant>
      <vt:variant>
        <vt:lpwstr/>
      </vt:variant>
      <vt:variant>
        <vt:lpwstr>_Toc217060053</vt:lpwstr>
      </vt:variant>
      <vt:variant>
        <vt:i4>1245235</vt:i4>
      </vt:variant>
      <vt:variant>
        <vt:i4>77</vt:i4>
      </vt:variant>
      <vt:variant>
        <vt:i4>0</vt:i4>
      </vt:variant>
      <vt:variant>
        <vt:i4>5</vt:i4>
      </vt:variant>
      <vt:variant>
        <vt:lpwstr/>
      </vt:variant>
      <vt:variant>
        <vt:lpwstr>_Toc217060052</vt:lpwstr>
      </vt:variant>
      <vt:variant>
        <vt:i4>1245235</vt:i4>
      </vt:variant>
      <vt:variant>
        <vt:i4>71</vt:i4>
      </vt:variant>
      <vt:variant>
        <vt:i4>0</vt:i4>
      </vt:variant>
      <vt:variant>
        <vt:i4>5</vt:i4>
      </vt:variant>
      <vt:variant>
        <vt:lpwstr/>
      </vt:variant>
      <vt:variant>
        <vt:lpwstr>_Toc217060051</vt:lpwstr>
      </vt:variant>
      <vt:variant>
        <vt:i4>1245235</vt:i4>
      </vt:variant>
      <vt:variant>
        <vt:i4>65</vt:i4>
      </vt:variant>
      <vt:variant>
        <vt:i4>0</vt:i4>
      </vt:variant>
      <vt:variant>
        <vt:i4>5</vt:i4>
      </vt:variant>
      <vt:variant>
        <vt:lpwstr/>
      </vt:variant>
      <vt:variant>
        <vt:lpwstr>_Toc217060050</vt:lpwstr>
      </vt:variant>
      <vt:variant>
        <vt:i4>1179699</vt:i4>
      </vt:variant>
      <vt:variant>
        <vt:i4>59</vt:i4>
      </vt:variant>
      <vt:variant>
        <vt:i4>0</vt:i4>
      </vt:variant>
      <vt:variant>
        <vt:i4>5</vt:i4>
      </vt:variant>
      <vt:variant>
        <vt:lpwstr/>
      </vt:variant>
      <vt:variant>
        <vt:lpwstr>_Toc217060049</vt:lpwstr>
      </vt:variant>
      <vt:variant>
        <vt:i4>1179699</vt:i4>
      </vt:variant>
      <vt:variant>
        <vt:i4>53</vt:i4>
      </vt:variant>
      <vt:variant>
        <vt:i4>0</vt:i4>
      </vt:variant>
      <vt:variant>
        <vt:i4>5</vt:i4>
      </vt:variant>
      <vt:variant>
        <vt:lpwstr/>
      </vt:variant>
      <vt:variant>
        <vt:lpwstr>_Toc217060048</vt:lpwstr>
      </vt:variant>
      <vt:variant>
        <vt:i4>1179699</vt:i4>
      </vt:variant>
      <vt:variant>
        <vt:i4>47</vt:i4>
      </vt:variant>
      <vt:variant>
        <vt:i4>0</vt:i4>
      </vt:variant>
      <vt:variant>
        <vt:i4>5</vt:i4>
      </vt:variant>
      <vt:variant>
        <vt:lpwstr/>
      </vt:variant>
      <vt:variant>
        <vt:lpwstr>_Toc217060047</vt:lpwstr>
      </vt:variant>
      <vt:variant>
        <vt:i4>1179699</vt:i4>
      </vt:variant>
      <vt:variant>
        <vt:i4>41</vt:i4>
      </vt:variant>
      <vt:variant>
        <vt:i4>0</vt:i4>
      </vt:variant>
      <vt:variant>
        <vt:i4>5</vt:i4>
      </vt:variant>
      <vt:variant>
        <vt:lpwstr/>
      </vt:variant>
      <vt:variant>
        <vt:lpwstr>_Toc217060046</vt:lpwstr>
      </vt:variant>
      <vt:variant>
        <vt:i4>1179699</vt:i4>
      </vt:variant>
      <vt:variant>
        <vt:i4>35</vt:i4>
      </vt:variant>
      <vt:variant>
        <vt:i4>0</vt:i4>
      </vt:variant>
      <vt:variant>
        <vt:i4>5</vt:i4>
      </vt:variant>
      <vt:variant>
        <vt:lpwstr/>
      </vt:variant>
      <vt:variant>
        <vt:lpwstr>_Toc217060045</vt:lpwstr>
      </vt:variant>
      <vt:variant>
        <vt:i4>1179699</vt:i4>
      </vt:variant>
      <vt:variant>
        <vt:i4>29</vt:i4>
      </vt:variant>
      <vt:variant>
        <vt:i4>0</vt:i4>
      </vt:variant>
      <vt:variant>
        <vt:i4>5</vt:i4>
      </vt:variant>
      <vt:variant>
        <vt:lpwstr/>
      </vt:variant>
      <vt:variant>
        <vt:lpwstr>_Toc217060044</vt:lpwstr>
      </vt:variant>
      <vt:variant>
        <vt:i4>1179699</vt:i4>
      </vt:variant>
      <vt:variant>
        <vt:i4>23</vt:i4>
      </vt:variant>
      <vt:variant>
        <vt:i4>0</vt:i4>
      </vt:variant>
      <vt:variant>
        <vt:i4>5</vt:i4>
      </vt:variant>
      <vt:variant>
        <vt:lpwstr/>
      </vt:variant>
      <vt:variant>
        <vt:lpwstr>_Toc217060043</vt:lpwstr>
      </vt:variant>
      <vt:variant>
        <vt:i4>1179699</vt:i4>
      </vt:variant>
      <vt:variant>
        <vt:i4>17</vt:i4>
      </vt:variant>
      <vt:variant>
        <vt:i4>0</vt:i4>
      </vt:variant>
      <vt:variant>
        <vt:i4>5</vt:i4>
      </vt:variant>
      <vt:variant>
        <vt:lpwstr/>
      </vt:variant>
      <vt:variant>
        <vt:lpwstr>_Toc217060042</vt:lpwstr>
      </vt:variant>
      <vt:variant>
        <vt:i4>1179699</vt:i4>
      </vt:variant>
      <vt:variant>
        <vt:i4>11</vt:i4>
      </vt:variant>
      <vt:variant>
        <vt:i4>0</vt:i4>
      </vt:variant>
      <vt:variant>
        <vt:i4>5</vt:i4>
      </vt:variant>
      <vt:variant>
        <vt:lpwstr/>
      </vt:variant>
      <vt:variant>
        <vt:lpwstr>_Toc217060041</vt:lpwstr>
      </vt:variant>
      <vt:variant>
        <vt:i4>1179699</vt:i4>
      </vt:variant>
      <vt:variant>
        <vt:i4>5</vt:i4>
      </vt:variant>
      <vt:variant>
        <vt:i4>0</vt:i4>
      </vt:variant>
      <vt:variant>
        <vt:i4>5</vt:i4>
      </vt:variant>
      <vt:variant>
        <vt:lpwstr/>
      </vt:variant>
      <vt:variant>
        <vt:lpwstr>_Toc217060040</vt:lpwstr>
      </vt:variant>
      <vt:variant>
        <vt:i4>3735610</vt:i4>
      </vt:variant>
      <vt:variant>
        <vt:i4>39</vt:i4>
      </vt:variant>
      <vt:variant>
        <vt:i4>0</vt:i4>
      </vt:variant>
      <vt:variant>
        <vt:i4>5</vt:i4>
      </vt:variant>
      <vt:variant>
        <vt:lpwstr>https://www.acm.nl/system/files/documents/tbg-beta-and-erp-for-the-heating-companies-in-the-netherlands.pdf</vt:lpwstr>
      </vt:variant>
      <vt:variant>
        <vt:lpwstr/>
      </vt:variant>
      <vt:variant>
        <vt:i4>3276846</vt:i4>
      </vt:variant>
      <vt:variant>
        <vt:i4>36</vt:i4>
      </vt:variant>
      <vt:variant>
        <vt:i4>0</vt:i4>
      </vt:variant>
      <vt:variant>
        <vt:i4>5</vt:i4>
      </vt:variant>
      <vt:variant>
        <vt:lpwstr>https://www.ofcom.org.uk/siteassets/resources/documents/consultations/category-1-10-weeks/185028-promoting-investment-and-competition-in-fibre-networks--wholesale-fixed-telecoms-market-review-2021-26/associated-documents/wftmr-statement-brattle-report.pdf?v=326135</vt:lpwstr>
      </vt:variant>
      <vt:variant>
        <vt:lpwstr/>
      </vt:variant>
      <vt:variant>
        <vt:i4>7143430</vt:i4>
      </vt:variant>
      <vt:variant>
        <vt:i4>33</vt:i4>
      </vt:variant>
      <vt:variant>
        <vt:i4>0</vt:i4>
      </vt:variant>
      <vt:variant>
        <vt:i4>5</vt:i4>
      </vt:variant>
      <vt:variant>
        <vt:lpwstr>https://www.acm.nl/sites/default/files/documents/2020-03/onderzoek-naar-de-vermogenskostenvoet-van-kpn-en-vodafoneziggo_1.pdf</vt:lpwstr>
      </vt:variant>
      <vt:variant>
        <vt:lpwstr/>
      </vt:variant>
      <vt:variant>
        <vt:i4>5439558</vt:i4>
      </vt:variant>
      <vt:variant>
        <vt:i4>30</vt:i4>
      </vt:variant>
      <vt:variant>
        <vt:i4>0</vt:i4>
      </vt:variant>
      <vt:variant>
        <vt:i4>5</vt:i4>
      </vt:variant>
      <vt:variant>
        <vt:lpwstr>https://www.fitchratings.com/research/corporate-finance/fitch-affirms-silknet-at-b-outlook-stable-28-01-2025</vt:lpwstr>
      </vt:variant>
      <vt:variant>
        <vt:lpwstr/>
      </vt:variant>
      <vt:variant>
        <vt:i4>3997754</vt:i4>
      </vt:variant>
      <vt:variant>
        <vt:i4>27</vt:i4>
      </vt:variant>
      <vt:variant>
        <vt:i4>0</vt:i4>
      </vt:variant>
      <vt:variant>
        <vt:i4>5</vt:i4>
      </vt:variant>
      <vt:variant>
        <vt:lpwstr>https://scoperatings.com/ratings-and-research/rating/EN/175842</vt:lpwstr>
      </vt:variant>
      <vt:variant>
        <vt:lpwstr/>
      </vt:variant>
      <vt:variant>
        <vt:i4>5177423</vt:i4>
      </vt:variant>
      <vt:variant>
        <vt:i4>24</vt:i4>
      </vt:variant>
      <vt:variant>
        <vt:i4>0</vt:i4>
      </vt:variant>
      <vt:variant>
        <vt:i4>5</vt:i4>
      </vt:variant>
      <vt:variant>
        <vt:lpwstr>https://nbg.gov.ge/en/page/bb-corporate-curve</vt:lpwstr>
      </vt:variant>
      <vt:variant>
        <vt:lpwstr/>
      </vt:variant>
      <vt:variant>
        <vt:i4>6684707</vt:i4>
      </vt:variant>
      <vt:variant>
        <vt:i4>15</vt:i4>
      </vt:variant>
      <vt:variant>
        <vt:i4>0</vt:i4>
      </vt:variant>
      <vt:variant>
        <vt:i4>5</vt:i4>
      </vt:variant>
      <vt:variant>
        <vt:lpwstr>https://www.libertyglobal.com/liberty-global-acquires-100-of-telenet-following-simplified-squeeze-out/</vt:lpwstr>
      </vt:variant>
      <vt:variant>
        <vt:lpwstr/>
      </vt:variant>
      <vt:variant>
        <vt:i4>1048654</vt:i4>
      </vt:variant>
      <vt:variant>
        <vt:i4>12</vt:i4>
      </vt:variant>
      <vt:variant>
        <vt:i4>0</vt:i4>
      </vt:variant>
      <vt:variant>
        <vt:i4>5</vt:i4>
      </vt:variant>
      <vt:variant>
        <vt:lpwstr>https://nbg.gov.ge/en/page/georgian-lari-yield-curve</vt:lpwstr>
      </vt:variant>
      <vt:variant>
        <vt:lpwstr/>
      </vt:variant>
      <vt:variant>
        <vt:i4>7077995</vt:i4>
      </vt:variant>
      <vt:variant>
        <vt:i4>3</vt:i4>
      </vt:variant>
      <vt:variant>
        <vt:i4>0</vt:i4>
      </vt:variant>
      <vt:variant>
        <vt:i4>5</vt:i4>
      </vt:variant>
      <vt:variant>
        <vt:lpwstr>https://comcom.ge/uploads/other/9/9651.pdf</vt:lpwstr>
      </vt:variant>
      <vt:variant>
        <vt:lpwstr/>
      </vt:variant>
      <vt:variant>
        <vt:i4>2687093</vt:i4>
      </vt:variant>
      <vt:variant>
        <vt:i4>0</vt:i4>
      </vt:variant>
      <vt:variant>
        <vt:i4>0</vt:i4>
      </vt:variant>
      <vt:variant>
        <vt:i4>5</vt:i4>
      </vt:variant>
      <vt:variant>
        <vt:lpwstr>https://comcom.ge/ge/legal-acts/solutions/2022--22-19-306.page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Nato Basilashvili</cp:lastModifiedBy>
  <cp:revision>64</cp:revision>
  <dcterms:created xsi:type="dcterms:W3CDTF">2026-01-19T19:10:00Z</dcterms:created>
  <dcterms:modified xsi:type="dcterms:W3CDTF">2026-01-23T07:52:00Z</dcterms:modified>
</cp:coreProperties>
</file>