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2DEF" w14:textId="5B801FFD" w:rsidR="000C7002" w:rsidRPr="00F65FEE" w:rsidRDefault="000C7002" w:rsidP="00F65FEE">
      <w:pPr>
        <w:jc w:val="right"/>
        <w:rPr>
          <w:rFonts w:ascii="Sylfaen" w:hAnsi="Sylfaen" w:cs="Sylfaen"/>
          <w:b/>
          <w:bCs/>
          <w:sz w:val="20"/>
          <w:szCs w:val="20"/>
          <w:lang w:val="ka-GE"/>
        </w:rPr>
      </w:pPr>
      <w:r w:rsidRPr="00F65FEE">
        <w:rPr>
          <w:rFonts w:ascii="Sylfaen" w:hAnsi="Sylfaen" w:cs="Sylfaen"/>
          <w:b/>
          <w:bCs/>
          <w:sz w:val="20"/>
          <w:szCs w:val="20"/>
          <w:lang w:val="ka-GE"/>
        </w:rPr>
        <w:t>პროექტი</w:t>
      </w:r>
    </w:p>
    <w:p w14:paraId="5782295D" w14:textId="310823C6" w:rsidR="00834497" w:rsidRPr="00F65FEE" w:rsidRDefault="000C7002" w:rsidP="006E1BE8">
      <w:pPr>
        <w:jc w:val="both"/>
        <w:rPr>
          <w:rFonts w:ascii="Sylfaen" w:hAnsi="Sylfaen" w:cs="Sylfaen"/>
          <w:sz w:val="20"/>
          <w:szCs w:val="20"/>
          <w:lang w:val="ka-GE"/>
        </w:rPr>
      </w:pPr>
      <w:bookmarkStart w:id="0" w:name="_Hlk214277853"/>
      <w:r w:rsidRPr="00F65FEE">
        <w:rPr>
          <w:rFonts w:ascii="Sylfaen" w:hAnsi="Sylfaen" w:cs="Sylfaen"/>
          <w:b/>
          <w:bCs/>
          <w:sz w:val="20"/>
          <w:szCs w:val="20"/>
          <w:lang w:val="ka-GE"/>
        </w:rPr>
        <w:t>„</w:t>
      </w:r>
      <w:r w:rsidR="00E814FB" w:rsidRPr="00F65FEE">
        <w:rPr>
          <w:rFonts w:ascii="Sylfaen" w:hAnsi="Sylfaen" w:cs="Sylfaen"/>
          <w:b/>
          <w:bCs/>
          <w:sz w:val="20"/>
          <w:szCs w:val="20"/>
          <w:lang w:val="ka-GE"/>
        </w:rPr>
        <w:t>საქართველოში</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საერთაშორისო</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ზარების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ტერმინაციის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დროებითი</w:t>
      </w:r>
      <w:r w:rsidR="00E814FB" w:rsidRPr="00F65FEE">
        <w:rPr>
          <w:rFonts w:ascii="Sylfaen" w:hAnsi="Sylfaen"/>
          <w:b/>
          <w:bCs/>
          <w:sz w:val="20"/>
          <w:szCs w:val="20"/>
          <w:lang w:val="ka-GE"/>
        </w:rPr>
        <w:t xml:space="preserve"> </w:t>
      </w:r>
      <w:bookmarkEnd w:id="0"/>
      <w:r w:rsidR="00E814FB" w:rsidRPr="00F65FEE">
        <w:rPr>
          <w:rFonts w:ascii="Sylfaen" w:hAnsi="Sylfaen" w:cs="Sylfaen"/>
          <w:b/>
          <w:bCs/>
          <w:sz w:val="20"/>
          <w:szCs w:val="20"/>
          <w:lang w:val="ka-GE"/>
        </w:rPr>
        <w:t>რეგულაციის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დადგენის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თაობაზე</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საქართველოს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კომუნიკაციების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ეროვნული</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კომისიის</w:t>
      </w:r>
      <w:r w:rsidR="00E814FB" w:rsidRPr="00F65FEE">
        <w:rPr>
          <w:rFonts w:ascii="Sylfaen" w:hAnsi="Sylfaen"/>
          <w:b/>
          <w:bCs/>
          <w:sz w:val="20"/>
          <w:szCs w:val="20"/>
          <w:lang w:val="ka-GE"/>
        </w:rPr>
        <w:t xml:space="preserve"> 2017 </w:t>
      </w:r>
      <w:r w:rsidR="00E814FB" w:rsidRPr="00F65FEE">
        <w:rPr>
          <w:rFonts w:ascii="Sylfaen" w:hAnsi="Sylfaen" w:cs="Sylfaen"/>
          <w:b/>
          <w:bCs/>
          <w:sz w:val="20"/>
          <w:szCs w:val="20"/>
          <w:lang w:val="ka-GE"/>
        </w:rPr>
        <w:t>წლის</w:t>
      </w:r>
      <w:r w:rsidR="00E814FB" w:rsidRPr="00F65FEE">
        <w:rPr>
          <w:rFonts w:ascii="Sylfaen" w:hAnsi="Sylfaen"/>
          <w:b/>
          <w:bCs/>
          <w:sz w:val="20"/>
          <w:szCs w:val="20"/>
          <w:lang w:val="ka-GE"/>
        </w:rPr>
        <w:t xml:space="preserve"> 16 </w:t>
      </w:r>
      <w:r w:rsidR="00E814FB" w:rsidRPr="00F65FEE">
        <w:rPr>
          <w:rFonts w:ascii="Sylfaen" w:hAnsi="Sylfaen" w:cs="Sylfaen"/>
          <w:b/>
          <w:bCs/>
          <w:sz w:val="20"/>
          <w:szCs w:val="20"/>
          <w:lang w:val="ka-GE"/>
        </w:rPr>
        <w:t>მაისის</w:t>
      </w:r>
      <w:r w:rsidR="00E814FB" w:rsidRPr="00F65FEE">
        <w:rPr>
          <w:rFonts w:ascii="Sylfaen" w:hAnsi="Sylfaen"/>
          <w:b/>
          <w:bCs/>
          <w:sz w:val="20"/>
          <w:szCs w:val="20"/>
          <w:lang w:val="ka-GE"/>
        </w:rPr>
        <w:t xml:space="preserve"> №345/22 </w:t>
      </w:r>
      <w:r w:rsidR="00E814FB" w:rsidRPr="00F65FEE">
        <w:rPr>
          <w:rFonts w:ascii="Sylfaen" w:hAnsi="Sylfaen" w:cs="Sylfaen"/>
          <w:b/>
          <w:bCs/>
          <w:sz w:val="20"/>
          <w:szCs w:val="20"/>
          <w:lang w:val="ka-GE"/>
        </w:rPr>
        <w:t>გადაწყვეტილებაში</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ცვლილების</w:t>
      </w:r>
      <w:r w:rsidR="00E814FB" w:rsidRPr="00F65FEE">
        <w:rPr>
          <w:rFonts w:ascii="Sylfaen" w:hAnsi="Sylfaen"/>
          <w:b/>
          <w:bCs/>
          <w:sz w:val="20"/>
          <w:szCs w:val="20"/>
          <w:lang w:val="ka-GE"/>
        </w:rPr>
        <w:t xml:space="preserve"> </w:t>
      </w:r>
      <w:r w:rsidR="00E814FB" w:rsidRPr="00F65FEE">
        <w:rPr>
          <w:rFonts w:ascii="Sylfaen" w:hAnsi="Sylfaen" w:cs="Sylfaen"/>
          <w:b/>
          <w:bCs/>
          <w:sz w:val="20"/>
          <w:szCs w:val="20"/>
          <w:lang w:val="ka-GE"/>
        </w:rPr>
        <w:t>შეტანის</w:t>
      </w:r>
      <w:r w:rsidR="00E814FB" w:rsidRPr="00F65FEE">
        <w:rPr>
          <w:rFonts w:ascii="Sylfaen" w:hAnsi="Sylfaen"/>
          <w:b/>
          <w:bCs/>
          <w:sz w:val="20"/>
          <w:szCs w:val="20"/>
          <w:lang w:val="ka-GE"/>
        </w:rPr>
        <w:t xml:space="preserve"> </w:t>
      </w:r>
      <w:r w:rsidR="00834497" w:rsidRPr="00F65FEE">
        <w:rPr>
          <w:rFonts w:ascii="Sylfaen" w:hAnsi="Sylfaen" w:cs="Sylfaen"/>
          <w:b/>
          <w:bCs/>
          <w:sz w:val="20"/>
          <w:szCs w:val="20"/>
          <w:lang w:val="ka-GE"/>
        </w:rPr>
        <w:t>თაობაზე</w:t>
      </w:r>
    </w:p>
    <w:p w14:paraId="6466052F" w14:textId="77777777" w:rsidR="00021542" w:rsidRPr="00F65FEE" w:rsidRDefault="00021542" w:rsidP="000C7002">
      <w:pPr>
        <w:jc w:val="both"/>
        <w:rPr>
          <w:rFonts w:ascii="Sylfaen" w:hAnsi="Sylfaen" w:cs="Sylfaen"/>
          <w:sz w:val="20"/>
          <w:szCs w:val="20"/>
          <w:lang w:val="ka-GE"/>
        </w:rPr>
      </w:pPr>
    </w:p>
    <w:p w14:paraId="5C9146EA" w14:textId="1AB7E649" w:rsidR="00021542" w:rsidRPr="00F65FEE" w:rsidRDefault="00021542" w:rsidP="000C7002">
      <w:pPr>
        <w:jc w:val="both"/>
        <w:rPr>
          <w:rFonts w:ascii="Sylfaen" w:hAnsi="Sylfaen" w:cs="Sylfaen"/>
          <w:sz w:val="20"/>
          <w:szCs w:val="20"/>
          <w:lang w:val="ka-GE"/>
        </w:rPr>
      </w:pPr>
      <w:r w:rsidRPr="00F65FEE">
        <w:rPr>
          <w:rFonts w:ascii="Sylfaen" w:hAnsi="Sylfaen" w:cs="Sylfaen"/>
          <w:sz w:val="20"/>
          <w:szCs w:val="20"/>
          <w:lang w:val="ka-GE"/>
        </w:rPr>
        <w:t>საქართველოს კომუნიკაციების ეროვნული კომისიის (შემდგომში ,,კომისია“) 202</w:t>
      </w:r>
      <w:r w:rsidR="00907CCC">
        <w:rPr>
          <w:rFonts w:ascii="Sylfaen" w:hAnsi="Sylfaen" w:cs="Sylfaen"/>
          <w:sz w:val="20"/>
          <w:szCs w:val="20"/>
          <w:lang w:val="ka-GE"/>
        </w:rPr>
        <w:t>5</w:t>
      </w:r>
      <w:r w:rsidRPr="00F65FEE">
        <w:rPr>
          <w:rFonts w:ascii="Sylfaen" w:hAnsi="Sylfaen" w:cs="Sylfaen"/>
          <w:sz w:val="20"/>
          <w:szCs w:val="20"/>
          <w:lang w:val="ka-GE"/>
        </w:rPr>
        <w:t xml:space="preserve"> წლის 1</w:t>
      </w:r>
      <w:r w:rsidR="00907CCC">
        <w:rPr>
          <w:rFonts w:ascii="Sylfaen" w:hAnsi="Sylfaen" w:cs="Sylfaen"/>
          <w:sz w:val="20"/>
          <w:szCs w:val="20"/>
          <w:lang w:val="ka-GE"/>
        </w:rPr>
        <w:t>3</w:t>
      </w:r>
      <w:r w:rsidRPr="00F65FEE">
        <w:rPr>
          <w:rFonts w:ascii="Sylfaen" w:hAnsi="Sylfaen" w:cs="Sylfaen"/>
          <w:sz w:val="20"/>
          <w:szCs w:val="20"/>
          <w:lang w:val="ka-GE"/>
        </w:rPr>
        <w:t xml:space="preserve"> ნოემბერ</w:t>
      </w:r>
      <w:r w:rsidR="009654FA">
        <w:rPr>
          <w:rFonts w:ascii="Sylfaen" w:hAnsi="Sylfaen" w:cs="Sylfaen"/>
          <w:sz w:val="20"/>
          <w:szCs w:val="20"/>
          <w:lang w:val="ka-GE"/>
        </w:rPr>
        <w:t>ის</w:t>
      </w:r>
      <w:r w:rsidRPr="00F65FEE">
        <w:rPr>
          <w:rFonts w:ascii="Sylfaen" w:hAnsi="Sylfaen" w:cs="Sylfaen"/>
          <w:sz w:val="20"/>
          <w:szCs w:val="20"/>
          <w:lang w:val="ka-GE"/>
        </w:rPr>
        <w:t xml:space="preserve"> გადაწყვეტილებით დაიწყო საჯარო ადმინისტრაციული წარმოება ”საქართველოში საერთაშორისო ზარების ტერმინაციის დროებითი რეგულაციის დადგენის თაობაზე” კომისიის 2017 წლის 16 მაისის №345/22 გადაწყვეტილებაში ცვლილების შეტანის განხილვის მიზნით. საკითხის ზეპირი მოსმენის თარიღად განისაზღვრა 202</w:t>
      </w:r>
      <w:r w:rsidR="00907CCC">
        <w:rPr>
          <w:rFonts w:ascii="Sylfaen" w:hAnsi="Sylfaen" w:cs="Sylfaen"/>
          <w:sz w:val="20"/>
          <w:szCs w:val="20"/>
          <w:lang w:val="ka-GE"/>
        </w:rPr>
        <w:t>5</w:t>
      </w:r>
      <w:r w:rsidRPr="00F65FEE">
        <w:rPr>
          <w:rFonts w:ascii="Sylfaen" w:hAnsi="Sylfaen" w:cs="Sylfaen"/>
          <w:sz w:val="20"/>
          <w:szCs w:val="20"/>
          <w:lang w:val="ka-GE"/>
        </w:rPr>
        <w:t xml:space="preserve"> წლის 1</w:t>
      </w:r>
      <w:r w:rsidR="00907CCC">
        <w:rPr>
          <w:rFonts w:ascii="Sylfaen" w:hAnsi="Sylfaen" w:cs="Sylfaen"/>
          <w:sz w:val="20"/>
          <w:szCs w:val="20"/>
          <w:lang w:val="ka-GE"/>
        </w:rPr>
        <w:t>8</w:t>
      </w:r>
      <w:r w:rsidRPr="00F65FEE">
        <w:rPr>
          <w:rFonts w:ascii="Sylfaen" w:hAnsi="Sylfaen" w:cs="Sylfaen"/>
          <w:sz w:val="20"/>
          <w:szCs w:val="20"/>
          <w:lang w:val="ka-GE"/>
        </w:rPr>
        <w:t xml:space="preserve"> დეკემბერი.</w:t>
      </w:r>
    </w:p>
    <w:p w14:paraId="12CE2A4B" w14:textId="1685A337" w:rsidR="00AD61E0" w:rsidRPr="00F65FEE" w:rsidRDefault="00741C78" w:rsidP="00F65FEE">
      <w:pPr>
        <w:jc w:val="both"/>
        <w:rPr>
          <w:rFonts w:ascii="Sylfaen" w:hAnsi="Sylfaen"/>
          <w:sz w:val="20"/>
          <w:szCs w:val="20"/>
          <w:lang w:val="ka-GE"/>
        </w:rPr>
      </w:pPr>
      <w:r w:rsidRPr="00F65FEE">
        <w:rPr>
          <w:rFonts w:ascii="Sylfaen" w:hAnsi="Sylfaen" w:cs="Sylfaen"/>
          <w:sz w:val="20"/>
          <w:szCs w:val="20"/>
          <w:lang w:val="ka-GE"/>
        </w:rPr>
        <w:t>კომუნიკაციების</w:t>
      </w:r>
      <w:r w:rsidRPr="00F65FEE">
        <w:rPr>
          <w:rFonts w:ascii="Sylfaen" w:hAnsi="Sylfaen"/>
          <w:sz w:val="20"/>
          <w:szCs w:val="20"/>
          <w:lang w:val="ka-GE"/>
        </w:rPr>
        <w:t xml:space="preserve"> </w:t>
      </w:r>
      <w:r w:rsidRPr="00F65FEE">
        <w:rPr>
          <w:rFonts w:ascii="Sylfaen" w:hAnsi="Sylfaen" w:cs="Sylfaen"/>
          <w:sz w:val="20"/>
          <w:szCs w:val="20"/>
          <w:lang w:val="ka-GE"/>
        </w:rPr>
        <w:t>კომისიის</w:t>
      </w:r>
      <w:r w:rsidRPr="00F65FEE">
        <w:rPr>
          <w:rFonts w:ascii="Sylfaen" w:hAnsi="Sylfaen"/>
          <w:sz w:val="20"/>
          <w:szCs w:val="20"/>
          <w:lang w:val="ka-GE"/>
        </w:rPr>
        <w:t xml:space="preserve"> </w:t>
      </w:r>
      <w:r w:rsidRPr="00F65FEE">
        <w:rPr>
          <w:rFonts w:ascii="Sylfaen" w:hAnsi="Sylfaen" w:cs="Sylfaen"/>
          <w:sz w:val="20"/>
          <w:szCs w:val="20"/>
          <w:lang w:val="ka-GE"/>
        </w:rPr>
        <w:t>მიერ</w:t>
      </w:r>
      <w:r w:rsidRPr="00F65FEE">
        <w:rPr>
          <w:rFonts w:ascii="Sylfaen" w:hAnsi="Sylfaen"/>
          <w:sz w:val="20"/>
          <w:szCs w:val="20"/>
          <w:lang w:val="ka-GE"/>
        </w:rPr>
        <w:t xml:space="preserve"> 2017 </w:t>
      </w:r>
      <w:r w:rsidRPr="00F65FEE">
        <w:rPr>
          <w:rFonts w:ascii="Sylfaen" w:hAnsi="Sylfaen" w:cs="Sylfaen"/>
          <w:sz w:val="20"/>
          <w:szCs w:val="20"/>
          <w:lang w:val="ka-GE"/>
        </w:rPr>
        <w:t>წლის</w:t>
      </w:r>
      <w:r w:rsidRPr="00F65FEE">
        <w:rPr>
          <w:rFonts w:ascii="Sylfaen" w:hAnsi="Sylfaen"/>
          <w:sz w:val="20"/>
          <w:szCs w:val="20"/>
          <w:lang w:val="ka-GE"/>
        </w:rPr>
        <w:t xml:space="preserve"> 16 </w:t>
      </w:r>
      <w:r w:rsidRPr="00F65FEE">
        <w:rPr>
          <w:rFonts w:ascii="Sylfaen" w:hAnsi="Sylfaen" w:cs="Sylfaen"/>
          <w:sz w:val="20"/>
          <w:szCs w:val="20"/>
          <w:lang w:val="ka-GE"/>
        </w:rPr>
        <w:t>მაისს</w:t>
      </w:r>
      <w:r w:rsidRPr="00F65FEE">
        <w:rPr>
          <w:rFonts w:ascii="Sylfaen" w:hAnsi="Sylfaen"/>
          <w:sz w:val="20"/>
          <w:szCs w:val="20"/>
          <w:lang w:val="ka-GE"/>
        </w:rPr>
        <w:t xml:space="preserve"> </w:t>
      </w:r>
      <w:r w:rsidRPr="00F65FEE">
        <w:rPr>
          <w:rFonts w:ascii="Sylfaen" w:hAnsi="Sylfaen" w:cs="Sylfaen"/>
          <w:sz w:val="20"/>
          <w:szCs w:val="20"/>
          <w:lang w:val="ka-GE"/>
        </w:rPr>
        <w:t>მიღებული</w:t>
      </w:r>
      <w:r w:rsidRPr="00F65FEE">
        <w:rPr>
          <w:rFonts w:ascii="Sylfaen" w:hAnsi="Sylfaen"/>
          <w:sz w:val="20"/>
          <w:szCs w:val="20"/>
          <w:lang w:val="ka-GE"/>
        </w:rPr>
        <w:t xml:space="preserve"> </w:t>
      </w:r>
      <w:r w:rsidRPr="00F65FEE">
        <w:rPr>
          <w:rFonts w:ascii="Sylfaen" w:hAnsi="Sylfaen" w:cs="Sylfaen"/>
          <w:sz w:val="20"/>
          <w:szCs w:val="20"/>
          <w:lang w:val="ka-GE"/>
        </w:rPr>
        <w:t>იქნა</w:t>
      </w:r>
      <w:r w:rsidRPr="00F65FEE">
        <w:rPr>
          <w:rFonts w:ascii="Sylfaen" w:hAnsi="Sylfaen"/>
          <w:sz w:val="20"/>
          <w:szCs w:val="20"/>
          <w:lang w:val="ka-GE"/>
        </w:rPr>
        <w:t xml:space="preserve"> </w:t>
      </w:r>
      <w:r w:rsidRPr="00F65FEE">
        <w:rPr>
          <w:rFonts w:ascii="Sylfaen" w:hAnsi="Sylfaen" w:cs="Sylfaen"/>
          <w:sz w:val="20"/>
          <w:szCs w:val="20"/>
          <w:lang w:val="ka-GE"/>
        </w:rPr>
        <w:t>გადაწყვეტილება</w:t>
      </w:r>
      <w:r w:rsidRPr="00F65FEE">
        <w:rPr>
          <w:rFonts w:ascii="Sylfaen" w:hAnsi="Sylfaen"/>
          <w:sz w:val="20"/>
          <w:szCs w:val="20"/>
          <w:lang w:val="ka-GE"/>
        </w:rPr>
        <w:t xml:space="preserve"> №345/22 „</w:t>
      </w:r>
      <w:r w:rsidRPr="00F65FEE">
        <w:rPr>
          <w:rFonts w:ascii="Sylfaen" w:hAnsi="Sylfaen" w:cs="Sylfaen"/>
          <w:sz w:val="20"/>
          <w:szCs w:val="20"/>
          <w:lang w:val="ka-GE"/>
        </w:rPr>
        <w:t>საქართველოში</w:t>
      </w:r>
      <w:r w:rsidRPr="00F65FEE">
        <w:rPr>
          <w:rFonts w:ascii="Sylfaen" w:hAnsi="Sylfaen"/>
          <w:sz w:val="20"/>
          <w:szCs w:val="20"/>
          <w:lang w:val="ka-GE"/>
        </w:rPr>
        <w:t xml:space="preserve"> </w:t>
      </w:r>
      <w:r w:rsidRPr="00F65FEE">
        <w:rPr>
          <w:rFonts w:ascii="Sylfaen" w:hAnsi="Sylfaen" w:cs="Sylfaen"/>
          <w:sz w:val="20"/>
          <w:szCs w:val="20"/>
          <w:lang w:val="ka-GE"/>
        </w:rPr>
        <w:t>საერთაშორისო</w:t>
      </w:r>
      <w:r w:rsidRPr="00F65FEE">
        <w:rPr>
          <w:rFonts w:ascii="Sylfaen" w:hAnsi="Sylfaen"/>
          <w:sz w:val="20"/>
          <w:szCs w:val="20"/>
          <w:lang w:val="ka-GE"/>
        </w:rPr>
        <w:t xml:space="preserve"> </w:t>
      </w:r>
      <w:r w:rsidRPr="00F65FEE">
        <w:rPr>
          <w:rFonts w:ascii="Sylfaen" w:hAnsi="Sylfaen" w:cs="Sylfaen"/>
          <w:sz w:val="20"/>
          <w:szCs w:val="20"/>
          <w:lang w:val="ka-GE"/>
        </w:rPr>
        <w:t>ზარების</w:t>
      </w:r>
      <w:r w:rsidRPr="00F65FEE">
        <w:rPr>
          <w:rFonts w:ascii="Sylfaen" w:hAnsi="Sylfaen"/>
          <w:sz w:val="20"/>
          <w:szCs w:val="20"/>
          <w:lang w:val="ka-GE"/>
        </w:rPr>
        <w:t xml:space="preserve"> </w:t>
      </w:r>
      <w:r w:rsidRPr="00F65FEE">
        <w:rPr>
          <w:rFonts w:ascii="Sylfaen" w:hAnsi="Sylfaen" w:cs="Sylfaen"/>
          <w:sz w:val="20"/>
          <w:szCs w:val="20"/>
          <w:lang w:val="ka-GE"/>
        </w:rPr>
        <w:t>ტერმინაციის</w:t>
      </w:r>
      <w:r w:rsidRPr="00F65FEE">
        <w:rPr>
          <w:rFonts w:ascii="Sylfaen" w:hAnsi="Sylfaen"/>
          <w:sz w:val="20"/>
          <w:szCs w:val="20"/>
          <w:lang w:val="ka-GE"/>
        </w:rPr>
        <w:t xml:space="preserve"> </w:t>
      </w:r>
      <w:r w:rsidRPr="00F65FEE">
        <w:rPr>
          <w:rFonts w:ascii="Sylfaen" w:hAnsi="Sylfaen" w:cs="Sylfaen"/>
          <w:sz w:val="20"/>
          <w:szCs w:val="20"/>
          <w:lang w:val="ka-GE"/>
        </w:rPr>
        <w:t>დროებითი</w:t>
      </w:r>
      <w:r w:rsidRPr="00F65FEE">
        <w:rPr>
          <w:rFonts w:ascii="Sylfaen" w:hAnsi="Sylfaen"/>
          <w:sz w:val="20"/>
          <w:szCs w:val="20"/>
          <w:lang w:val="ka-GE"/>
        </w:rPr>
        <w:t xml:space="preserve"> </w:t>
      </w:r>
      <w:r w:rsidRPr="00F65FEE">
        <w:rPr>
          <w:rFonts w:ascii="Sylfaen" w:hAnsi="Sylfaen" w:cs="Sylfaen"/>
          <w:sz w:val="20"/>
          <w:szCs w:val="20"/>
          <w:lang w:val="ka-GE"/>
        </w:rPr>
        <w:t>რეგულაციის</w:t>
      </w:r>
      <w:r w:rsidRPr="00F65FEE">
        <w:rPr>
          <w:rFonts w:ascii="Sylfaen" w:hAnsi="Sylfaen"/>
          <w:sz w:val="20"/>
          <w:szCs w:val="20"/>
          <w:lang w:val="ka-GE"/>
        </w:rPr>
        <w:t xml:space="preserve"> </w:t>
      </w:r>
      <w:r w:rsidRPr="00F65FEE">
        <w:rPr>
          <w:rFonts w:ascii="Sylfaen" w:hAnsi="Sylfaen" w:cs="Sylfaen"/>
          <w:sz w:val="20"/>
          <w:szCs w:val="20"/>
          <w:lang w:val="ka-GE"/>
        </w:rPr>
        <w:t>დადგენის</w:t>
      </w:r>
      <w:r w:rsidRPr="00F65FEE">
        <w:rPr>
          <w:rFonts w:ascii="Sylfaen" w:hAnsi="Sylfaen"/>
          <w:sz w:val="20"/>
          <w:szCs w:val="20"/>
          <w:lang w:val="ka-GE"/>
        </w:rPr>
        <w:t xml:space="preserve"> </w:t>
      </w:r>
      <w:r w:rsidRPr="00F65FEE">
        <w:rPr>
          <w:rFonts w:ascii="Sylfaen" w:hAnsi="Sylfaen" w:cs="Sylfaen"/>
          <w:sz w:val="20"/>
          <w:szCs w:val="20"/>
          <w:lang w:val="ka-GE"/>
        </w:rPr>
        <w:t>თაობაზე</w:t>
      </w:r>
      <w:r w:rsidRPr="00F65FEE">
        <w:rPr>
          <w:rFonts w:ascii="Sylfaen" w:hAnsi="Sylfaen"/>
          <w:sz w:val="20"/>
          <w:szCs w:val="20"/>
          <w:lang w:val="ka-GE"/>
        </w:rPr>
        <w:t xml:space="preserve">“.  </w:t>
      </w:r>
      <w:r w:rsidR="00CA721A">
        <w:rPr>
          <w:rFonts w:ascii="Sylfaen" w:hAnsi="Sylfaen"/>
          <w:sz w:val="20"/>
          <w:szCs w:val="20"/>
          <w:lang w:val="ka-GE"/>
        </w:rPr>
        <w:t xml:space="preserve">აღნიშნულ გადაწყვეტილებაში შესული ცვლილებების </w:t>
      </w:r>
      <w:r w:rsidR="00D16E5D">
        <w:rPr>
          <w:rFonts w:ascii="Sylfaen" w:hAnsi="Sylfaen"/>
          <w:sz w:val="20"/>
          <w:szCs w:val="20"/>
          <w:lang w:val="ka-GE"/>
        </w:rPr>
        <w:t xml:space="preserve">გათვალისწინებით, </w:t>
      </w:r>
      <w:r w:rsidRPr="00F65FEE">
        <w:rPr>
          <w:rFonts w:ascii="Sylfaen" w:hAnsi="Sylfaen"/>
          <w:sz w:val="20"/>
          <w:szCs w:val="20"/>
          <w:lang w:val="ka-GE"/>
        </w:rPr>
        <w:t xml:space="preserve">ამაჟამად </w:t>
      </w:r>
      <w:r w:rsidR="00541676" w:rsidRPr="00F65FEE">
        <w:rPr>
          <w:rFonts w:ascii="Sylfaen" w:hAnsi="Sylfaen" w:cs="Sylfaen"/>
          <w:sz w:val="20"/>
          <w:szCs w:val="20"/>
          <w:lang w:val="ka-GE"/>
        </w:rPr>
        <w:t>მოქმედი</w:t>
      </w:r>
      <w:r w:rsidR="00541676" w:rsidRPr="00F65FEE">
        <w:rPr>
          <w:rFonts w:ascii="Sylfaen" w:hAnsi="Sylfaen"/>
          <w:sz w:val="20"/>
          <w:szCs w:val="20"/>
          <w:lang w:val="ka-GE"/>
        </w:rPr>
        <w:t xml:space="preserve"> </w:t>
      </w:r>
      <w:r w:rsidRPr="00F65FEE">
        <w:rPr>
          <w:rFonts w:ascii="Sylfaen" w:hAnsi="Sylfaen" w:cs="Sylfaen"/>
          <w:sz w:val="20"/>
          <w:szCs w:val="20"/>
          <w:lang w:val="ka-GE"/>
        </w:rPr>
        <w:t>რეგულაციი</w:t>
      </w:r>
      <w:r w:rsidRPr="00F65FEE">
        <w:rPr>
          <w:rFonts w:ascii="Sylfaen" w:hAnsi="Sylfaen"/>
          <w:sz w:val="20"/>
          <w:szCs w:val="20"/>
          <w:lang w:val="ka-GE"/>
        </w:rPr>
        <w:t>თ განსაზღვრულია თაღლითური ქმედებების ე.წ. „ფროდის“ აღკვეთისა და ზარების მონიტორინგის მიზნით შემუშავებული მექანიზმები და რეკომენდაციები.</w:t>
      </w:r>
      <w:r w:rsidR="006C1AD9" w:rsidRPr="00F65FEE">
        <w:rPr>
          <w:rFonts w:ascii="Sylfaen" w:hAnsi="Sylfaen"/>
          <w:sz w:val="20"/>
          <w:szCs w:val="20"/>
          <w:lang w:val="ka-GE"/>
        </w:rPr>
        <w:t xml:space="preserve"> </w:t>
      </w:r>
    </w:p>
    <w:p w14:paraId="22E6D3A0" w14:textId="77777777" w:rsidR="00F7201A" w:rsidRPr="00F65FEE" w:rsidRDefault="00F7201A" w:rsidP="006E1BE8">
      <w:pPr>
        <w:jc w:val="both"/>
        <w:rPr>
          <w:rFonts w:ascii="Sylfaen" w:hAnsi="Sylfaen"/>
          <w:sz w:val="20"/>
          <w:szCs w:val="20"/>
          <w:lang w:val="ka-GE"/>
        </w:rPr>
      </w:pPr>
      <w:r w:rsidRPr="00F65FEE">
        <w:rPr>
          <w:rFonts w:ascii="Sylfaen" w:hAnsi="Sylfaen"/>
          <w:sz w:val="20"/>
          <w:szCs w:val="20"/>
          <w:lang w:val="ka-GE"/>
        </w:rPr>
        <w:t>„ელექტრონული კომუნიკაციების შესახებ“ საქართველოს კანონის მე-11 მუხლის მე-3 პუნქტის პ) ქვეპუნქტის თანახმად, კომისიის ერთ-ერთი ძირითადი ფუნქციაა ელექტრონული კომუნიკაციების საერთაშორისო ან/და რეგიონალურ ბაზარზე ისეთი ვითარების შექმნის შემთხვევაში, რომელიც მნიშვნელოვან და არაგარდამავალ ნეგატიურ გავლენას ახდენს საქართველოში ელექტრონული კომუნიკაციების ბაზარზე მოქმედი ავტორიზებული პირების საქმიანობაზე, ამ მნიშვნელოვანი და არაგარდამავალი ნეგატიური გავლენის აღმოფხვრამდე საჯარო ადმინისტრაციული წარმოების წესით მიღებული დასაბუთებული გადაწყვეტილებით ელექტრონული კომუნიკაციების სფეროში მოქმედი ყველა შესაბამისი ავტორიზებული პირისთვის სათანადო, ეფექტიანი რეგულაციების დადგენა.</w:t>
      </w:r>
    </w:p>
    <w:p w14:paraId="475D89C6" w14:textId="77777777" w:rsidR="00C870BE" w:rsidRDefault="00F7201A" w:rsidP="006E1BE8">
      <w:pPr>
        <w:jc w:val="both"/>
        <w:rPr>
          <w:rFonts w:ascii="Sylfaen" w:hAnsi="Sylfaen"/>
          <w:sz w:val="20"/>
          <w:szCs w:val="20"/>
          <w:lang w:val="ka-GE"/>
        </w:rPr>
      </w:pPr>
      <w:r w:rsidRPr="00F65FEE">
        <w:rPr>
          <w:rFonts w:ascii="Sylfaen" w:hAnsi="Sylfaen"/>
          <w:sz w:val="20"/>
          <w:szCs w:val="20"/>
          <w:lang w:val="ka-GE"/>
        </w:rPr>
        <w:t>საერთაშორისო ზარებზე დაწესებული, ადგილობრივთან შედარებით უფრო მაღალი ტარიფები ყოველთვის ტოვებს სტიმულს ნომრის შესახებ ინფორმაციის დაფარვის, კორექტირების, შემოკლების, გადაკეთების ან სხვა სახის თაღლითობისათვის (ე.წ. „ფროდი“). შესაბამისად, კომისია მიიჩნევს, რომ შემომავალი საერთაშორისო ზარების დასრულების მონიტორინგისა და კონტროლის მექანიზმების შენარჩუნება ზემოხსენებული უკანონო შემთხვევების აღსაკვეთად კვლავ აქტუალურია.</w:t>
      </w:r>
      <w:r w:rsidR="00E23CE3">
        <w:rPr>
          <w:rFonts w:ascii="Sylfaen" w:hAnsi="Sylfaen"/>
          <w:sz w:val="20"/>
          <w:szCs w:val="20"/>
          <w:lang w:val="ka-GE"/>
        </w:rPr>
        <w:t xml:space="preserve"> </w:t>
      </w:r>
    </w:p>
    <w:p w14:paraId="46C5409E" w14:textId="6F8473DB" w:rsidR="00F7201A" w:rsidRPr="00E23CE3" w:rsidRDefault="00E23CE3" w:rsidP="006E1BE8">
      <w:pPr>
        <w:jc w:val="both"/>
        <w:rPr>
          <w:rFonts w:ascii="Sylfaen" w:hAnsi="Sylfaen"/>
          <w:sz w:val="20"/>
          <w:szCs w:val="20"/>
        </w:rPr>
      </w:pPr>
      <w:r>
        <w:rPr>
          <w:rFonts w:ascii="Sylfaen" w:hAnsi="Sylfaen"/>
          <w:sz w:val="20"/>
          <w:szCs w:val="20"/>
          <w:lang w:val="ka-GE"/>
        </w:rPr>
        <w:t>2024 წლის 19 დეკემბრის N გ-24-19/583 გადაწყვეტილებით ამჟამად მოქმედების ვადა არის 2025 წლის 31 დეკემბერი.</w:t>
      </w:r>
    </w:p>
    <w:p w14:paraId="012930C0" w14:textId="7468EC23" w:rsidR="00591609" w:rsidRPr="00F65FEE" w:rsidRDefault="00591609" w:rsidP="006E1BE8">
      <w:pPr>
        <w:jc w:val="both"/>
        <w:rPr>
          <w:rFonts w:ascii="Sylfaen" w:hAnsi="Sylfaen"/>
          <w:sz w:val="20"/>
          <w:szCs w:val="20"/>
          <w:lang w:val="ka-GE"/>
        </w:rPr>
      </w:pPr>
      <w:r w:rsidRPr="00F65FEE">
        <w:rPr>
          <w:rFonts w:ascii="Sylfaen" w:hAnsi="Sylfaen"/>
          <w:sz w:val="20"/>
          <w:szCs w:val="20"/>
          <w:lang w:val="ka-GE"/>
        </w:rPr>
        <w:t xml:space="preserve">ზემოაღნიშნულიდან გამომდინარე, კომისიას მიზანშეწონილად  მიაჩნია ”საქართველოში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გადაწყვეტილების </w:t>
      </w:r>
      <w:r w:rsidR="00AE1391">
        <w:rPr>
          <w:rFonts w:ascii="Sylfaen" w:hAnsi="Sylfaen"/>
          <w:sz w:val="20"/>
          <w:szCs w:val="20"/>
          <w:lang w:val="ka-GE"/>
        </w:rPr>
        <w:t xml:space="preserve">(მოქმედი რედაქცია) </w:t>
      </w:r>
      <w:r w:rsidRPr="00F65FEE">
        <w:rPr>
          <w:rFonts w:ascii="Sylfaen" w:hAnsi="Sylfaen"/>
          <w:sz w:val="20"/>
          <w:szCs w:val="20"/>
          <w:lang w:val="ka-GE"/>
        </w:rPr>
        <w:t>მოქმედების  ვადა  განისაზღვროს  202</w:t>
      </w:r>
      <w:r w:rsidR="00907CCC">
        <w:rPr>
          <w:rFonts w:ascii="Sylfaen" w:hAnsi="Sylfaen"/>
          <w:sz w:val="20"/>
          <w:szCs w:val="20"/>
          <w:lang w:val="ka-GE"/>
        </w:rPr>
        <w:t>6</w:t>
      </w:r>
      <w:r w:rsidRPr="00F65FEE">
        <w:rPr>
          <w:rFonts w:ascii="Sylfaen" w:hAnsi="Sylfaen"/>
          <w:sz w:val="20"/>
          <w:szCs w:val="20"/>
          <w:lang w:val="ka-GE"/>
        </w:rPr>
        <w:t xml:space="preserve">  წლის  31 დეკემბრის ჩათვლით.</w:t>
      </w:r>
    </w:p>
    <w:p w14:paraId="7466AFC9" w14:textId="79C9E25F" w:rsidR="00F7201A" w:rsidRPr="00F65FEE" w:rsidRDefault="00F7201A" w:rsidP="006E1BE8">
      <w:pPr>
        <w:jc w:val="both"/>
        <w:rPr>
          <w:rFonts w:ascii="Sylfaen" w:hAnsi="Sylfaen"/>
          <w:sz w:val="20"/>
          <w:szCs w:val="20"/>
          <w:lang w:val="ka-GE"/>
        </w:rPr>
      </w:pPr>
      <w:r w:rsidRPr="00F65FEE">
        <w:rPr>
          <w:rFonts w:ascii="Sylfaen" w:hAnsi="Sylfaen"/>
          <w:sz w:val="20"/>
          <w:szCs w:val="20"/>
          <w:lang w:val="ka-GE"/>
        </w:rPr>
        <w:t>ყოველივე ზემოაღნიშნულის თანახმად, „ელექტრონული კომუნიკაციების შესახებ“ საქართველოს კანონის მე-11 მუხლის მე-3 პუნქტის „პ“ ქვეპუნქტის, საქართველოს ზოგადი ადმინისტრაციული კოდექსის 63-ე მუხლისა და IX თავის შესაბამისად, კომისიამ კენჭისყრის შედეგად:</w:t>
      </w:r>
    </w:p>
    <w:p w14:paraId="6B7161DC" w14:textId="77777777" w:rsidR="00E74FF0" w:rsidRPr="00F65FEE" w:rsidRDefault="00E74FF0" w:rsidP="006E1BE8">
      <w:pPr>
        <w:jc w:val="both"/>
        <w:rPr>
          <w:rFonts w:ascii="Sylfaen" w:hAnsi="Sylfaen"/>
          <w:b/>
          <w:bCs/>
          <w:sz w:val="20"/>
          <w:szCs w:val="20"/>
          <w:lang w:val="ka-GE"/>
        </w:rPr>
      </w:pPr>
    </w:p>
    <w:p w14:paraId="2272B393" w14:textId="1E6D8AC5" w:rsidR="00F7201A" w:rsidRPr="00F65FEE" w:rsidRDefault="00F7201A" w:rsidP="006E1BE8">
      <w:pPr>
        <w:jc w:val="both"/>
        <w:rPr>
          <w:rFonts w:ascii="Sylfaen" w:hAnsi="Sylfaen"/>
          <w:sz w:val="20"/>
          <w:szCs w:val="20"/>
          <w:lang w:val="ka-GE"/>
        </w:rPr>
      </w:pPr>
      <w:r w:rsidRPr="00F65FEE">
        <w:rPr>
          <w:rFonts w:ascii="Sylfaen" w:hAnsi="Sylfaen"/>
          <w:b/>
          <w:bCs/>
          <w:sz w:val="20"/>
          <w:szCs w:val="20"/>
          <w:lang w:val="ka-GE"/>
        </w:rPr>
        <w:t>გ ა დ ა წ ყ ვ ი ტ ა:</w:t>
      </w:r>
    </w:p>
    <w:p w14:paraId="132DC6D4" w14:textId="089E67E6" w:rsidR="00B55BBB" w:rsidRPr="00F65FEE" w:rsidRDefault="00B55BBB" w:rsidP="00F46DE7">
      <w:pPr>
        <w:jc w:val="both"/>
        <w:rPr>
          <w:rFonts w:ascii="Sylfaen" w:hAnsi="Sylfaen"/>
          <w:sz w:val="20"/>
          <w:szCs w:val="20"/>
          <w:lang w:val="ka-GE"/>
        </w:rPr>
      </w:pPr>
    </w:p>
    <w:p w14:paraId="53F3C7AC" w14:textId="0559046F" w:rsidR="000E7834" w:rsidRPr="00F65FEE" w:rsidRDefault="000E7834" w:rsidP="00F46DE7">
      <w:pPr>
        <w:jc w:val="both"/>
        <w:rPr>
          <w:rFonts w:ascii="Sylfaen" w:hAnsi="Sylfaen"/>
          <w:sz w:val="20"/>
          <w:szCs w:val="20"/>
          <w:lang w:val="ka-GE"/>
        </w:rPr>
      </w:pPr>
      <w:r w:rsidRPr="00F65FEE">
        <w:rPr>
          <w:rFonts w:ascii="Sylfaen" w:hAnsi="Sylfaen"/>
          <w:sz w:val="20"/>
          <w:szCs w:val="20"/>
          <w:lang w:val="ka-GE"/>
        </w:rPr>
        <w:t>1. ”საქართველოში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გადაწყვეტილებაში შეტანილ იქნას ცვლილებ</w:t>
      </w:r>
      <w:r w:rsidR="009639F3">
        <w:rPr>
          <w:rFonts w:ascii="Sylfaen" w:hAnsi="Sylfaen"/>
          <w:sz w:val="20"/>
          <w:szCs w:val="20"/>
          <w:lang w:val="ka-GE"/>
        </w:rPr>
        <w:t>ა</w:t>
      </w:r>
      <w:r w:rsidRPr="00F65FEE">
        <w:rPr>
          <w:rFonts w:ascii="Sylfaen" w:hAnsi="Sylfaen"/>
          <w:sz w:val="20"/>
          <w:szCs w:val="20"/>
          <w:lang w:val="ka-GE"/>
        </w:rPr>
        <w:t xml:space="preserve"> და </w:t>
      </w:r>
      <w:r w:rsidRPr="009654FA">
        <w:rPr>
          <w:rFonts w:ascii="Sylfaen" w:hAnsi="Sylfaen"/>
          <w:sz w:val="20"/>
          <w:szCs w:val="20"/>
          <w:lang w:val="ka-GE"/>
        </w:rPr>
        <w:t>გადაწყვეტილების მე-8</w:t>
      </w:r>
      <w:r w:rsidRPr="00F65FEE">
        <w:rPr>
          <w:rFonts w:ascii="Sylfaen" w:hAnsi="Sylfaen"/>
          <w:sz w:val="20"/>
          <w:szCs w:val="20"/>
          <w:lang w:val="ka-GE"/>
        </w:rPr>
        <w:t xml:space="preserve"> პუნქტები ჩამოყალიბდეს შემდეგი რედაქციით:</w:t>
      </w:r>
    </w:p>
    <w:p w14:paraId="1C58F003" w14:textId="4DCB19B5" w:rsidR="000E7834" w:rsidRPr="00F65FEE" w:rsidRDefault="000E7834" w:rsidP="00F46DE7">
      <w:pPr>
        <w:jc w:val="both"/>
        <w:rPr>
          <w:rFonts w:ascii="Sylfaen" w:hAnsi="Sylfaen"/>
          <w:sz w:val="20"/>
          <w:szCs w:val="20"/>
          <w:lang w:val="ka-GE"/>
        </w:rPr>
      </w:pPr>
      <w:r w:rsidRPr="00F65FEE">
        <w:rPr>
          <w:rFonts w:ascii="Sylfaen" w:hAnsi="Sylfaen"/>
          <w:sz w:val="20"/>
          <w:szCs w:val="20"/>
          <w:lang w:val="ka-GE"/>
        </w:rPr>
        <w:t>„8. გადაწყვეტილების მოქმედების ვადა განისაზღვროს 202</w:t>
      </w:r>
      <w:r w:rsidR="00907CCC">
        <w:rPr>
          <w:rFonts w:ascii="Sylfaen" w:hAnsi="Sylfaen"/>
          <w:sz w:val="20"/>
          <w:szCs w:val="20"/>
          <w:lang w:val="ka-GE"/>
        </w:rPr>
        <w:t>6</w:t>
      </w:r>
      <w:r w:rsidRPr="00F65FEE">
        <w:rPr>
          <w:rFonts w:ascii="Sylfaen" w:hAnsi="Sylfaen"/>
          <w:sz w:val="20"/>
          <w:szCs w:val="20"/>
          <w:lang w:val="ka-GE"/>
        </w:rPr>
        <w:t xml:space="preserve"> წლის 31 დეკემბრის ჩათვლით;“</w:t>
      </w:r>
    </w:p>
    <w:p w14:paraId="5E27439F" w14:textId="3D7EC352" w:rsidR="000E7834" w:rsidRPr="00F65FEE" w:rsidRDefault="000E7834" w:rsidP="00F46DE7">
      <w:pPr>
        <w:jc w:val="both"/>
        <w:rPr>
          <w:rFonts w:ascii="Sylfaen" w:hAnsi="Sylfaen"/>
          <w:sz w:val="20"/>
          <w:szCs w:val="20"/>
          <w:lang w:val="ka-GE"/>
        </w:rPr>
      </w:pPr>
      <w:r w:rsidRPr="00F65FEE">
        <w:rPr>
          <w:rFonts w:ascii="Sylfaen" w:hAnsi="Sylfaen"/>
          <w:sz w:val="20"/>
          <w:szCs w:val="20"/>
          <w:lang w:val="ka-GE"/>
        </w:rPr>
        <w:t>2.   დაევალოთ შპს ,,მაგთიკომს”, შპს ,,</w:t>
      </w:r>
      <w:r w:rsidR="00D46D8F" w:rsidRPr="00F65FEE">
        <w:rPr>
          <w:rFonts w:ascii="Sylfaen" w:hAnsi="Sylfaen"/>
          <w:sz w:val="20"/>
          <w:szCs w:val="20"/>
          <w:lang w:val="ka-GE"/>
        </w:rPr>
        <w:t>სელფი მობაილ</w:t>
      </w:r>
      <w:r w:rsidR="007F63FF">
        <w:rPr>
          <w:rFonts w:ascii="Sylfaen" w:hAnsi="Sylfaen"/>
          <w:sz w:val="20"/>
          <w:szCs w:val="20"/>
          <w:lang w:val="ka-GE"/>
        </w:rPr>
        <w:t>ს</w:t>
      </w:r>
      <w:r w:rsidRPr="00F65FEE">
        <w:rPr>
          <w:rFonts w:ascii="Sylfaen" w:hAnsi="Sylfaen"/>
          <w:sz w:val="20"/>
          <w:szCs w:val="20"/>
          <w:lang w:val="ka-GE"/>
        </w:rPr>
        <w:t>“, სს „სილქნეტს“, შპს „ახალ ქსელებს“ და შპს „საქართველოს ცენტრალური კავშირგაბმულობის კორპორაციას“, დანერგილი ტესტირების სისტემის ეფექტური გამოყენებით საერთაშორისო ზარების დასრულების მონიტორინგი. უზრუნველყონ ტესტირებით მიღებული მონაცემების კომისიისათვის ყოველდღიურად შეტყობინება, მათ შორის, განხორციელებული სატესტო ზარების რაოდენობის შესახებ, მონაცემების გაცვლა, აღმოჩენილი ნომრების ერთიანი ბაზის შექმნა, ტესტირების შედეგებთან დაკავშირებით სამუშაო შეხვედრების პერიოდულად მოწყობა;</w:t>
      </w:r>
    </w:p>
    <w:p w14:paraId="51BF7EFA" w14:textId="77777777" w:rsidR="000E7834" w:rsidRPr="00F65FEE" w:rsidRDefault="000E7834" w:rsidP="00F46DE7">
      <w:pPr>
        <w:jc w:val="both"/>
        <w:rPr>
          <w:rFonts w:ascii="Sylfaen" w:hAnsi="Sylfaen"/>
          <w:sz w:val="20"/>
          <w:szCs w:val="20"/>
          <w:lang w:val="ka-GE"/>
        </w:rPr>
      </w:pPr>
      <w:r w:rsidRPr="00F65FEE">
        <w:rPr>
          <w:rFonts w:ascii="Sylfaen" w:hAnsi="Sylfaen"/>
          <w:sz w:val="20"/>
          <w:szCs w:val="20"/>
          <w:lang w:val="ka-GE"/>
        </w:rPr>
        <w:t>3. გადაწყვეტილება ძალაში შევიდეს მისი სარეზოლუციო ნაწილის კომისიის სხდომაზე გამოცხადებისთანავე;</w:t>
      </w:r>
    </w:p>
    <w:p w14:paraId="04DE2C62" w14:textId="77777777" w:rsidR="000E7834" w:rsidRPr="009654FA" w:rsidRDefault="000E7834" w:rsidP="00F46DE7">
      <w:pPr>
        <w:jc w:val="both"/>
        <w:rPr>
          <w:rFonts w:ascii="Sylfaen" w:hAnsi="Sylfaen"/>
          <w:sz w:val="20"/>
          <w:szCs w:val="20"/>
          <w:lang w:val="ka-GE"/>
        </w:rPr>
      </w:pPr>
      <w:r w:rsidRPr="00F65FEE">
        <w:rPr>
          <w:rFonts w:ascii="Sylfaen" w:hAnsi="Sylfaen"/>
          <w:sz w:val="20"/>
          <w:szCs w:val="20"/>
          <w:lang w:val="ka-GE"/>
        </w:rPr>
        <w:t xml:space="preserve">4. 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№64) ერთი </w:t>
      </w:r>
      <w:r w:rsidRPr="009654FA">
        <w:rPr>
          <w:rFonts w:ascii="Sylfaen" w:hAnsi="Sylfaen"/>
          <w:sz w:val="20"/>
          <w:szCs w:val="20"/>
          <w:lang w:val="ka-GE"/>
        </w:rPr>
        <w:t>თვის ვადაში;</w:t>
      </w:r>
    </w:p>
    <w:p w14:paraId="3009264E" w14:textId="77777777" w:rsidR="000E7834" w:rsidRPr="00F65FEE" w:rsidRDefault="000E7834" w:rsidP="00F46DE7">
      <w:pPr>
        <w:jc w:val="both"/>
        <w:rPr>
          <w:rFonts w:ascii="Sylfaen" w:hAnsi="Sylfaen"/>
          <w:sz w:val="20"/>
          <w:szCs w:val="20"/>
          <w:lang w:val="ka-GE"/>
        </w:rPr>
      </w:pPr>
      <w:r w:rsidRPr="009654FA">
        <w:rPr>
          <w:rFonts w:ascii="Sylfaen" w:hAnsi="Sylfaen"/>
          <w:sz w:val="20"/>
          <w:szCs w:val="20"/>
          <w:lang w:val="ka-GE"/>
        </w:rPr>
        <w:t>5.  კონტროლი აღნიშნული გადაწყვეტილების მე-2 პუნქტის შესრულებაზე დაევალოს კომისიის აპარატის სპექტრისა და ტექნოლოგიის დეპარტამენტს (ა. ქარუმიძე);</w:t>
      </w:r>
    </w:p>
    <w:p w14:paraId="73F5F572" w14:textId="21AC07CB" w:rsidR="00CE5BAE" w:rsidRPr="00F65FEE" w:rsidRDefault="000E7834" w:rsidP="006E1BE8">
      <w:pPr>
        <w:jc w:val="both"/>
        <w:rPr>
          <w:rFonts w:ascii="Sylfaen" w:hAnsi="Sylfaen"/>
          <w:sz w:val="20"/>
          <w:szCs w:val="20"/>
          <w:lang w:val="ka-GE"/>
        </w:rPr>
      </w:pPr>
      <w:r w:rsidRPr="00F65FEE">
        <w:rPr>
          <w:rFonts w:ascii="Sylfaen" w:hAnsi="Sylfaen"/>
          <w:sz w:val="20"/>
          <w:szCs w:val="20"/>
          <w:lang w:val="ka-GE"/>
        </w:rPr>
        <w:t>6. კონტროლი აღნიშნული გადაწყვეტილების შესრულებაზე (გარდა მე-2 პუნქტისა) დაევალოს კომისიის  აპარატის</w:t>
      </w:r>
      <w:r w:rsidR="00D25673" w:rsidRPr="00F65FEE">
        <w:rPr>
          <w:rFonts w:ascii="Sylfaen" w:hAnsi="Sylfaen"/>
          <w:sz w:val="20"/>
          <w:szCs w:val="20"/>
          <w:lang w:val="ka-GE"/>
        </w:rPr>
        <w:t xml:space="preserve"> კონკურენციის  ხელშეწყობისა  და  ბაზრის რეგულირების </w:t>
      </w:r>
      <w:r w:rsidRPr="00F65FEE">
        <w:rPr>
          <w:rFonts w:ascii="Sylfaen" w:hAnsi="Sylfaen"/>
          <w:sz w:val="20"/>
          <w:szCs w:val="20"/>
          <w:lang w:val="ka-GE"/>
        </w:rPr>
        <w:t xml:space="preserve">  დეპარტამენტს (ე. სიჭინავა).</w:t>
      </w:r>
    </w:p>
    <w:p w14:paraId="5CE46C98" w14:textId="77777777" w:rsidR="00AD61E0" w:rsidRPr="00F65FEE" w:rsidRDefault="00AD61E0" w:rsidP="006E1BE8">
      <w:pPr>
        <w:jc w:val="both"/>
        <w:rPr>
          <w:rFonts w:ascii="Sylfaen" w:hAnsi="Sylfaen"/>
          <w:sz w:val="20"/>
          <w:szCs w:val="20"/>
          <w:lang w:val="ka-GE"/>
        </w:rPr>
      </w:pPr>
    </w:p>
    <w:sectPr w:rsidR="00AD61E0" w:rsidRPr="00F65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713"/>
    <w:multiLevelType w:val="hybridMultilevel"/>
    <w:tmpl w:val="2C3C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517B2"/>
    <w:multiLevelType w:val="hybridMultilevel"/>
    <w:tmpl w:val="923A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B42F5"/>
    <w:multiLevelType w:val="hybridMultilevel"/>
    <w:tmpl w:val="D388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975811">
    <w:abstractNumId w:val="1"/>
  </w:num>
  <w:num w:numId="2" w16cid:durableId="479419483">
    <w:abstractNumId w:val="2"/>
  </w:num>
  <w:num w:numId="3" w16cid:durableId="66729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E0"/>
    <w:rsid w:val="00021542"/>
    <w:rsid w:val="00036346"/>
    <w:rsid w:val="00065CBD"/>
    <w:rsid w:val="000727CB"/>
    <w:rsid w:val="000C7002"/>
    <w:rsid w:val="000E7834"/>
    <w:rsid w:val="00132E6A"/>
    <w:rsid w:val="00136C93"/>
    <w:rsid w:val="00166284"/>
    <w:rsid w:val="00186D52"/>
    <w:rsid w:val="001B0F8C"/>
    <w:rsid w:val="001E0F6D"/>
    <w:rsid w:val="00201197"/>
    <w:rsid w:val="00251BF3"/>
    <w:rsid w:val="0034366A"/>
    <w:rsid w:val="003F2F54"/>
    <w:rsid w:val="0042552A"/>
    <w:rsid w:val="004A7C6C"/>
    <w:rsid w:val="0050161E"/>
    <w:rsid w:val="00541676"/>
    <w:rsid w:val="0055179E"/>
    <w:rsid w:val="00591609"/>
    <w:rsid w:val="005B63EF"/>
    <w:rsid w:val="0062755B"/>
    <w:rsid w:val="006C0AC3"/>
    <w:rsid w:val="006C1AD9"/>
    <w:rsid w:val="006E128C"/>
    <w:rsid w:val="006E1BE8"/>
    <w:rsid w:val="007155E2"/>
    <w:rsid w:val="00741C78"/>
    <w:rsid w:val="00783143"/>
    <w:rsid w:val="007F0014"/>
    <w:rsid w:val="007F63FF"/>
    <w:rsid w:val="00834497"/>
    <w:rsid w:val="00840171"/>
    <w:rsid w:val="008A5491"/>
    <w:rsid w:val="008C755E"/>
    <w:rsid w:val="00907CCC"/>
    <w:rsid w:val="009203E0"/>
    <w:rsid w:val="009639F3"/>
    <w:rsid w:val="009654FA"/>
    <w:rsid w:val="0098011C"/>
    <w:rsid w:val="009B7990"/>
    <w:rsid w:val="00A37488"/>
    <w:rsid w:val="00AD61E0"/>
    <w:rsid w:val="00AE1391"/>
    <w:rsid w:val="00AE393C"/>
    <w:rsid w:val="00B30DBD"/>
    <w:rsid w:val="00B51364"/>
    <w:rsid w:val="00B55BBB"/>
    <w:rsid w:val="00B92613"/>
    <w:rsid w:val="00BD0111"/>
    <w:rsid w:val="00C26644"/>
    <w:rsid w:val="00C870BE"/>
    <w:rsid w:val="00CA721A"/>
    <w:rsid w:val="00CE5BAE"/>
    <w:rsid w:val="00D033A4"/>
    <w:rsid w:val="00D16977"/>
    <w:rsid w:val="00D16E5D"/>
    <w:rsid w:val="00D2311C"/>
    <w:rsid w:val="00D25673"/>
    <w:rsid w:val="00D46D8F"/>
    <w:rsid w:val="00D547D6"/>
    <w:rsid w:val="00D85635"/>
    <w:rsid w:val="00DB36A1"/>
    <w:rsid w:val="00DC1A4A"/>
    <w:rsid w:val="00DE36B6"/>
    <w:rsid w:val="00DF7AB3"/>
    <w:rsid w:val="00E23CE3"/>
    <w:rsid w:val="00E57703"/>
    <w:rsid w:val="00E74FF0"/>
    <w:rsid w:val="00E814FB"/>
    <w:rsid w:val="00ED6579"/>
    <w:rsid w:val="00F03B15"/>
    <w:rsid w:val="00F430DB"/>
    <w:rsid w:val="00F46DE7"/>
    <w:rsid w:val="00F56D9A"/>
    <w:rsid w:val="00F65FEE"/>
    <w:rsid w:val="00F7201A"/>
    <w:rsid w:val="00F81D99"/>
    <w:rsid w:val="00FA7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691E"/>
  <w15:chartTrackingRefBased/>
  <w15:docId w15:val="{7E29BB7B-A359-492A-9772-FBF5DF6D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1E0"/>
    <w:rPr>
      <w:rFonts w:eastAsiaTheme="majorEastAsia" w:cstheme="majorBidi"/>
      <w:color w:val="272727" w:themeColor="text1" w:themeTint="D8"/>
    </w:rPr>
  </w:style>
  <w:style w:type="paragraph" w:styleId="Title">
    <w:name w:val="Title"/>
    <w:basedOn w:val="Normal"/>
    <w:next w:val="Normal"/>
    <w:link w:val="TitleChar"/>
    <w:uiPriority w:val="10"/>
    <w:qFormat/>
    <w:rsid w:val="00AD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1E0"/>
    <w:pPr>
      <w:spacing w:before="160"/>
      <w:jc w:val="center"/>
    </w:pPr>
    <w:rPr>
      <w:i/>
      <w:iCs/>
      <w:color w:val="404040" w:themeColor="text1" w:themeTint="BF"/>
    </w:rPr>
  </w:style>
  <w:style w:type="character" w:customStyle="1" w:styleId="QuoteChar">
    <w:name w:val="Quote Char"/>
    <w:basedOn w:val="DefaultParagraphFont"/>
    <w:link w:val="Quote"/>
    <w:uiPriority w:val="29"/>
    <w:rsid w:val="00AD61E0"/>
    <w:rPr>
      <w:i/>
      <w:iCs/>
      <w:color w:val="404040" w:themeColor="text1" w:themeTint="BF"/>
    </w:rPr>
  </w:style>
  <w:style w:type="paragraph" w:styleId="ListParagraph">
    <w:name w:val="List Paragraph"/>
    <w:basedOn w:val="Normal"/>
    <w:uiPriority w:val="34"/>
    <w:qFormat/>
    <w:rsid w:val="00AD61E0"/>
    <w:pPr>
      <w:ind w:left="720"/>
      <w:contextualSpacing/>
    </w:pPr>
  </w:style>
  <w:style w:type="character" w:styleId="IntenseEmphasis">
    <w:name w:val="Intense Emphasis"/>
    <w:basedOn w:val="DefaultParagraphFont"/>
    <w:uiPriority w:val="21"/>
    <w:qFormat/>
    <w:rsid w:val="00AD61E0"/>
    <w:rPr>
      <w:i/>
      <w:iCs/>
      <w:color w:val="0F4761" w:themeColor="accent1" w:themeShade="BF"/>
    </w:rPr>
  </w:style>
  <w:style w:type="paragraph" w:styleId="IntenseQuote">
    <w:name w:val="Intense Quote"/>
    <w:basedOn w:val="Normal"/>
    <w:next w:val="Normal"/>
    <w:link w:val="IntenseQuoteChar"/>
    <w:uiPriority w:val="30"/>
    <w:qFormat/>
    <w:rsid w:val="00AD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1E0"/>
    <w:rPr>
      <w:i/>
      <w:iCs/>
      <w:color w:val="0F4761" w:themeColor="accent1" w:themeShade="BF"/>
    </w:rPr>
  </w:style>
  <w:style w:type="character" w:styleId="IntenseReference">
    <w:name w:val="Intense Reference"/>
    <w:basedOn w:val="DefaultParagraphFont"/>
    <w:uiPriority w:val="32"/>
    <w:qFormat/>
    <w:rsid w:val="00AD61E0"/>
    <w:rPr>
      <w:b/>
      <w:bCs/>
      <w:smallCaps/>
      <w:color w:val="0F4761" w:themeColor="accent1" w:themeShade="BF"/>
      <w:spacing w:val="5"/>
    </w:rPr>
  </w:style>
  <w:style w:type="paragraph" w:styleId="Revision">
    <w:name w:val="Revision"/>
    <w:hidden/>
    <w:uiPriority w:val="99"/>
    <w:semiHidden/>
    <w:rsid w:val="004A7C6C"/>
    <w:pPr>
      <w:spacing w:after="0" w:line="240" w:lineRule="auto"/>
    </w:pPr>
  </w:style>
  <w:style w:type="character" w:styleId="CommentReference">
    <w:name w:val="annotation reference"/>
    <w:basedOn w:val="DefaultParagraphFont"/>
    <w:uiPriority w:val="99"/>
    <w:semiHidden/>
    <w:unhideWhenUsed/>
    <w:rsid w:val="009203E0"/>
    <w:rPr>
      <w:sz w:val="16"/>
      <w:szCs w:val="16"/>
    </w:rPr>
  </w:style>
  <w:style w:type="paragraph" w:styleId="CommentText">
    <w:name w:val="annotation text"/>
    <w:basedOn w:val="Normal"/>
    <w:link w:val="CommentTextChar"/>
    <w:uiPriority w:val="99"/>
    <w:unhideWhenUsed/>
    <w:rsid w:val="009203E0"/>
    <w:pPr>
      <w:spacing w:line="240" w:lineRule="auto"/>
    </w:pPr>
    <w:rPr>
      <w:sz w:val="20"/>
      <w:szCs w:val="20"/>
    </w:rPr>
  </w:style>
  <w:style w:type="character" w:customStyle="1" w:styleId="CommentTextChar">
    <w:name w:val="Comment Text Char"/>
    <w:basedOn w:val="DefaultParagraphFont"/>
    <w:link w:val="CommentText"/>
    <w:uiPriority w:val="99"/>
    <w:rsid w:val="009203E0"/>
    <w:rPr>
      <w:sz w:val="20"/>
      <w:szCs w:val="20"/>
    </w:rPr>
  </w:style>
  <w:style w:type="paragraph" w:styleId="CommentSubject">
    <w:name w:val="annotation subject"/>
    <w:basedOn w:val="CommentText"/>
    <w:next w:val="CommentText"/>
    <w:link w:val="CommentSubjectChar"/>
    <w:uiPriority w:val="99"/>
    <w:semiHidden/>
    <w:unhideWhenUsed/>
    <w:rsid w:val="009203E0"/>
    <w:rPr>
      <w:b/>
      <w:bCs/>
    </w:rPr>
  </w:style>
  <w:style w:type="character" w:customStyle="1" w:styleId="CommentSubjectChar">
    <w:name w:val="Comment Subject Char"/>
    <w:basedOn w:val="CommentTextChar"/>
    <w:link w:val="CommentSubject"/>
    <w:uiPriority w:val="99"/>
    <w:semiHidden/>
    <w:rsid w:val="009203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340">
      <w:bodyDiv w:val="1"/>
      <w:marLeft w:val="0"/>
      <w:marRight w:val="0"/>
      <w:marTop w:val="0"/>
      <w:marBottom w:val="0"/>
      <w:divBdr>
        <w:top w:val="none" w:sz="0" w:space="0" w:color="auto"/>
        <w:left w:val="none" w:sz="0" w:space="0" w:color="auto"/>
        <w:bottom w:val="none" w:sz="0" w:space="0" w:color="auto"/>
        <w:right w:val="none" w:sz="0" w:space="0" w:color="auto"/>
      </w:divBdr>
    </w:div>
    <w:div w:id="364983715">
      <w:bodyDiv w:val="1"/>
      <w:marLeft w:val="0"/>
      <w:marRight w:val="0"/>
      <w:marTop w:val="0"/>
      <w:marBottom w:val="0"/>
      <w:divBdr>
        <w:top w:val="none" w:sz="0" w:space="0" w:color="auto"/>
        <w:left w:val="none" w:sz="0" w:space="0" w:color="auto"/>
        <w:bottom w:val="none" w:sz="0" w:space="0" w:color="auto"/>
        <w:right w:val="none" w:sz="0" w:space="0" w:color="auto"/>
      </w:divBdr>
    </w:div>
    <w:div w:id="918827499">
      <w:bodyDiv w:val="1"/>
      <w:marLeft w:val="0"/>
      <w:marRight w:val="0"/>
      <w:marTop w:val="0"/>
      <w:marBottom w:val="0"/>
      <w:divBdr>
        <w:top w:val="none" w:sz="0" w:space="0" w:color="auto"/>
        <w:left w:val="none" w:sz="0" w:space="0" w:color="auto"/>
        <w:bottom w:val="none" w:sz="0" w:space="0" w:color="auto"/>
        <w:right w:val="none" w:sz="0" w:space="0" w:color="auto"/>
      </w:divBdr>
    </w:div>
    <w:div w:id="936402209">
      <w:bodyDiv w:val="1"/>
      <w:marLeft w:val="0"/>
      <w:marRight w:val="0"/>
      <w:marTop w:val="0"/>
      <w:marBottom w:val="0"/>
      <w:divBdr>
        <w:top w:val="none" w:sz="0" w:space="0" w:color="auto"/>
        <w:left w:val="none" w:sz="0" w:space="0" w:color="auto"/>
        <w:bottom w:val="none" w:sz="0" w:space="0" w:color="auto"/>
        <w:right w:val="none" w:sz="0" w:space="0" w:color="auto"/>
      </w:divBdr>
    </w:div>
    <w:div w:id="974069681">
      <w:bodyDiv w:val="1"/>
      <w:marLeft w:val="0"/>
      <w:marRight w:val="0"/>
      <w:marTop w:val="0"/>
      <w:marBottom w:val="0"/>
      <w:divBdr>
        <w:top w:val="none" w:sz="0" w:space="0" w:color="auto"/>
        <w:left w:val="none" w:sz="0" w:space="0" w:color="auto"/>
        <w:bottom w:val="none" w:sz="0" w:space="0" w:color="auto"/>
        <w:right w:val="none" w:sz="0" w:space="0" w:color="auto"/>
      </w:divBdr>
    </w:div>
    <w:div w:id="1065492753">
      <w:bodyDiv w:val="1"/>
      <w:marLeft w:val="0"/>
      <w:marRight w:val="0"/>
      <w:marTop w:val="0"/>
      <w:marBottom w:val="0"/>
      <w:divBdr>
        <w:top w:val="none" w:sz="0" w:space="0" w:color="auto"/>
        <w:left w:val="none" w:sz="0" w:space="0" w:color="auto"/>
        <w:bottom w:val="none" w:sz="0" w:space="0" w:color="auto"/>
        <w:right w:val="none" w:sz="0" w:space="0" w:color="auto"/>
      </w:divBdr>
      <w:divsChild>
        <w:div w:id="1020007350">
          <w:marLeft w:val="0"/>
          <w:marRight w:val="0"/>
          <w:marTop w:val="0"/>
          <w:marBottom w:val="0"/>
          <w:divBdr>
            <w:top w:val="none" w:sz="0" w:space="0" w:color="auto"/>
            <w:left w:val="none" w:sz="0" w:space="0" w:color="auto"/>
            <w:bottom w:val="none" w:sz="0" w:space="0" w:color="auto"/>
            <w:right w:val="none" w:sz="0" w:space="0" w:color="auto"/>
          </w:divBdr>
        </w:div>
      </w:divsChild>
    </w:div>
    <w:div w:id="1169173822">
      <w:bodyDiv w:val="1"/>
      <w:marLeft w:val="0"/>
      <w:marRight w:val="0"/>
      <w:marTop w:val="0"/>
      <w:marBottom w:val="0"/>
      <w:divBdr>
        <w:top w:val="none" w:sz="0" w:space="0" w:color="auto"/>
        <w:left w:val="none" w:sz="0" w:space="0" w:color="auto"/>
        <w:bottom w:val="none" w:sz="0" w:space="0" w:color="auto"/>
        <w:right w:val="none" w:sz="0" w:space="0" w:color="auto"/>
      </w:divBdr>
    </w:div>
    <w:div w:id="1769350096">
      <w:bodyDiv w:val="1"/>
      <w:marLeft w:val="0"/>
      <w:marRight w:val="0"/>
      <w:marTop w:val="0"/>
      <w:marBottom w:val="0"/>
      <w:divBdr>
        <w:top w:val="none" w:sz="0" w:space="0" w:color="auto"/>
        <w:left w:val="none" w:sz="0" w:space="0" w:color="auto"/>
        <w:bottom w:val="none" w:sz="0" w:space="0" w:color="auto"/>
        <w:right w:val="none" w:sz="0" w:space="0" w:color="auto"/>
      </w:divBdr>
    </w:div>
    <w:div w:id="2051684544">
      <w:bodyDiv w:val="1"/>
      <w:marLeft w:val="0"/>
      <w:marRight w:val="0"/>
      <w:marTop w:val="0"/>
      <w:marBottom w:val="0"/>
      <w:divBdr>
        <w:top w:val="none" w:sz="0" w:space="0" w:color="auto"/>
        <w:left w:val="none" w:sz="0" w:space="0" w:color="auto"/>
        <w:bottom w:val="none" w:sz="0" w:space="0" w:color="auto"/>
        <w:right w:val="none" w:sz="0" w:space="0" w:color="auto"/>
      </w:divBdr>
    </w:div>
    <w:div w:id="2067875439">
      <w:bodyDiv w:val="1"/>
      <w:marLeft w:val="0"/>
      <w:marRight w:val="0"/>
      <w:marTop w:val="0"/>
      <w:marBottom w:val="0"/>
      <w:divBdr>
        <w:top w:val="none" w:sz="0" w:space="0" w:color="auto"/>
        <w:left w:val="none" w:sz="0" w:space="0" w:color="auto"/>
        <w:bottom w:val="none" w:sz="0" w:space="0" w:color="auto"/>
        <w:right w:val="none" w:sz="0" w:space="0" w:color="auto"/>
      </w:divBdr>
      <w:divsChild>
        <w:div w:id="203253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73A96-6E6F-4F27-95C8-6EF15462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489</Words>
  <Characters>3773</Characters>
  <Application>Microsoft Office Word</Application>
  <DocSecurity>0</DocSecurity>
  <Lines>83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 Bochoidze</dc:creator>
  <cp:keywords/>
  <dc:description/>
  <cp:lastModifiedBy>Merab Bochoidze</cp:lastModifiedBy>
  <cp:revision>2</cp:revision>
  <dcterms:created xsi:type="dcterms:W3CDTF">2025-11-17T09:23:00Z</dcterms:created>
  <dcterms:modified xsi:type="dcterms:W3CDTF">2025-11-17T09:23:00Z</dcterms:modified>
</cp:coreProperties>
</file>