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B3269" w14:textId="77777777" w:rsidR="00277B38" w:rsidRPr="00FD0A70" w:rsidRDefault="00277B38" w:rsidP="00277B38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"/>
          <w:b/>
          <w:bCs/>
          <w:color w:val="222222"/>
          <w:sz w:val="20"/>
          <w:szCs w:val="20"/>
          <w:lang w:val="ka-GE"/>
        </w:rPr>
      </w:pPr>
      <w:r w:rsidRPr="00FD0A70">
        <w:rPr>
          <w:rFonts w:ascii="Sylfaen" w:eastAsia="Sylfaen_PDF_Subset" w:hAnsi="Sylfaen" w:cs="Sylfaen"/>
          <w:b/>
          <w:bCs/>
          <w:color w:val="222222"/>
          <w:sz w:val="20"/>
          <w:szCs w:val="20"/>
          <w:lang w:val="ka-GE"/>
        </w:rPr>
        <w:t>განმარტებითი ბარათი</w:t>
      </w:r>
    </w:p>
    <w:p w14:paraId="79E6E890" w14:textId="77777777" w:rsidR="00C317D5" w:rsidRPr="00FD0A70" w:rsidRDefault="00C317D5" w:rsidP="00277B38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"/>
          <w:b/>
          <w:bCs/>
          <w:color w:val="222222"/>
          <w:sz w:val="20"/>
          <w:szCs w:val="20"/>
          <w:lang w:val="ka-GE"/>
        </w:rPr>
      </w:pPr>
    </w:p>
    <w:p w14:paraId="062399FC" w14:textId="4AA7C5DE" w:rsidR="00277B38" w:rsidRPr="00FD0A70" w:rsidRDefault="00277B38" w:rsidP="00540E0F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Sylfaen_PDF_Subset" w:hAnsi="Sylfaen" w:cs="Sylfaen"/>
          <w:b/>
          <w:bCs/>
          <w:color w:val="222222"/>
          <w:sz w:val="20"/>
          <w:szCs w:val="20"/>
          <w:lang w:val="ka-GE"/>
        </w:rPr>
      </w:pPr>
      <w:r w:rsidRPr="00FD0A70">
        <w:rPr>
          <w:rFonts w:ascii="Sylfaen" w:eastAsia="Sylfaen_PDF_Subset" w:hAnsi="Sylfaen" w:cs="Sylfaen"/>
          <w:b/>
          <w:bCs/>
          <w:color w:val="222222"/>
          <w:sz w:val="20"/>
          <w:szCs w:val="20"/>
          <w:lang w:val="ka-GE"/>
        </w:rPr>
        <w:t>„რადიოსიხშირული სპექტრის განაწილების ეროვნული  გეგმის დამტკიცების შესახებ” საქართველოს კომუნიკაციების ეროვნული კომისიის 2006 წლის 30 ივნისის №6 დადგენილებაში ცვლილებების შეტანის შესახებ</w:t>
      </w:r>
    </w:p>
    <w:p w14:paraId="36EFBB04" w14:textId="77777777" w:rsidR="00277B38" w:rsidRPr="00FD0A70" w:rsidRDefault="00277B38" w:rsidP="00277B38">
      <w:pPr>
        <w:spacing w:before="120" w:after="120"/>
        <w:jc w:val="center"/>
        <w:rPr>
          <w:rFonts w:ascii="Sylfaen" w:hAnsi="Sylfaen"/>
          <w:b/>
          <w:sz w:val="20"/>
          <w:szCs w:val="20"/>
          <w:lang w:val="ka-GE"/>
        </w:rPr>
      </w:pPr>
      <w:r w:rsidRPr="00FD0A70">
        <w:rPr>
          <w:rFonts w:ascii="Sylfaen" w:hAnsi="Sylfaen"/>
          <w:b/>
          <w:sz w:val="20"/>
          <w:szCs w:val="20"/>
          <w:lang w:val="ka-GE"/>
        </w:rPr>
        <w:t>საქართველოს კომუნიკაციების ეროვნული კომისიის დადგენილების პროექტზე</w:t>
      </w:r>
    </w:p>
    <w:p w14:paraId="601D0D8C" w14:textId="3765AD1C" w:rsidR="00C317D5" w:rsidRPr="00FD0A70" w:rsidRDefault="00831274" w:rsidP="00125C31">
      <w:pPr>
        <w:tabs>
          <w:tab w:val="left" w:pos="7650"/>
        </w:tabs>
        <w:jc w:val="both"/>
        <w:rPr>
          <w:rFonts w:ascii="Sylfaen" w:eastAsia="Sylfaen_PDF_Subset" w:hAnsi="Sylfaen" w:cs="Sylfaen_PDF_Subset"/>
          <w:sz w:val="20"/>
          <w:szCs w:val="20"/>
          <w:lang w:val="ka-GE"/>
        </w:rPr>
      </w:pP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საქართველოს კანონის „ელექტრონული კომუნიკაციების შესახებ“ </w:t>
      </w:r>
      <w:r w:rsidR="00125C31">
        <w:rPr>
          <w:rFonts w:ascii="Sylfaen" w:eastAsia="Sylfaen_PDF_Subset" w:hAnsi="Sylfaen"/>
          <w:sz w:val="20"/>
          <w:szCs w:val="20"/>
          <w:lang w:val="ka-GE"/>
        </w:rPr>
        <w:t xml:space="preserve">საქართველოს კანონის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47-ე მუხლის მე-5 პუნქტის </w:t>
      </w:r>
      <w:r w:rsidR="001E2BE1" w:rsidRPr="00FD0A70">
        <w:rPr>
          <w:rFonts w:ascii="Sylfaen" w:eastAsia="Sylfaen_PDF_Subset" w:hAnsi="Sylfaen"/>
          <w:sz w:val="20"/>
          <w:szCs w:val="20"/>
          <w:lang w:val="ka-GE"/>
        </w:rPr>
        <w:t>თანახმად,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 „რადიოსიხშირული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სპექტრის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განაწილების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ეროვნულ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გეგმას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ადგენს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კომისია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ტელეკომუნიკაციების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საერთაშორისო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კავშირის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რადიორეგლამენტის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შესაბამისად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,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საქართველოს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მთავრობის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მიერ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კომისიასთან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შეთანხმებით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სახელმწიფოს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საჯარო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ფუნქციების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უზრუნველსაყოფად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განსაზღვრული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რადიოსიხშირეების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გათვალისწინებით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>.“</w:t>
      </w:r>
    </w:p>
    <w:p w14:paraId="52E4E8E2" w14:textId="373D0FC9" w:rsidR="00F92F22" w:rsidRPr="00FD0A70" w:rsidRDefault="002D7596" w:rsidP="00C71F25">
      <w:pPr>
        <w:jc w:val="both"/>
        <w:rPr>
          <w:rFonts w:ascii="Sylfaen" w:eastAsia="Sylfaen_PDF_Subset" w:hAnsi="Sylfaen"/>
          <w:sz w:val="20"/>
          <w:szCs w:val="20"/>
          <w:lang w:val="ka-GE"/>
        </w:rPr>
      </w:pPr>
      <w:r w:rsidRPr="00FD0A70">
        <w:rPr>
          <w:rFonts w:ascii="Sylfaen" w:eastAsia="Sylfaen_PDF_Subset" w:hAnsi="Sylfaen"/>
          <w:sz w:val="20"/>
          <w:szCs w:val="20"/>
          <w:lang w:val="ka-GE"/>
        </w:rPr>
        <w:t>„რადიოსიხშირული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სპექტრის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განაწილების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ეროვნულ</w:t>
      </w:r>
      <w:r w:rsidR="006F35D7" w:rsidRPr="00FD0A70">
        <w:rPr>
          <w:rFonts w:ascii="Sylfaen" w:eastAsia="Sylfaen_PDF_Subset" w:hAnsi="Sylfaen"/>
          <w:sz w:val="20"/>
          <w:szCs w:val="20"/>
          <w:lang w:val="ka-GE"/>
        </w:rPr>
        <w:t>ი</w:t>
      </w:r>
      <w:r w:rsidRPr="00FD0A70">
        <w:rPr>
          <w:rFonts w:ascii="Sylfaen" w:eastAsia="Sylfaen_PDF_Subset" w:hAnsi="Sylfaen" w:cs="Sylfaen_PDF_Subset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გეგმა</w:t>
      </w:r>
      <w:r w:rsidR="003B1039" w:rsidRPr="00FD0A70">
        <w:rPr>
          <w:rFonts w:ascii="Sylfaen" w:eastAsia="Sylfaen_PDF_Subset" w:hAnsi="Sylfaen"/>
          <w:sz w:val="20"/>
          <w:szCs w:val="20"/>
          <w:lang w:val="ka-GE"/>
        </w:rPr>
        <w:t>“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="0079010E" w:rsidRPr="00FD0A70">
        <w:rPr>
          <w:rFonts w:ascii="Sylfaen" w:eastAsia="Sylfaen_PDF_Subset" w:hAnsi="Sylfaen"/>
          <w:sz w:val="20"/>
          <w:szCs w:val="20"/>
          <w:lang w:val="ka-GE"/>
        </w:rPr>
        <w:t>(შემდგომში „გეგმა“</w:t>
      </w:r>
      <w:r w:rsidR="001E2BE1" w:rsidRPr="00FD0A70">
        <w:rPr>
          <w:rFonts w:ascii="Sylfaen" w:eastAsia="Sylfaen_PDF_Subset" w:hAnsi="Sylfaen"/>
          <w:sz w:val="20"/>
          <w:szCs w:val="20"/>
          <w:lang w:val="ka-GE"/>
        </w:rPr>
        <w:t>)</w:t>
      </w:r>
      <w:r w:rsidR="0079010E"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პირველად გამოქვეყნ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>ებული იქნა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 2006 წელს. </w:t>
      </w:r>
      <w:r w:rsidR="00E90018" w:rsidRPr="00FD0A70">
        <w:rPr>
          <w:rFonts w:ascii="Sylfaen" w:eastAsia="Sylfaen_PDF_Subset" w:hAnsi="Sylfaen"/>
          <w:sz w:val="20"/>
          <w:szCs w:val="20"/>
          <w:lang w:val="ka-GE"/>
        </w:rPr>
        <w:t xml:space="preserve">ახალი 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>ტექნოლოგიების დანერგვის</w:t>
      </w:r>
      <w:r w:rsidR="00277B38" w:rsidRPr="00FD0A70">
        <w:rPr>
          <w:rFonts w:ascii="Sylfaen" w:eastAsia="Sylfaen_PDF_Subset" w:hAnsi="Sylfaen"/>
          <w:sz w:val="20"/>
          <w:szCs w:val="20"/>
          <w:lang w:val="ka-GE"/>
        </w:rPr>
        <w:t xml:space="preserve">ა და </w:t>
      </w:r>
      <w:r w:rsidR="007636BA" w:rsidRPr="00FD0A70">
        <w:rPr>
          <w:rFonts w:ascii="Sylfaen" w:eastAsia="Sylfaen_PDF_Subset" w:hAnsi="Sylfaen"/>
          <w:sz w:val="20"/>
          <w:szCs w:val="20"/>
          <w:lang w:val="ka-GE"/>
        </w:rPr>
        <w:t>ასევე</w:t>
      </w:r>
      <w:r w:rsidR="00E90018" w:rsidRPr="00FD0A70">
        <w:rPr>
          <w:rFonts w:ascii="Sylfaen" w:eastAsia="Sylfaen_PDF_Subset" w:hAnsi="Sylfaen"/>
          <w:sz w:val="20"/>
          <w:szCs w:val="20"/>
          <w:lang w:val="ka-GE"/>
        </w:rPr>
        <w:t xml:space="preserve"> ეროვნულ დონეზე </w:t>
      </w:r>
      <w:r w:rsidR="007636BA" w:rsidRPr="00FD0A70">
        <w:rPr>
          <w:rFonts w:ascii="Sylfaen" w:eastAsia="Sylfaen_PDF_Subset" w:hAnsi="Sylfaen"/>
          <w:sz w:val="20"/>
          <w:szCs w:val="20"/>
          <w:lang w:val="ka-GE"/>
        </w:rPr>
        <w:t>რადიოსიხშირული სპექტრის გამოყენების</w:t>
      </w:r>
      <w:r w:rsidR="00E90018" w:rsidRPr="00FD0A70">
        <w:rPr>
          <w:rFonts w:ascii="Sylfaen" w:eastAsia="Sylfaen_PDF_Subset" w:hAnsi="Sylfaen"/>
          <w:sz w:val="20"/>
          <w:szCs w:val="20"/>
          <w:lang w:val="ka-GE"/>
        </w:rPr>
        <w:t xml:space="preserve"> მოთხოვნებ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>ი</w:t>
      </w:r>
      <w:r w:rsidR="00277B38" w:rsidRPr="00FD0A70">
        <w:rPr>
          <w:rFonts w:ascii="Sylfaen" w:eastAsia="Sylfaen_PDF_Subset" w:hAnsi="Sylfaen"/>
          <w:sz w:val="20"/>
          <w:szCs w:val="20"/>
          <w:lang w:val="ka-GE"/>
        </w:rPr>
        <w:t>დან გამომდინარე, კომისია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="00277B38" w:rsidRPr="00FD0A70">
        <w:rPr>
          <w:rFonts w:ascii="Sylfaen" w:eastAsia="Sylfaen_PDF_Subset" w:hAnsi="Sylfaen"/>
          <w:sz w:val="20"/>
          <w:szCs w:val="20"/>
          <w:lang w:val="ka-GE"/>
        </w:rPr>
        <w:t>პერიოდულად ახორციელებს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="007636BA"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="00E90018" w:rsidRPr="00FD0A70">
        <w:rPr>
          <w:rFonts w:ascii="Sylfaen" w:eastAsia="Sylfaen_PDF_Subset" w:hAnsi="Sylfaen"/>
          <w:sz w:val="20"/>
          <w:szCs w:val="20"/>
          <w:lang w:val="ka-GE"/>
        </w:rPr>
        <w:t>გეგმ</w:t>
      </w:r>
      <w:r w:rsidR="007636BA" w:rsidRPr="00FD0A70">
        <w:rPr>
          <w:rFonts w:ascii="Sylfaen" w:eastAsia="Sylfaen_PDF_Subset" w:hAnsi="Sylfaen"/>
          <w:sz w:val="20"/>
          <w:szCs w:val="20"/>
          <w:lang w:val="ka-GE"/>
        </w:rPr>
        <w:t>აში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>ცვლილებები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>სა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 </w:t>
      </w:r>
      <w:r w:rsidR="002A5A65" w:rsidRPr="00FD0A70">
        <w:rPr>
          <w:rFonts w:ascii="Sylfaen" w:eastAsia="Sylfaen_PDF_Subset" w:hAnsi="Sylfaen"/>
          <w:sz w:val="20"/>
          <w:szCs w:val="20"/>
          <w:lang w:val="ka-GE"/>
        </w:rPr>
        <w:t xml:space="preserve"> შეტანა</w:t>
      </w:r>
      <w:r w:rsidR="008A7750" w:rsidRPr="00FD0A70">
        <w:rPr>
          <w:rFonts w:ascii="Sylfaen" w:eastAsia="Sylfaen_PDF_Subset" w:hAnsi="Sylfaen"/>
          <w:sz w:val="20"/>
          <w:szCs w:val="20"/>
          <w:lang w:val="ka-GE"/>
        </w:rPr>
        <w:t>ს</w:t>
      </w:r>
      <w:r w:rsidRPr="00FD0A70">
        <w:rPr>
          <w:rFonts w:ascii="Sylfaen" w:eastAsia="Sylfaen_PDF_Subset" w:hAnsi="Sylfaen"/>
          <w:sz w:val="20"/>
          <w:szCs w:val="20"/>
          <w:lang w:val="ka-GE"/>
        </w:rPr>
        <w:t xml:space="preserve">.  </w:t>
      </w:r>
    </w:p>
    <w:p w14:paraId="375FC177" w14:textId="66621B37" w:rsidR="002651D3" w:rsidRPr="00FD0A70" w:rsidRDefault="002A5A65" w:rsidP="002651D3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sz w:val="20"/>
          <w:szCs w:val="20"/>
          <w:lang w:val="ka-GE"/>
        </w:rPr>
        <w:t>აქედან გამომდინარე</w:t>
      </w:r>
      <w:r w:rsidR="00FC6B60" w:rsidRPr="00FD0A70">
        <w:rPr>
          <w:rFonts w:ascii="Sylfaen" w:hAnsi="Sylfaen" w:cstheme="minorHAnsi"/>
          <w:sz w:val="20"/>
          <w:szCs w:val="20"/>
          <w:lang w:val="ka-GE"/>
        </w:rPr>
        <w:t>,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მომზადებული იქნა  გეგმაში </w:t>
      </w:r>
      <w:r w:rsidR="009E7687" w:rsidRPr="00FD0A70">
        <w:rPr>
          <w:rFonts w:ascii="Sylfaen" w:hAnsi="Sylfaen" w:cstheme="minorHAnsi"/>
          <w:sz w:val="20"/>
          <w:szCs w:val="20"/>
          <w:lang w:val="ka-GE"/>
        </w:rPr>
        <w:t xml:space="preserve">შესატანი </w:t>
      </w:r>
      <w:r w:rsidRPr="00FD0A70">
        <w:rPr>
          <w:rFonts w:ascii="Sylfaen" w:hAnsi="Sylfaen" w:cstheme="minorHAnsi"/>
          <w:sz w:val="20"/>
          <w:szCs w:val="20"/>
          <w:lang w:val="ka-GE"/>
        </w:rPr>
        <w:t>ცვლილებების პროექტი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 xml:space="preserve">, რომელიც </w:t>
      </w:r>
      <w:r w:rsidR="00F92F22" w:rsidRPr="00FD0A70">
        <w:rPr>
          <w:rFonts w:ascii="Sylfaen" w:hAnsi="Sylfaen" w:cstheme="minorHAnsi"/>
          <w:sz w:val="20"/>
          <w:szCs w:val="20"/>
          <w:lang w:val="ka-GE"/>
        </w:rPr>
        <w:t>ი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>თვალი</w:t>
      </w:r>
      <w:r w:rsidR="005D0BD1" w:rsidRPr="00FD0A70">
        <w:rPr>
          <w:rFonts w:ascii="Sylfaen" w:hAnsi="Sylfaen" w:cstheme="minorHAnsi"/>
          <w:sz w:val="20"/>
          <w:szCs w:val="20"/>
          <w:lang w:val="ka-GE"/>
        </w:rPr>
        <w:t>ს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>წ</w:t>
      </w:r>
      <w:r w:rsidR="005D0BD1" w:rsidRPr="00FD0A70">
        <w:rPr>
          <w:rFonts w:ascii="Sylfaen" w:hAnsi="Sylfaen" w:cstheme="minorHAnsi"/>
          <w:sz w:val="20"/>
          <w:szCs w:val="20"/>
          <w:lang w:val="ka-GE"/>
        </w:rPr>
        <w:t>ი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>ნე</w:t>
      </w:r>
      <w:r w:rsidR="00F92F22" w:rsidRPr="00FD0A70">
        <w:rPr>
          <w:rFonts w:ascii="Sylfaen" w:hAnsi="Sylfaen" w:cstheme="minorHAnsi"/>
          <w:sz w:val="20"/>
          <w:szCs w:val="20"/>
          <w:lang w:val="ka-GE"/>
        </w:rPr>
        <w:t>ბს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 xml:space="preserve"> ტელეკომუნიკაციების საერთაშორისო კავშირის (ITU), </w:t>
      </w:r>
      <w:r w:rsidR="005D0BD1" w:rsidRPr="00FD0A70">
        <w:rPr>
          <w:rFonts w:ascii="Sylfaen" w:hAnsi="Sylfaen" w:cstheme="minorHAnsi"/>
          <w:sz w:val="20"/>
          <w:szCs w:val="20"/>
          <w:lang w:val="ka-GE"/>
        </w:rPr>
        <w:t xml:space="preserve">ევროკომისიის (EC) 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 xml:space="preserve">და </w:t>
      </w:r>
      <w:r w:rsidR="00C71F25" w:rsidRPr="002C70EB">
        <w:rPr>
          <w:rFonts w:ascii="Sylfaen" w:hAnsi="Sylfaen"/>
          <w:sz w:val="20"/>
          <w:szCs w:val="20"/>
          <w:lang w:val="ka-GE"/>
        </w:rPr>
        <w:t>ევროპი</w:t>
      </w:r>
      <w:r w:rsidR="00C71F25" w:rsidRPr="002C70EB">
        <w:rPr>
          <w:rFonts w:ascii="Sylfaen" w:hAnsi="Sylfaen" w:cs="Sylfaen"/>
          <w:sz w:val="20"/>
          <w:szCs w:val="20"/>
          <w:lang w:val="ka-GE"/>
        </w:rPr>
        <w:t>ს</w:t>
      </w:r>
      <w:r w:rsidR="00C71F25" w:rsidRPr="002C70EB">
        <w:rPr>
          <w:rFonts w:ascii="Sylfaen" w:hAnsi="Sylfaen"/>
          <w:sz w:val="20"/>
          <w:szCs w:val="20"/>
          <w:lang w:val="ka-GE"/>
        </w:rPr>
        <w:t xml:space="preserve"> საფოსტო და სატელეკომუნიკაციო ადმინისტრაციების კონფერენციის</w:t>
      </w:r>
      <w:r w:rsidR="00C71F25" w:rsidRPr="00FD0A70">
        <w:rPr>
          <w:sz w:val="20"/>
          <w:szCs w:val="20"/>
          <w:lang w:val="ka-GE"/>
        </w:rPr>
        <w:t xml:space="preserve"> </w:t>
      </w:r>
      <w:r w:rsidR="00C71F25" w:rsidRPr="002C70EB">
        <w:rPr>
          <w:rFonts w:ascii="Sylfaen" w:hAnsi="Sylfaen"/>
          <w:sz w:val="20"/>
          <w:szCs w:val="20"/>
          <w:lang w:val="ka-GE"/>
        </w:rPr>
        <w:t>(CEPT)</w:t>
      </w:r>
      <w:r w:rsidR="00C71F25" w:rsidRPr="00FD0A70">
        <w:rPr>
          <w:rFonts w:ascii="Sylfaen" w:hAnsi="Sylfaen" w:cstheme="minorHAnsi"/>
          <w:sz w:val="20"/>
          <w:szCs w:val="20"/>
          <w:lang w:val="ka-GE"/>
        </w:rPr>
        <w:t xml:space="preserve"> გადაწყვეტილებებს და რეკომენდაციე</w:t>
      </w:r>
      <w:r w:rsidR="002651D3" w:rsidRPr="00FD0A70">
        <w:rPr>
          <w:rFonts w:ascii="Sylfaen" w:hAnsi="Sylfaen" w:cstheme="minorHAnsi"/>
          <w:sz w:val="20"/>
          <w:szCs w:val="20"/>
          <w:lang w:val="ka-GE"/>
        </w:rPr>
        <w:t>ბ</w:t>
      </w:r>
      <w:r w:rsidR="00976E44" w:rsidRPr="00FD0A70">
        <w:rPr>
          <w:rFonts w:ascii="Sylfaen" w:hAnsi="Sylfaen" w:cstheme="minorHAnsi"/>
          <w:sz w:val="20"/>
          <w:szCs w:val="20"/>
          <w:lang w:val="ka-GE"/>
        </w:rPr>
        <w:t>ს</w:t>
      </w:r>
      <w:r w:rsidR="003A3D34" w:rsidRPr="00FD0A70">
        <w:rPr>
          <w:rFonts w:ascii="Sylfaen" w:hAnsi="Sylfaen" w:cstheme="minorHAnsi"/>
          <w:sz w:val="20"/>
          <w:szCs w:val="20"/>
          <w:lang w:val="ka-GE"/>
        </w:rPr>
        <w:t>.</w:t>
      </w:r>
    </w:p>
    <w:p w14:paraId="16788655" w14:textId="4120E946" w:rsidR="002651D3" w:rsidRPr="00FD0A70" w:rsidRDefault="002651D3" w:rsidP="002651D3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sz w:val="20"/>
          <w:szCs w:val="20"/>
          <w:lang w:val="ka-GE"/>
        </w:rPr>
        <w:t>ასევე განისაზღვრა მცირე რადიუსზე მოქმედი მოწყობილობებისთვის (SRD) განახლებული ტექნიკური პარამეტრები CEPT-ისა და ევრო</w:t>
      </w:r>
      <w:r w:rsidR="00FF3C8E">
        <w:rPr>
          <w:rFonts w:ascii="Sylfaen" w:hAnsi="Sylfaen" w:cstheme="minorHAnsi"/>
          <w:sz w:val="20"/>
          <w:szCs w:val="20"/>
          <w:lang w:val="ka-GE"/>
        </w:rPr>
        <w:t>კომისიის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შესაბამისი </w:t>
      </w:r>
      <w:r w:rsidR="002C70EB">
        <w:rPr>
          <w:rFonts w:ascii="Sylfaen" w:hAnsi="Sylfaen" w:cstheme="minorHAnsi"/>
          <w:sz w:val="20"/>
          <w:szCs w:val="20"/>
          <w:lang w:val="ka-GE"/>
        </w:rPr>
        <w:t>გადაწყვეტილებებისა და რეკომენდაციების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მითითებით</w:t>
      </w:r>
      <w:r w:rsidR="002C70EB">
        <w:rPr>
          <w:rFonts w:ascii="Sylfaen" w:hAnsi="Sylfaen" w:cstheme="minorHAnsi"/>
          <w:sz w:val="20"/>
          <w:szCs w:val="20"/>
          <w:lang w:val="ka-GE"/>
        </w:rPr>
        <w:t>,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რომლებიც ხელს შეუწყობს რადიოსიხშირული სპექტრის რაციონალურ გამოყენებას. </w:t>
      </w:r>
    </w:p>
    <w:p w14:paraId="5462C2AA" w14:textId="1225F6B3" w:rsidR="00C71F25" w:rsidRPr="00FD0A70" w:rsidRDefault="00F63FD3" w:rsidP="00FD0A70">
      <w:pPr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sz w:val="20"/>
          <w:szCs w:val="20"/>
          <w:lang w:val="ka-GE"/>
        </w:rPr>
        <w:t xml:space="preserve">გეგმაში </w:t>
      </w:r>
      <w:r w:rsidR="002651D3" w:rsidRPr="00FD0A70">
        <w:rPr>
          <w:rFonts w:ascii="Sylfaen" w:hAnsi="Sylfaen" w:cstheme="minorHAnsi"/>
          <w:sz w:val="20"/>
          <w:szCs w:val="20"/>
          <w:lang w:val="ka-GE"/>
        </w:rPr>
        <w:t>დამატებით განისაზღვრა ცვლილებები</w:t>
      </w:r>
      <w:r w:rsidR="003A3D34" w:rsidRPr="00FD0A70">
        <w:rPr>
          <w:rFonts w:ascii="Sylfaen" w:hAnsi="Sylfaen" w:cstheme="minorHAnsi"/>
          <w:sz w:val="20"/>
          <w:szCs w:val="20"/>
          <w:lang w:val="ka-GE"/>
        </w:rPr>
        <w:t>,</w:t>
      </w:r>
      <w:r w:rsidR="002651D3" w:rsidRPr="00FD0A70">
        <w:rPr>
          <w:rFonts w:ascii="Sylfaen" w:hAnsi="Sylfaen" w:cstheme="minorHAnsi"/>
          <w:sz w:val="20"/>
          <w:szCs w:val="20"/>
          <w:lang w:val="ka-GE"/>
        </w:rPr>
        <w:t xml:space="preserve"> რომელებიც შესაძლებელს გახდის ახალი ტექნოლოგიების დანერგვას და </w:t>
      </w:r>
      <w:r w:rsidR="003A3D34" w:rsidRPr="00FD0A70">
        <w:rPr>
          <w:rFonts w:ascii="Sylfaen" w:hAnsi="Sylfaen" w:cstheme="minorHAnsi"/>
          <w:sz w:val="20"/>
          <w:szCs w:val="20"/>
          <w:lang w:val="ka-GE"/>
        </w:rPr>
        <w:t>მოთხოვნ</w:t>
      </w:r>
      <w:r w:rsidR="00BD3190" w:rsidRPr="00FD0A70">
        <w:rPr>
          <w:rFonts w:ascii="Sylfaen" w:hAnsi="Sylfaen" w:cstheme="minorHAnsi"/>
          <w:sz w:val="20"/>
          <w:szCs w:val="20"/>
          <w:lang w:val="ka-GE"/>
        </w:rPr>
        <w:t>ა</w:t>
      </w:r>
      <w:r w:rsidR="003A3D34" w:rsidRPr="00FD0A70">
        <w:rPr>
          <w:rFonts w:ascii="Sylfaen" w:hAnsi="Sylfaen" w:cstheme="minorHAnsi"/>
          <w:sz w:val="20"/>
          <w:szCs w:val="20"/>
          <w:lang w:val="ka-GE"/>
        </w:rPr>
        <w:t xml:space="preserve">დი </w:t>
      </w:r>
      <w:r w:rsidR="00590069" w:rsidRPr="00FD0A70">
        <w:rPr>
          <w:rFonts w:ascii="Sylfaen" w:hAnsi="Sylfaen" w:cstheme="minorHAnsi"/>
          <w:sz w:val="20"/>
          <w:szCs w:val="20"/>
          <w:lang w:val="ka-GE"/>
        </w:rPr>
        <w:t xml:space="preserve">სატელეკომუნიკაციო </w:t>
      </w:r>
      <w:r w:rsidR="002651D3" w:rsidRPr="00FD0A70">
        <w:rPr>
          <w:rFonts w:ascii="Sylfaen" w:hAnsi="Sylfaen" w:cstheme="minorHAnsi"/>
          <w:sz w:val="20"/>
          <w:szCs w:val="20"/>
          <w:lang w:val="ka-GE"/>
        </w:rPr>
        <w:t>მომს</w:t>
      </w:r>
      <w:r w:rsidR="00590069" w:rsidRPr="00FD0A70">
        <w:rPr>
          <w:rFonts w:ascii="Sylfaen" w:hAnsi="Sylfaen" w:cstheme="minorHAnsi"/>
          <w:sz w:val="20"/>
          <w:szCs w:val="20"/>
          <w:lang w:val="ka-GE"/>
        </w:rPr>
        <w:t>ა</w:t>
      </w:r>
      <w:r w:rsidR="002651D3" w:rsidRPr="00FD0A70">
        <w:rPr>
          <w:rFonts w:ascii="Sylfaen" w:hAnsi="Sylfaen" w:cstheme="minorHAnsi"/>
          <w:sz w:val="20"/>
          <w:szCs w:val="20"/>
          <w:lang w:val="ka-GE"/>
        </w:rPr>
        <w:t>ხურებების მიწოდ</w:t>
      </w:r>
      <w:r w:rsidR="00590069" w:rsidRPr="00FD0A70">
        <w:rPr>
          <w:rFonts w:ascii="Sylfaen" w:hAnsi="Sylfaen" w:cstheme="minorHAnsi"/>
          <w:sz w:val="20"/>
          <w:szCs w:val="20"/>
          <w:lang w:val="ka-GE"/>
        </w:rPr>
        <w:t>ე</w:t>
      </w:r>
      <w:r w:rsidR="002651D3" w:rsidRPr="00FD0A70">
        <w:rPr>
          <w:rFonts w:ascii="Sylfaen" w:hAnsi="Sylfaen" w:cstheme="minorHAnsi"/>
          <w:sz w:val="20"/>
          <w:szCs w:val="20"/>
          <w:lang w:val="ka-GE"/>
        </w:rPr>
        <w:t>ბას.</w:t>
      </w:r>
    </w:p>
    <w:p w14:paraId="67A29605" w14:textId="0784A5BC" w:rsidR="003A3D34" w:rsidRPr="00FD0A70" w:rsidRDefault="00BE23B8" w:rsidP="00C317D5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554038">
        <w:rPr>
          <w:rFonts w:ascii="Sylfaen" w:hAnsi="Sylfaen" w:cstheme="minorHAnsi"/>
          <w:sz w:val="20"/>
          <w:szCs w:val="20"/>
          <w:lang w:val="ka-GE"/>
        </w:rPr>
        <w:t>გეგ</w:t>
      </w:r>
      <w:r>
        <w:rPr>
          <w:rFonts w:ascii="Sylfaen" w:hAnsi="Sylfaen" w:cstheme="minorHAnsi"/>
          <w:sz w:val="20"/>
          <w:szCs w:val="20"/>
          <w:lang w:val="ka-GE"/>
        </w:rPr>
        <w:t>მაში შემოთავაზებული ცვლილებები</w:t>
      </w:r>
      <w:r w:rsidR="004F46F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3A3D34" w:rsidRPr="00FD0A70">
        <w:rPr>
          <w:rFonts w:ascii="Sylfaen" w:hAnsi="Sylfaen" w:cstheme="minorHAnsi"/>
          <w:sz w:val="20"/>
          <w:szCs w:val="20"/>
          <w:lang w:val="ka-GE"/>
        </w:rPr>
        <w:t xml:space="preserve">ითვალისწინებს </w:t>
      </w:r>
      <w:r w:rsidR="00FF3C8E">
        <w:rPr>
          <w:rFonts w:ascii="Sylfaen" w:hAnsi="Sylfaen" w:cstheme="minorHAnsi"/>
          <w:sz w:val="20"/>
          <w:szCs w:val="20"/>
          <w:lang w:val="ka-GE"/>
        </w:rPr>
        <w:t>ევროკომისიის</w:t>
      </w:r>
      <w:r w:rsidR="003A3D34" w:rsidRPr="00FD0A70">
        <w:rPr>
          <w:rFonts w:ascii="Sylfaen" w:hAnsi="Sylfaen" w:cstheme="minorHAnsi"/>
          <w:sz w:val="20"/>
          <w:szCs w:val="20"/>
          <w:lang w:val="ka-GE"/>
        </w:rPr>
        <w:t xml:space="preserve"> და CEPT-ის შემდეგ </w:t>
      </w:r>
      <w:r>
        <w:rPr>
          <w:rFonts w:ascii="Sylfaen" w:hAnsi="Sylfaen" w:cstheme="minorHAnsi"/>
          <w:sz w:val="20"/>
          <w:szCs w:val="20"/>
          <w:lang w:val="ka-GE"/>
        </w:rPr>
        <w:t xml:space="preserve">გადაწყვეტილებებს და რეკომენდაციებს </w:t>
      </w:r>
    </w:p>
    <w:p w14:paraId="0B8A8959" w14:textId="0CEC24BB" w:rsidR="00400ED2" w:rsidRPr="00FD0A70" w:rsidRDefault="003A5CAB" w:rsidP="00FD0A70">
      <w:pPr>
        <w:jc w:val="center"/>
        <w:rPr>
          <w:rFonts w:ascii="Sylfaen" w:hAnsi="Sylfaen" w:cstheme="minorHAnsi"/>
          <w:b/>
          <w:bCs/>
          <w:sz w:val="20"/>
          <w:szCs w:val="20"/>
          <w:lang w:val="ka-GE"/>
        </w:rPr>
      </w:pPr>
      <w:r>
        <w:rPr>
          <w:rFonts w:ascii="Sylfaen" w:hAnsi="Sylfaen" w:cstheme="minorHAnsi"/>
          <w:b/>
          <w:bCs/>
          <w:sz w:val="20"/>
          <w:szCs w:val="20"/>
          <w:lang w:val="ka-GE"/>
        </w:rPr>
        <w:t>ევროკ</w:t>
      </w:r>
      <w:r w:rsidR="00806FDD">
        <w:rPr>
          <w:rFonts w:ascii="Sylfaen" w:hAnsi="Sylfaen" w:cstheme="minorHAnsi"/>
          <w:b/>
          <w:bCs/>
          <w:sz w:val="20"/>
          <w:szCs w:val="20"/>
          <w:lang w:val="ka-GE"/>
        </w:rPr>
        <w:t>ომისიის</w:t>
      </w:r>
      <w:r>
        <w:rPr>
          <w:rFonts w:ascii="Sylfaen" w:hAnsi="Sylfaen" w:cstheme="minorHAnsi"/>
          <w:b/>
          <w:bCs/>
          <w:sz w:val="20"/>
          <w:szCs w:val="20"/>
          <w:lang w:val="ka-GE"/>
        </w:rPr>
        <w:t xml:space="preserve"> </w:t>
      </w:r>
      <w:r w:rsidR="00400ED2" w:rsidRPr="00FD0A70">
        <w:rPr>
          <w:rFonts w:ascii="Sylfaen" w:hAnsi="Sylfaen" w:cstheme="minorHAnsi"/>
          <w:b/>
          <w:bCs/>
          <w:sz w:val="20"/>
          <w:szCs w:val="20"/>
          <w:lang w:val="ka-GE"/>
        </w:rPr>
        <w:t xml:space="preserve">  გადაწყვეტილებები</w:t>
      </w:r>
    </w:p>
    <w:p w14:paraId="4EA4D4A5" w14:textId="004F614B" w:rsidR="00526553" w:rsidRPr="00FD0A70" w:rsidRDefault="00526553" w:rsidP="001E75B4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t>(EU) 2022/2307</w:t>
      </w:r>
      <w:r w:rsidRPr="00FD0A70">
        <w:rPr>
          <w:rFonts w:ascii="Sylfaen" w:hAnsi="Sylfaen"/>
          <w:sz w:val="20"/>
          <w:szCs w:val="20"/>
          <w:lang w:val="ka-GE"/>
        </w:rPr>
        <w:t xml:space="preserve"> </w:t>
      </w:r>
      <w:r w:rsidR="001E75B4" w:rsidRPr="00FD0A70">
        <w:rPr>
          <w:rFonts w:ascii="Sylfaen" w:hAnsi="Sylfaen"/>
          <w:sz w:val="20"/>
          <w:szCs w:val="20"/>
          <w:lang w:val="ka-GE"/>
        </w:rPr>
        <w:t xml:space="preserve">- </w:t>
      </w:r>
      <w:r w:rsidRPr="00FD0A70">
        <w:rPr>
          <w:rFonts w:ascii="Sylfaen" w:hAnsi="Sylfaen"/>
          <w:sz w:val="20"/>
          <w:szCs w:val="20"/>
          <w:lang w:val="ka-GE"/>
        </w:rPr>
        <w:t xml:space="preserve">ევროკომისიის გადაწყვეტილება (როგორც (EU)2022/179 გადაწყვეტილების ჩასწორება), რომელიც ხელმისაწვდომს ხდის 5 150-5 250 მჰც, 5 250-5 350 მჰც </w:t>
      </w:r>
      <w:r w:rsidR="001E75B4" w:rsidRPr="00FD0A70">
        <w:rPr>
          <w:rFonts w:ascii="Sylfaen" w:hAnsi="Sylfaen"/>
          <w:sz w:val="20"/>
          <w:szCs w:val="20"/>
          <w:lang w:val="ka-GE"/>
        </w:rPr>
        <w:t>და</w:t>
      </w:r>
      <w:r w:rsidRPr="00FD0A70">
        <w:rPr>
          <w:rFonts w:ascii="Sylfaen" w:hAnsi="Sylfaen"/>
          <w:sz w:val="20"/>
          <w:szCs w:val="20"/>
          <w:lang w:val="ka-GE"/>
        </w:rPr>
        <w:t xml:space="preserve"> 5 470-5 725 მჰც სიხ</w:t>
      </w:r>
      <w:r w:rsidR="001E75B4" w:rsidRPr="00FD0A70">
        <w:rPr>
          <w:rFonts w:ascii="Sylfaen" w:hAnsi="Sylfaen"/>
          <w:sz w:val="20"/>
          <w:szCs w:val="20"/>
          <w:lang w:val="ka-GE"/>
        </w:rPr>
        <w:t>შ</w:t>
      </w:r>
      <w:r w:rsidRPr="00FD0A70">
        <w:rPr>
          <w:rFonts w:ascii="Sylfaen" w:hAnsi="Sylfaen"/>
          <w:sz w:val="20"/>
          <w:szCs w:val="20"/>
          <w:lang w:val="ka-GE"/>
        </w:rPr>
        <w:t>ირული ზოლების გამოყენებას RLAN ქსელების მიერ განახლებული ტექნიკური პარამეტრებით.</w:t>
      </w:r>
    </w:p>
    <w:p w14:paraId="247E9CE1" w14:textId="7B45CC4D" w:rsidR="00526553" w:rsidRPr="00FD0A70" w:rsidRDefault="00526553" w:rsidP="001E75B4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t>(EU) 2022/2324</w:t>
      </w:r>
      <w:r w:rsidRPr="00FD0A70">
        <w:rPr>
          <w:rFonts w:ascii="Sylfaen" w:hAnsi="Sylfaen"/>
          <w:sz w:val="20"/>
          <w:szCs w:val="20"/>
          <w:lang w:val="ka-GE"/>
        </w:rPr>
        <w:t xml:space="preserve"> - ევროკომისიის გადაწყვეტილება (როგორც 2008/294/EC გადაწყვეტილების ჩასწორება), რომელიც ითვალისწინებს თვითმფრინავის ბორტზე მობილური საკომუნიკაციო მომსახურების ფუნქციონირებ</w:t>
      </w:r>
      <w:r w:rsidR="001E75B4" w:rsidRPr="00FD0A70">
        <w:rPr>
          <w:rFonts w:ascii="Sylfaen" w:hAnsi="Sylfaen"/>
          <w:sz w:val="20"/>
          <w:szCs w:val="20"/>
          <w:lang w:val="ka-GE"/>
        </w:rPr>
        <w:t>ისთვის</w:t>
      </w:r>
      <w:r w:rsidRPr="00FD0A70">
        <w:rPr>
          <w:rFonts w:ascii="Sylfaen" w:hAnsi="Sylfaen"/>
          <w:sz w:val="20"/>
          <w:szCs w:val="20"/>
          <w:lang w:val="ka-GE"/>
        </w:rPr>
        <w:t xml:space="preserve"> დაშვების დამატებით ტექნოლოგიებს და პირობებს. </w:t>
      </w:r>
    </w:p>
    <w:p w14:paraId="28551C89" w14:textId="5977C41E" w:rsidR="00526553" w:rsidRPr="00FD0A70" w:rsidRDefault="00526553" w:rsidP="001E75B4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t>(EU) 2022/179</w:t>
      </w:r>
      <w:r w:rsidRPr="00FD0A70">
        <w:rPr>
          <w:rFonts w:ascii="Sylfaen" w:hAnsi="Sylfaen"/>
          <w:sz w:val="20"/>
          <w:szCs w:val="20"/>
          <w:lang w:val="ka-GE"/>
        </w:rPr>
        <w:t xml:space="preserve"> - ევროკომისიის გადაწყვეტილება 5 გჰც სიხშირულ ზოლში რადიო სპექტრის ჰარმონიზებულ გამოყენებაზე </w:t>
      </w:r>
      <w:r w:rsidR="002B2450" w:rsidRPr="00FD0A70">
        <w:rPr>
          <w:rFonts w:ascii="Sylfaen" w:hAnsi="Sylfaen"/>
          <w:sz w:val="20"/>
          <w:szCs w:val="20"/>
          <w:lang w:val="ka-GE"/>
        </w:rPr>
        <w:t>უსადენო</w:t>
      </w:r>
      <w:r w:rsidRPr="00FD0A70">
        <w:rPr>
          <w:rFonts w:ascii="Sylfaen" w:hAnsi="Sylfaen"/>
          <w:sz w:val="20"/>
          <w:szCs w:val="20"/>
          <w:lang w:val="ka-GE"/>
        </w:rPr>
        <w:t xml:space="preserve"> დაშვების სისტემების (მათ შორის RLAN) მიერ </w:t>
      </w:r>
    </w:p>
    <w:p w14:paraId="64348178" w14:textId="5771745B" w:rsidR="00526553" w:rsidRPr="00FD0A70" w:rsidRDefault="00526553" w:rsidP="001E75B4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t>(EU) 2022/172</w:t>
      </w:r>
      <w:r w:rsidRPr="00FD0A70">
        <w:rPr>
          <w:rFonts w:ascii="Sylfaen" w:hAnsi="Sylfaen"/>
          <w:sz w:val="20"/>
          <w:szCs w:val="20"/>
          <w:lang w:val="ka-GE"/>
        </w:rPr>
        <w:t xml:space="preserve"> - ევროკომისიის გადაწყვეტილება 874-876 </w:t>
      </w:r>
      <w:r w:rsidR="001E75B4" w:rsidRPr="00FD0A70">
        <w:rPr>
          <w:rFonts w:ascii="Sylfaen" w:hAnsi="Sylfaen"/>
          <w:sz w:val="20"/>
          <w:szCs w:val="20"/>
          <w:lang w:val="ka-GE"/>
        </w:rPr>
        <w:t>მჰც და</w:t>
      </w:r>
      <w:r w:rsidRPr="00FD0A70">
        <w:rPr>
          <w:rFonts w:ascii="Sylfaen" w:hAnsi="Sylfaen"/>
          <w:sz w:val="20"/>
          <w:szCs w:val="20"/>
          <w:lang w:val="ka-GE"/>
        </w:rPr>
        <w:t xml:space="preserve"> 915-921 მჰც სიხშირული ზოლებში მოკლე რადიუსზე მოქმედი მოწყობილობების (SRD) ფუნქციონირებასა და მის  ჰარმონიზებულ გამოყენებაზე</w:t>
      </w:r>
    </w:p>
    <w:p w14:paraId="3691CCF1" w14:textId="1208E68A" w:rsidR="00400ED2" w:rsidRDefault="00526553" w:rsidP="006A5FF7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lastRenderedPageBreak/>
        <w:t>(EU) 2022/173</w:t>
      </w:r>
      <w:r w:rsidRPr="00FD0A70">
        <w:rPr>
          <w:rFonts w:ascii="Sylfaen" w:hAnsi="Sylfaen"/>
          <w:sz w:val="20"/>
          <w:szCs w:val="20"/>
          <w:lang w:val="ka-GE"/>
        </w:rPr>
        <w:t xml:space="preserve"> - ევროკომისიის გადაწყვეტილება 900 მჰც </w:t>
      </w:r>
      <w:r w:rsidR="001E75B4" w:rsidRPr="00FD0A70">
        <w:rPr>
          <w:rFonts w:ascii="Sylfaen" w:hAnsi="Sylfaen"/>
          <w:sz w:val="20"/>
          <w:szCs w:val="20"/>
          <w:lang w:val="ka-GE"/>
        </w:rPr>
        <w:t>და</w:t>
      </w:r>
      <w:r w:rsidRPr="00FD0A70">
        <w:rPr>
          <w:rFonts w:ascii="Sylfaen" w:hAnsi="Sylfaen"/>
          <w:sz w:val="20"/>
          <w:szCs w:val="20"/>
          <w:lang w:val="ka-GE"/>
        </w:rPr>
        <w:t xml:space="preserve"> 1800 მჰც სიხშირული ზოლების ჰარმონიზებულ გამოყენებაზე ელექტრონული საკომუნიკაციო მომსახურების მიწოდების სისტემების მიერ. </w:t>
      </w:r>
    </w:p>
    <w:p w14:paraId="0812F088" w14:textId="77777777" w:rsidR="006A5FF7" w:rsidRPr="00FD0A70" w:rsidRDefault="006A5FF7" w:rsidP="006A5FF7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14:paraId="1648AC1A" w14:textId="50EA95E1" w:rsidR="00400ED2" w:rsidRPr="006A5FF7" w:rsidRDefault="00400ED2" w:rsidP="00400ED2">
      <w:pPr>
        <w:jc w:val="center"/>
        <w:rPr>
          <w:rFonts w:ascii="Sylfaen" w:hAnsi="Sylfaen" w:cstheme="minorHAnsi"/>
          <w:b/>
          <w:bCs/>
          <w:sz w:val="20"/>
          <w:szCs w:val="20"/>
          <w:lang w:val="ka-GE"/>
        </w:rPr>
      </w:pPr>
      <w:r w:rsidRPr="006A5FF7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474E82" w:rsidRPr="006A5FF7">
        <w:rPr>
          <w:rFonts w:ascii="Sylfaen" w:hAnsi="Sylfaen"/>
          <w:b/>
          <w:bCs/>
          <w:sz w:val="20"/>
          <w:szCs w:val="20"/>
          <w:lang w:val="ka-GE"/>
        </w:rPr>
        <w:t xml:space="preserve">CEPT-ის </w:t>
      </w:r>
      <w:r w:rsidR="00DA5B4B" w:rsidRPr="006A5FF7">
        <w:rPr>
          <w:rFonts w:ascii="Sylfaen" w:hAnsi="Sylfaen"/>
          <w:b/>
          <w:bCs/>
          <w:sz w:val="20"/>
          <w:szCs w:val="20"/>
          <w:lang w:val="ka-GE"/>
        </w:rPr>
        <w:t>ელექტრონული</w:t>
      </w:r>
      <w:r w:rsidR="00474E82" w:rsidRPr="006A5FF7">
        <w:rPr>
          <w:rFonts w:ascii="Sylfaen" w:hAnsi="Sylfaen"/>
          <w:b/>
          <w:bCs/>
          <w:sz w:val="20"/>
          <w:szCs w:val="20"/>
          <w:lang w:val="ka-GE"/>
        </w:rPr>
        <w:t xml:space="preserve"> კომუნიკაციების კომიტეტის (</w:t>
      </w:r>
      <w:r w:rsidRPr="006A5FF7">
        <w:rPr>
          <w:rFonts w:ascii="Sylfaen" w:hAnsi="Sylfaen" w:cstheme="minorHAnsi"/>
          <w:b/>
          <w:bCs/>
          <w:sz w:val="20"/>
          <w:szCs w:val="20"/>
          <w:lang w:val="ka-GE"/>
        </w:rPr>
        <w:t>ECC</w:t>
      </w:r>
      <w:r w:rsidR="00474E82" w:rsidRPr="006A5FF7">
        <w:rPr>
          <w:rFonts w:ascii="Sylfaen" w:hAnsi="Sylfaen" w:cstheme="minorHAnsi"/>
          <w:b/>
          <w:bCs/>
          <w:sz w:val="20"/>
          <w:szCs w:val="20"/>
          <w:lang w:val="ka-GE"/>
        </w:rPr>
        <w:t>)</w:t>
      </w:r>
      <w:r w:rsidRPr="006A5FF7">
        <w:rPr>
          <w:rFonts w:ascii="Sylfaen" w:hAnsi="Sylfaen" w:cstheme="minorHAnsi"/>
          <w:b/>
          <w:bCs/>
          <w:sz w:val="20"/>
          <w:szCs w:val="20"/>
          <w:lang w:val="ka-GE"/>
        </w:rPr>
        <w:t xml:space="preserve"> გადაწყვეტილებები</w:t>
      </w:r>
    </w:p>
    <w:p w14:paraId="37E4130E" w14:textId="7CFF2A1F" w:rsidR="00400ED2" w:rsidRPr="00FD0A70" w:rsidRDefault="00400ED2" w:rsidP="00FD0A70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14:paraId="4B1F1ECC" w14:textId="5DCE3C1E" w:rsidR="00526553" w:rsidRPr="00FD0A70" w:rsidRDefault="00526553" w:rsidP="001E75B4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eastAsia="Times New Roman" w:hAnsi="Sylfaen" w:cs="Helvetica"/>
          <w:b/>
          <w:bCs/>
          <w:sz w:val="20"/>
          <w:szCs w:val="20"/>
          <w:lang w:val="ka-GE"/>
        </w:rPr>
        <w:t>ECC/DEC/(22)07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6A5FF7">
        <w:rPr>
          <w:rFonts w:ascii="Sylfaen" w:eastAsia="Times New Roman" w:hAnsi="Sylfaen" w:cs="Helvetica"/>
          <w:sz w:val="20"/>
          <w:szCs w:val="20"/>
          <w:lang w:val="ka-GE"/>
        </w:rPr>
        <w:t xml:space="preserve">- </w:t>
      </w:r>
      <w:r w:rsidR="00474E82" w:rsidRPr="006A5FF7">
        <w:rPr>
          <w:rFonts w:ascii="Sylfaen" w:eastAsia="Times New Roman" w:hAnsi="Sylfaen" w:cs="Sylfaen"/>
          <w:sz w:val="20"/>
          <w:szCs w:val="20"/>
          <w:lang w:val="ka-GE"/>
        </w:rPr>
        <w:t>ECC</w:t>
      </w:r>
      <w:r w:rsidRPr="006A5FF7">
        <w:rPr>
          <w:rFonts w:ascii="Sylfaen" w:eastAsia="Times New Roman" w:hAnsi="Sylfaen" w:cs="Helvetica"/>
          <w:sz w:val="20"/>
          <w:szCs w:val="20"/>
          <w:lang w:val="ka-GE"/>
        </w:rPr>
        <w:t>-</w:t>
      </w:r>
      <w:r w:rsidRPr="006A5FF7">
        <w:rPr>
          <w:rFonts w:ascii="Sylfaen" w:eastAsia="Times New Roman" w:hAnsi="Sylfaen" w:cs="Sylfaen"/>
          <w:sz w:val="20"/>
          <w:szCs w:val="20"/>
          <w:lang w:val="ka-GE"/>
        </w:rPr>
        <w:t>ის</w:t>
      </w:r>
      <w:r w:rsidRPr="006A5FF7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6A5FF7">
        <w:rPr>
          <w:rFonts w:ascii="Sylfaen" w:eastAsia="Times New Roman" w:hAnsi="Sylfaen" w:cs="Sylfaen"/>
          <w:sz w:val="20"/>
          <w:szCs w:val="20"/>
          <w:lang w:val="ka-GE"/>
        </w:rPr>
        <w:t>გადაწყვეტილება</w:t>
      </w:r>
      <w:r w:rsidRPr="006A5FF7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MFCN</w:t>
      </w:r>
      <w:r w:rsidR="00400ED2"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="00400ED2" w:rsidRPr="00FD0A70">
        <w:rPr>
          <w:rFonts w:ascii="Sylfaen" w:eastAsia="Times New Roman" w:hAnsi="Sylfaen" w:cs="Sylfaen"/>
          <w:sz w:val="20"/>
          <w:szCs w:val="20"/>
          <w:lang w:val="ka-GE"/>
        </w:rPr>
        <w:t>(ელექტრონული საკომუნიკაციო მომსახურებისათვის განკუთვნილი მიწისზედა სისტემები )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ქსელებისთვის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ჰარმონიზებულ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703-733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832-862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880-915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1710-1785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1920-1980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2500-2570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და 2570-2620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მჰც ზოლებში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LTE და 5G NR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ტექნოლოგიებზე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დაფუძნებული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სააერნაოსნო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მოწყობილობების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(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დრონების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)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გამოყენების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ტექნიკურ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პირობებზე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. </w:t>
      </w:r>
    </w:p>
    <w:p w14:paraId="68FB9CD0" w14:textId="35565971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ECC/DEC/(22)03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116-260 გჰც სიხშირულ დიაპაზონში სპეციფიკური რადიოგანსაზღვრის </w:t>
      </w:r>
      <w:r w:rsidR="00417967" w:rsidRPr="00FD0A70">
        <w:rPr>
          <w:rFonts w:ascii="Sylfaen" w:hAnsi="Sylfaen" w:cstheme="minorHAnsi"/>
          <w:sz w:val="20"/>
          <w:szCs w:val="20"/>
          <w:lang w:val="ka-GE"/>
        </w:rPr>
        <w:t>მოწყობილობების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გამოყენების ტექნიკურ პარამეტრებზე, მათ თავისუფალ გამოყენებასა და მომოქცევაზე. </w:t>
      </w:r>
    </w:p>
    <w:p w14:paraId="17BBC64F" w14:textId="2604BDBD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ECC/DEC/(05)08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მაღალი </w:t>
      </w:r>
      <w:r w:rsidR="005418AF" w:rsidRPr="00FD0A70">
        <w:rPr>
          <w:rFonts w:ascii="Sylfaen" w:hAnsi="Sylfaen" w:cstheme="minorHAnsi"/>
          <w:sz w:val="20"/>
          <w:szCs w:val="20"/>
          <w:lang w:val="ka-GE"/>
        </w:rPr>
        <w:t>სიმკვრივის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მქონე HDFSS ფიქსირებული-თანამგზავრული მომსახურების სისტემების გამოყენებაზე 17-20 გჰც, 29 გჰც და 47-50 გჰც სიხშირულ დიაპაზონებში.</w:t>
      </w:r>
    </w:p>
    <w:p w14:paraId="19B38A03" w14:textId="4BE16A16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ECC/DEC/(06)04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>-ის გადაწყვეტილება 10.6 გჰც ქვემოთ ულტრა ფართოზოლოვანი მოწყობილობების (UWB) ჰარმონიზებულ გამოყენებასა და მომოქცევაზე.</w:t>
      </w:r>
    </w:p>
    <w:p w14:paraId="17C2493E" w14:textId="00F05A01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ECC/DEC/(08)01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5875-5935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სიხშირულ ზოლში ჭკვიანი სატრანსპორტო სისტემების (ITS) მოძრაობის უსაფრთხოებასთან დაკავშირებული მოწყობილობების ჰარმონიზებულ გამოყენებაზე. </w:t>
      </w:r>
    </w:p>
    <w:p w14:paraId="13809330" w14:textId="031D6D7A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ECC/DEC/(07)01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>-ის გადაწყვეტილება ნივთიერების დამდგენი მოწყობილობების (ე.წ. სკანერების, რომლებიც იყენებენ ულტრა ფართოზოლოვანი ტექნოლოგიებს  (UWB)) ჰარმონიზებულ თავისუფალ გამოყენებასა და მომოქცევაზე.</w:t>
      </w:r>
    </w:p>
    <w:p w14:paraId="469B4CBD" w14:textId="3D4B29C6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ECC/DEC/(21)02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76-77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გჰც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სიხშირული ზოლის ჰარმონიზებაზე HD-GBSAR ტექნოლოგი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 xml:space="preserve">ის 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რადარების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 xml:space="preserve"> ფუნქციონირებისთვის</w:t>
      </w:r>
      <w:r w:rsidRPr="00FD0A70">
        <w:rPr>
          <w:rFonts w:ascii="Sylfaen" w:hAnsi="Sylfaen" w:cstheme="minorHAnsi"/>
          <w:sz w:val="20"/>
          <w:szCs w:val="20"/>
          <w:lang w:val="ka-GE"/>
        </w:rPr>
        <w:t>, მათ ტექნიკურ პარამ</w:t>
      </w:r>
      <w:r w:rsidR="00450337" w:rsidRPr="00FD0A70">
        <w:rPr>
          <w:rFonts w:ascii="Sylfaen" w:hAnsi="Sylfaen" w:cstheme="minorHAnsi"/>
          <w:sz w:val="20"/>
          <w:szCs w:val="20"/>
          <w:lang w:val="ka-GE"/>
        </w:rPr>
        <w:t>ე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ტრებზე, თავისუფალ გამოყენებასა და მიმოქცევაზე. </w:t>
      </w:r>
    </w:p>
    <w:p w14:paraId="4EDBC042" w14:textId="205B7CEA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ECC/DEC/(20)02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გადწყვეტილება შეწყვილებული სიხშირული ზოლების 874.4-880.0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 და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919.4-925.0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, ასევე 1900-1910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 სიხშირული ზოლის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ჰარმონიზებულ გამოყენებაზე სარკინიგზო მობილური რადიოების (RMR) მიერ. </w:t>
      </w:r>
    </w:p>
    <w:p w14:paraId="5F6B7665" w14:textId="77803E2F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ERC/DEC/(00)02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37.5-39.5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გჰც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სიხშირული ზოლის გამოყენებაზე ფიქსირებული და ფიქსირებული-თანამგზავრული (კოსმოსი-დედამიწა) მომსახურებების მიერ და 39.5-40.5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 xml:space="preserve">გჰც 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სიხშირული ზოლის გამოყენებაზე ფიქსირებული-თანამგზავრული და მობილური-თანამგზავრული (კოსმოსი-დედამიწა) მომსახურებების მიერ. </w:t>
      </w:r>
    </w:p>
    <w:p w14:paraId="38A9F967" w14:textId="71ED7C7E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ECC/DEC/(21)01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47.2-50.2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გჰც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და 50.4-52.4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გჰც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სიხშირული დიაპაზონების გამოყენებაზე ფიქსირებული-თანამგზავრული (დედამიწა-კოსმოსი) მომსახურების მიერ. </w:t>
      </w:r>
    </w:p>
    <w:p w14:paraId="6BD1AFCB" w14:textId="7C1B917E" w:rsidR="003C5BA5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ECC/DEC/(06)10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-ის გადაწყვეტილება 1980-2010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და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2170-2200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სიხშირულ ზოლებში მობილური-თანამგზავრული სისტემების (მათ შორის დამხმარე მიწისზედა კომპონენტის CGC) გაცნობასა და დანერგვასთან დაკავშირებით.</w:t>
      </w:r>
    </w:p>
    <w:p w14:paraId="1BECAF8D" w14:textId="68E4646F" w:rsidR="00526553" w:rsidRPr="00FD0A70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ECC/DEC/(06)13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Pr="00FD0A70">
        <w:rPr>
          <w:rFonts w:ascii="Sylfaen" w:hAnsi="Sylfaen" w:cstheme="minorHAnsi"/>
          <w:sz w:val="20"/>
          <w:szCs w:val="20"/>
          <w:lang w:val="ka-GE"/>
        </w:rPr>
        <w:t>-ის გადაწყვეტილება (MFCN) ქსელების (სახმელეთო IMT სისტ</w:t>
      </w:r>
      <w:r w:rsidR="009F76D1" w:rsidRPr="00FD0A70">
        <w:rPr>
          <w:rFonts w:ascii="Sylfaen" w:hAnsi="Sylfaen" w:cstheme="minorHAnsi"/>
          <w:sz w:val="20"/>
          <w:szCs w:val="20"/>
          <w:lang w:val="ka-GE"/>
        </w:rPr>
        <w:t>ე</w:t>
      </w:r>
      <w:r w:rsidRPr="00FD0A70">
        <w:rPr>
          <w:rFonts w:ascii="Sylfaen" w:hAnsi="Sylfaen" w:cstheme="minorHAnsi"/>
          <w:sz w:val="20"/>
          <w:szCs w:val="20"/>
          <w:lang w:val="ka-GE"/>
        </w:rPr>
        <w:t>მების ჩათვლით) ჰარმონიზებული გამოყენების ტექნიკურ პარამ</w:t>
      </w:r>
      <w:r w:rsidR="00306B12" w:rsidRPr="00FD0A70">
        <w:rPr>
          <w:rFonts w:ascii="Sylfaen" w:hAnsi="Sylfaen" w:cstheme="minorHAnsi"/>
          <w:sz w:val="20"/>
          <w:szCs w:val="20"/>
          <w:lang w:val="ka-GE"/>
        </w:rPr>
        <w:t>ე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ტრებზე 880-915/925-960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და 1710-1785/1805-1880 </w:t>
      </w:r>
      <w:r w:rsidR="009515B9" w:rsidRPr="00FD0A70">
        <w:rPr>
          <w:rFonts w:ascii="Sylfaen" w:hAnsi="Sylfaen" w:cstheme="minorHAnsi"/>
          <w:sz w:val="20"/>
          <w:szCs w:val="20"/>
          <w:lang w:val="ka-GE"/>
        </w:rPr>
        <w:t>მჰც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სიხშირულ ზოლებში.</w:t>
      </w:r>
    </w:p>
    <w:p w14:paraId="5B5DADDD" w14:textId="0413B52C" w:rsidR="001E75B4" w:rsidRPr="00FD0A70" w:rsidRDefault="001E75B4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t xml:space="preserve">ECC/REC/(08)01 - </w:t>
      </w:r>
      <w:r w:rsidR="00474E82">
        <w:rPr>
          <w:rFonts w:ascii="Sylfaen" w:hAnsi="Sylfaen"/>
          <w:sz w:val="20"/>
          <w:szCs w:val="20"/>
          <w:lang w:val="ka-GE"/>
        </w:rPr>
        <w:t>ECC</w:t>
      </w:r>
      <w:r w:rsidRPr="00FD0A70">
        <w:rPr>
          <w:rFonts w:ascii="Sylfaen" w:hAnsi="Sylfaen"/>
          <w:sz w:val="20"/>
          <w:szCs w:val="20"/>
          <w:lang w:val="ka-GE"/>
        </w:rPr>
        <w:t>-ის რეკომენდაცია</w:t>
      </w:r>
      <w:r w:rsidRPr="00FD0A70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Helvetica"/>
          <w:color w:val="333333"/>
          <w:sz w:val="20"/>
          <w:szCs w:val="20"/>
          <w:lang w:val="ka-GE"/>
        </w:rPr>
        <w:t>5855-5875 მჰც სიხშირული ზოლის გამოყენებაზე ჭკვიანი სატრანსპორტო სისტემების (ITS) მიერ.</w:t>
      </w:r>
    </w:p>
    <w:p w14:paraId="0D5A95F0" w14:textId="2BDEE83C" w:rsidR="001E75B4" w:rsidRDefault="003C5BA5" w:rsidP="001E75B4">
      <w:pPr>
        <w:pStyle w:val="ListParagraph"/>
        <w:numPr>
          <w:ilvl w:val="0"/>
          <w:numId w:val="7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lastRenderedPageBreak/>
        <w:t>ECC/REC/(23)02, ECC/REC/(23)01</w:t>
      </w:r>
      <w:r w:rsidR="001E75B4"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1E75B4" w:rsidRPr="00FD0A70">
        <w:rPr>
          <w:rFonts w:ascii="Sylfaen" w:eastAsia="Times New Roman" w:hAnsi="Sylfaen" w:cs="Helvetica"/>
          <w:color w:val="333333"/>
          <w:sz w:val="20"/>
          <w:szCs w:val="20"/>
          <w:lang w:val="ka-GE"/>
        </w:rPr>
        <w:t>(სარკინიგზო მობილური რადიო RMR)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, </w:t>
      </w: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ERC/REC 01-01, ECC/REC/(11)04</w:t>
      </w:r>
      <w:r w:rsidR="00FD399F" w:rsidRPr="00FD0A70">
        <w:rPr>
          <w:rFonts w:ascii="Sylfaen" w:hAnsi="Sylfaen" w:cstheme="minorHAnsi"/>
          <w:b/>
          <w:bCs/>
          <w:sz w:val="20"/>
          <w:szCs w:val="20"/>
          <w:lang w:val="ka-GE"/>
        </w:rPr>
        <w:t xml:space="preserve">, </w:t>
      </w:r>
      <w:r w:rsidRPr="00FD0A70">
        <w:rPr>
          <w:rFonts w:ascii="Sylfaen" w:hAnsi="Sylfaen" w:cstheme="minorHAnsi"/>
          <w:b/>
          <w:bCs/>
          <w:sz w:val="20"/>
          <w:szCs w:val="20"/>
          <w:lang w:val="ka-GE"/>
        </w:rPr>
        <w:t>ECC/REC/(15)01</w:t>
      </w:r>
      <w:r w:rsidR="00FD399F" w:rsidRPr="00FD0A70">
        <w:rPr>
          <w:rFonts w:ascii="Sylfaen" w:hAnsi="Sylfaen" w:cstheme="minorHAnsi"/>
          <w:sz w:val="20"/>
          <w:szCs w:val="20"/>
          <w:lang w:val="ka-GE"/>
        </w:rPr>
        <w:t xml:space="preserve"> - </w:t>
      </w:r>
      <w:r w:rsidR="00474E82">
        <w:rPr>
          <w:rFonts w:ascii="Sylfaen" w:hAnsi="Sylfaen" w:cstheme="minorHAnsi"/>
          <w:sz w:val="20"/>
          <w:szCs w:val="20"/>
          <w:lang w:val="ka-GE"/>
        </w:rPr>
        <w:t>ECC</w:t>
      </w:r>
      <w:r w:rsidR="00FD399F" w:rsidRPr="00FD0A70">
        <w:rPr>
          <w:rFonts w:ascii="Sylfaen" w:hAnsi="Sylfaen" w:cstheme="minorHAnsi"/>
          <w:sz w:val="20"/>
          <w:szCs w:val="20"/>
          <w:lang w:val="ka-GE"/>
        </w:rPr>
        <w:t>-ის რეკომენდაციები, რომლებიც ეხება MFCN ქსელების საზღვრ</w:t>
      </w:r>
      <w:r w:rsidR="00306B12" w:rsidRPr="00FD0A70">
        <w:rPr>
          <w:rFonts w:ascii="Sylfaen" w:hAnsi="Sylfaen" w:cstheme="minorHAnsi"/>
          <w:sz w:val="20"/>
          <w:szCs w:val="20"/>
          <w:lang w:val="ka-GE"/>
        </w:rPr>
        <w:t>ი</w:t>
      </w:r>
      <w:r w:rsidR="00FD399F" w:rsidRPr="00FD0A70">
        <w:rPr>
          <w:rFonts w:ascii="Sylfaen" w:hAnsi="Sylfaen" w:cstheme="minorHAnsi"/>
          <w:sz w:val="20"/>
          <w:szCs w:val="20"/>
          <w:lang w:val="ka-GE"/>
        </w:rPr>
        <w:t xml:space="preserve">სპირა </w:t>
      </w:r>
      <w:r w:rsidR="001E75B4" w:rsidRPr="00FD0A70">
        <w:rPr>
          <w:rFonts w:ascii="Sylfaen" w:hAnsi="Sylfaen" w:cstheme="minorHAnsi"/>
          <w:sz w:val="20"/>
          <w:szCs w:val="20"/>
          <w:lang w:val="ka-GE"/>
        </w:rPr>
        <w:t xml:space="preserve">(cross-border) </w:t>
      </w:r>
      <w:r w:rsidR="00FD399F" w:rsidRPr="00FD0A70">
        <w:rPr>
          <w:rFonts w:ascii="Sylfaen" w:hAnsi="Sylfaen" w:cstheme="minorHAnsi"/>
          <w:sz w:val="20"/>
          <w:szCs w:val="20"/>
          <w:lang w:val="ka-GE"/>
        </w:rPr>
        <w:t>კოორდინაციის ტექნიკურ პარამეტრებს.</w:t>
      </w:r>
    </w:p>
    <w:p w14:paraId="71CFE531" w14:textId="458C94AC" w:rsidR="00806FDD" w:rsidRPr="00FD0A70" w:rsidRDefault="00806FDD" w:rsidP="00806FDD">
      <w:pPr>
        <w:pStyle w:val="ListParagraph"/>
        <w:numPr>
          <w:ilvl w:val="0"/>
          <w:numId w:val="7"/>
        </w:numPr>
        <w:jc w:val="both"/>
        <w:rPr>
          <w:rFonts w:ascii="Sylfaen" w:hAnsi="Sylfaen"/>
          <w:sz w:val="20"/>
          <w:szCs w:val="20"/>
          <w:lang w:val="ka-GE"/>
        </w:rPr>
      </w:pPr>
      <w:r w:rsidRPr="00FD0A70">
        <w:rPr>
          <w:rFonts w:ascii="Sylfaen" w:hAnsi="Sylfaen"/>
          <w:b/>
          <w:bCs/>
          <w:sz w:val="20"/>
          <w:szCs w:val="20"/>
          <w:lang w:val="ka-GE"/>
        </w:rPr>
        <w:fldChar w:fldCharType="begin"/>
      </w:r>
      <w:r w:rsidRPr="00FD0A70">
        <w:rPr>
          <w:rFonts w:ascii="Sylfaen" w:hAnsi="Sylfaen"/>
          <w:b/>
          <w:bCs/>
          <w:sz w:val="20"/>
          <w:szCs w:val="20"/>
          <w:lang w:val="ka-GE"/>
        </w:rPr>
        <w:instrText xml:space="preserve"> LINK Word.Document.12 "E:\\</w:instrText>
      </w:r>
      <w:r w:rsidRPr="00FD0A70">
        <w:rPr>
          <w:rFonts w:ascii="Sylfaen" w:hAnsi="Sylfaen" w:cs="Sylfaen"/>
          <w:b/>
          <w:bCs/>
          <w:sz w:val="20"/>
          <w:szCs w:val="20"/>
          <w:lang w:val="ka-GE"/>
        </w:rPr>
        <w:instrText>ეროვნული</w:instrText>
      </w:r>
      <w:r w:rsidRPr="00FD0A70">
        <w:rPr>
          <w:rFonts w:ascii="Sylfaen" w:hAnsi="Sylfaen"/>
          <w:b/>
          <w:bCs/>
          <w:sz w:val="20"/>
          <w:szCs w:val="20"/>
          <w:lang w:val="ka-GE"/>
        </w:rPr>
        <w:instrText xml:space="preserve"> </w:instrText>
      </w:r>
      <w:r w:rsidRPr="00FD0A70">
        <w:rPr>
          <w:rFonts w:ascii="Sylfaen" w:hAnsi="Sylfaen" w:cs="Sylfaen"/>
          <w:b/>
          <w:bCs/>
          <w:sz w:val="20"/>
          <w:szCs w:val="20"/>
          <w:lang w:val="ka-GE"/>
        </w:rPr>
        <w:instrText>გეგმა</w:instrText>
      </w:r>
      <w:r w:rsidRPr="00FD0A70">
        <w:rPr>
          <w:rFonts w:ascii="Sylfaen" w:hAnsi="Sylfaen"/>
          <w:b/>
          <w:bCs/>
          <w:sz w:val="20"/>
          <w:szCs w:val="20"/>
          <w:lang w:val="ka-GE"/>
        </w:rPr>
        <w:instrText xml:space="preserve">\\NFAT GEO _ 2023\\EU CEPT Dec - Rec _ Sandro _ 2.docx" "_Hlk147329027" \a \r  \* MERGEFORMAT </w:instrText>
      </w:r>
      <w:r w:rsidRPr="00FD0A70">
        <w:rPr>
          <w:rFonts w:ascii="Sylfaen" w:hAnsi="Sylfaen"/>
          <w:b/>
          <w:bCs/>
          <w:sz w:val="20"/>
          <w:szCs w:val="20"/>
          <w:lang w:val="ka-GE"/>
        </w:rPr>
        <w:fldChar w:fldCharType="separate"/>
      </w:r>
      <w:r w:rsidRPr="00FD0A70">
        <w:rPr>
          <w:rFonts w:ascii="Sylfaen" w:hAnsi="Sylfaen" w:cs="Helvetica"/>
          <w:b/>
          <w:bCs/>
          <w:sz w:val="20"/>
          <w:szCs w:val="20"/>
          <w:lang w:val="ka-GE"/>
        </w:rPr>
        <w:t>ECC/DEC/(23)01</w:t>
      </w:r>
      <w:r w:rsidRPr="00FD0A70">
        <w:rPr>
          <w:rFonts w:ascii="Sylfaen" w:hAnsi="Sylfaen"/>
          <w:b/>
          <w:bCs/>
          <w:sz w:val="20"/>
          <w:szCs w:val="20"/>
          <w:lang w:val="ka-GE"/>
        </w:rPr>
        <w:fldChar w:fldCharType="end"/>
      </w:r>
      <w:r w:rsidRPr="00FD0A70">
        <w:rPr>
          <w:rFonts w:ascii="Sylfaen" w:hAnsi="Sylfaen"/>
          <w:sz w:val="20"/>
          <w:szCs w:val="20"/>
          <w:lang w:val="ka-GE"/>
        </w:rPr>
        <w:t xml:space="preserve"> - </w:t>
      </w:r>
      <w:r w:rsidR="008557CE">
        <w:rPr>
          <w:rFonts w:ascii="Sylfaen" w:hAnsi="Sylfaen" w:cs="Sylfaen"/>
          <w:sz w:val="20"/>
          <w:szCs w:val="20"/>
          <w:lang w:val="ka-GE"/>
        </w:rPr>
        <w:t>ECC</w:t>
      </w:r>
      <w:r w:rsidRPr="00FD0A70">
        <w:rPr>
          <w:rFonts w:ascii="Sylfaen" w:hAnsi="Sylfaen"/>
          <w:sz w:val="20"/>
          <w:szCs w:val="20"/>
          <w:lang w:val="ka-GE"/>
        </w:rPr>
        <w:t>-</w:t>
      </w:r>
      <w:r w:rsidRPr="00FD0A70">
        <w:rPr>
          <w:rFonts w:ascii="Sylfaen" w:hAnsi="Sylfaen" w:cs="Sylfaen"/>
          <w:sz w:val="20"/>
          <w:szCs w:val="20"/>
          <w:lang w:val="ka-GE"/>
        </w:rPr>
        <w:t>ის</w:t>
      </w:r>
      <w:r w:rsidRPr="00FD0A70">
        <w:rPr>
          <w:rFonts w:ascii="Sylfaen" w:hAnsi="Sylfaen"/>
          <w:sz w:val="20"/>
          <w:szCs w:val="20"/>
          <w:lang w:val="ka-GE"/>
        </w:rPr>
        <w:t xml:space="preserve"> </w:t>
      </w:r>
      <w:r w:rsidRPr="00FD0A70">
        <w:rPr>
          <w:rFonts w:ascii="Sylfaen" w:hAnsi="Sylfaen" w:cs="Sylfaen"/>
          <w:sz w:val="20"/>
          <w:szCs w:val="20"/>
          <w:lang w:val="ka-GE"/>
        </w:rPr>
        <w:t>გადაწყვეტილება</w:t>
      </w:r>
      <w:r w:rsidRPr="00FD0A70">
        <w:rPr>
          <w:rFonts w:ascii="Sylfaen" w:hAnsi="Sylfaen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40.5-42.5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გჰც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ზოლის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გამოყენებაზე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ფიქსირებული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-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თანამგზავრული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მომსახურების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მიწისზედა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სადგურების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(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კოსმოსი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-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დედამიწა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)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და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სამაუწყებლო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-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თანამგზავრული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მომსახურების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მიერ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,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და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ასევე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42.5-43.5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გჰც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ზოლის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გამოყენებაზე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ფიქსირებული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-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თანამგზავრული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მომსახურების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მიწისზედა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სადგურების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 (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დედამიწა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-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კოსმოსი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 xml:space="preserve">) </w:t>
      </w:r>
      <w:r w:rsidRPr="00FD0A70">
        <w:rPr>
          <w:rFonts w:ascii="Sylfaen" w:eastAsia="Times New Roman" w:hAnsi="Sylfaen" w:cs="Sylfaen"/>
          <w:sz w:val="20"/>
          <w:szCs w:val="20"/>
          <w:lang w:val="ka-GE"/>
        </w:rPr>
        <w:t>მიერ</w:t>
      </w:r>
      <w:r w:rsidRPr="00FD0A70">
        <w:rPr>
          <w:rFonts w:ascii="Sylfaen" w:eastAsia="Times New Roman" w:hAnsi="Sylfaen" w:cs="Helvetica"/>
          <w:sz w:val="20"/>
          <w:szCs w:val="20"/>
          <w:lang w:val="ka-GE"/>
        </w:rPr>
        <w:t>.</w:t>
      </w:r>
    </w:p>
    <w:p w14:paraId="54BF3EFE" w14:textId="77777777" w:rsidR="00806FDD" w:rsidRPr="00FD0A70" w:rsidRDefault="00806FDD" w:rsidP="007778F6">
      <w:pPr>
        <w:pStyle w:val="ListParagraph"/>
        <w:jc w:val="both"/>
        <w:rPr>
          <w:rFonts w:ascii="Sylfaen" w:hAnsi="Sylfaen" w:cstheme="minorHAnsi"/>
          <w:sz w:val="20"/>
          <w:szCs w:val="20"/>
          <w:lang w:val="ka-GE"/>
        </w:rPr>
      </w:pPr>
    </w:p>
    <w:p w14:paraId="0AD5B731" w14:textId="57419467" w:rsidR="0086237E" w:rsidRPr="00FD0A70" w:rsidRDefault="00494D5D" w:rsidP="00FD0A70">
      <w:p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sz w:val="20"/>
          <w:szCs w:val="20"/>
          <w:lang w:val="ka-GE"/>
        </w:rPr>
        <w:br/>
      </w:r>
      <w:r w:rsidR="00C7659C" w:rsidRPr="00FD0A70">
        <w:rPr>
          <w:rFonts w:ascii="Sylfaen" w:hAnsi="Sylfaen" w:cstheme="minorHAnsi"/>
          <w:sz w:val="20"/>
          <w:szCs w:val="20"/>
          <w:lang w:val="ka-GE"/>
        </w:rPr>
        <w:t xml:space="preserve"> გეგმაში </w:t>
      </w:r>
      <w:r w:rsidR="00F05F04">
        <w:rPr>
          <w:rFonts w:ascii="Sylfaen" w:hAnsi="Sylfaen" w:cstheme="minorHAnsi"/>
          <w:sz w:val="20"/>
          <w:szCs w:val="20"/>
          <w:lang w:val="ka-GE"/>
        </w:rPr>
        <w:t>პროექტში ასევე შეტანილია შემდეგი ცვლილები</w:t>
      </w:r>
      <w:r w:rsidR="00E4526A">
        <w:rPr>
          <w:rFonts w:ascii="Sylfaen" w:hAnsi="Sylfaen" w:cstheme="minorHAnsi"/>
          <w:sz w:val="20"/>
          <w:szCs w:val="20"/>
          <w:lang w:val="ka-GE"/>
        </w:rPr>
        <w:t>:</w:t>
      </w:r>
    </w:p>
    <w:p w14:paraId="5456A946" w14:textId="4428D607" w:rsidR="0078624F" w:rsidRDefault="008F70CA" w:rsidP="00376BF9">
      <w:pPr>
        <w:pStyle w:val="ListParagraph"/>
        <w:numPr>
          <w:ilvl w:val="0"/>
          <w:numId w:val="6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hAnsi="Sylfaen" w:cstheme="minorHAnsi"/>
          <w:sz w:val="20"/>
          <w:szCs w:val="20"/>
          <w:lang w:val="ka-GE"/>
        </w:rPr>
        <w:t>ITU-ს პირველი რეგიონისთვის განსაზღვრულ</w:t>
      </w:r>
      <w:r>
        <w:rPr>
          <w:rFonts w:ascii="Sylfaen" w:hAnsi="Sylfaen" w:cstheme="minorHAnsi"/>
          <w:sz w:val="20"/>
          <w:szCs w:val="20"/>
          <w:lang w:val="ka-GE"/>
        </w:rPr>
        <w:t>ი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მომსახურებებ</w:t>
      </w:r>
      <w:r>
        <w:rPr>
          <w:rFonts w:ascii="Sylfaen" w:hAnsi="Sylfaen" w:cstheme="minorHAnsi"/>
          <w:sz w:val="20"/>
          <w:szCs w:val="20"/>
          <w:lang w:val="ka-GE"/>
        </w:rPr>
        <w:t>ის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  <w:r>
        <w:rPr>
          <w:rFonts w:ascii="Sylfaen" w:hAnsi="Sylfaen" w:cstheme="minorHAnsi"/>
          <w:sz w:val="20"/>
          <w:szCs w:val="20"/>
          <w:lang w:val="ka-GE"/>
        </w:rPr>
        <w:t xml:space="preserve">გათვალისწინებით, </w:t>
      </w:r>
      <w:r w:rsidR="002A3D25" w:rsidRPr="00FD0A70">
        <w:rPr>
          <w:rFonts w:ascii="Sylfaen" w:hAnsi="Sylfaen" w:cstheme="minorHAnsi"/>
          <w:sz w:val="20"/>
          <w:szCs w:val="20"/>
          <w:lang w:val="ka-GE"/>
        </w:rPr>
        <w:t>3800–4200 მჰც სიხშირულ</w:t>
      </w:r>
      <w:r w:rsidR="003256AF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2A3D25" w:rsidRPr="00FD0A70">
        <w:rPr>
          <w:rFonts w:ascii="Sylfaen" w:hAnsi="Sylfaen" w:cstheme="minorHAnsi"/>
          <w:sz w:val="20"/>
          <w:szCs w:val="20"/>
          <w:lang w:val="ka-GE"/>
        </w:rPr>
        <w:t>დიაპაზონ</w:t>
      </w:r>
      <w:r>
        <w:rPr>
          <w:rFonts w:ascii="Sylfaen" w:hAnsi="Sylfaen" w:cstheme="minorHAnsi"/>
          <w:sz w:val="20"/>
          <w:szCs w:val="20"/>
          <w:lang w:val="ka-GE"/>
        </w:rPr>
        <w:t xml:space="preserve">ისთვის განკუთვნილ გრაფაში, </w:t>
      </w:r>
      <w:r w:rsidR="00524B9B">
        <w:rPr>
          <w:rFonts w:ascii="Sylfaen" w:hAnsi="Sylfaen" w:cstheme="minorHAnsi"/>
          <w:sz w:val="20"/>
          <w:szCs w:val="20"/>
          <w:lang w:val="ka-GE"/>
        </w:rPr>
        <w:t>მე-4 სვეტში</w:t>
      </w:r>
      <w:r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524B9B">
        <w:rPr>
          <w:rFonts w:ascii="Sylfaen" w:hAnsi="Sylfaen" w:cstheme="minorHAnsi"/>
          <w:sz w:val="20"/>
          <w:szCs w:val="20"/>
          <w:lang w:val="ka-GE"/>
        </w:rPr>
        <w:t xml:space="preserve">(გამოყენება ეროვნულ დონეზე) </w:t>
      </w:r>
      <w:r>
        <w:rPr>
          <w:rFonts w:ascii="Sylfaen" w:hAnsi="Sylfaen" w:cstheme="minorHAnsi"/>
          <w:sz w:val="20"/>
          <w:szCs w:val="20"/>
          <w:lang w:val="ka-GE"/>
        </w:rPr>
        <w:t>,</w:t>
      </w:r>
      <w:r w:rsidR="00295E35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9479D5" w:rsidRPr="0023493A">
        <w:rPr>
          <w:rFonts w:ascii="Sylfaen" w:hAnsi="Sylfaen" w:cstheme="minorHAnsi"/>
          <w:sz w:val="20"/>
          <w:szCs w:val="20"/>
          <w:lang w:val="ka-GE"/>
        </w:rPr>
        <w:t>და</w:t>
      </w:r>
      <w:r w:rsidR="009479D5">
        <w:rPr>
          <w:rFonts w:ascii="Sylfaen" w:hAnsi="Sylfaen" w:cstheme="minorHAnsi"/>
          <w:sz w:val="20"/>
          <w:szCs w:val="20"/>
          <w:lang w:val="ka-GE"/>
        </w:rPr>
        <w:t>ე</w:t>
      </w:r>
      <w:r w:rsidR="009479D5" w:rsidRPr="0023493A">
        <w:rPr>
          <w:rFonts w:ascii="Sylfaen" w:hAnsi="Sylfaen" w:cstheme="minorHAnsi"/>
          <w:sz w:val="20"/>
          <w:szCs w:val="20"/>
          <w:lang w:val="ka-GE"/>
        </w:rPr>
        <w:t>მატ</w:t>
      </w:r>
      <w:r w:rsidR="009479D5">
        <w:rPr>
          <w:rFonts w:ascii="Sylfaen" w:hAnsi="Sylfaen" w:cstheme="minorHAnsi"/>
          <w:sz w:val="20"/>
          <w:szCs w:val="20"/>
          <w:lang w:val="ka-GE"/>
        </w:rPr>
        <w:t xml:space="preserve">ა </w:t>
      </w:r>
      <w:r w:rsidR="00605347">
        <w:rPr>
          <w:rFonts w:ascii="Sylfaen" w:hAnsi="Sylfaen" w:cstheme="minorHAnsi"/>
          <w:sz w:val="20"/>
          <w:szCs w:val="20"/>
          <w:lang w:val="ka-GE"/>
        </w:rPr>
        <w:t xml:space="preserve">ჩანაწერი  </w:t>
      </w:r>
      <w:r w:rsidR="0086237E" w:rsidRPr="00FD0A70">
        <w:rPr>
          <w:rFonts w:ascii="Sylfaen" w:hAnsi="Sylfaen" w:cstheme="minorHAnsi"/>
          <w:sz w:val="20"/>
          <w:szCs w:val="20"/>
          <w:lang w:val="ka-GE"/>
        </w:rPr>
        <w:t>„მობილური გამოყენებები“</w:t>
      </w:r>
      <w:r w:rsidR="00855D06"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FF76DB" w:rsidRPr="00FD0A70">
        <w:rPr>
          <w:rFonts w:ascii="Sylfaen" w:hAnsi="Sylfaen" w:cstheme="minorHAnsi"/>
          <w:sz w:val="20"/>
          <w:szCs w:val="20"/>
          <w:lang w:val="ka-GE"/>
        </w:rPr>
        <w:t xml:space="preserve">და </w:t>
      </w:r>
      <w:r w:rsidR="00500177">
        <w:rPr>
          <w:rFonts w:ascii="Sylfaen" w:hAnsi="Sylfaen" w:cstheme="minorHAnsi"/>
          <w:sz w:val="20"/>
          <w:szCs w:val="20"/>
          <w:lang w:val="ka-GE"/>
        </w:rPr>
        <w:t>შესაბამისად</w:t>
      </w:r>
      <w:r w:rsidR="002A2AC6">
        <w:rPr>
          <w:rFonts w:ascii="Sylfaen" w:hAnsi="Sylfaen" w:cstheme="minorHAnsi"/>
          <w:sz w:val="20"/>
          <w:szCs w:val="20"/>
          <w:lang w:val="ka-GE"/>
        </w:rPr>
        <w:t>,</w:t>
      </w:r>
      <w:r w:rsidR="00500177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C6164B" w:rsidRPr="00FD0A70">
        <w:rPr>
          <w:rFonts w:ascii="Sylfaen" w:hAnsi="Sylfaen" w:cstheme="minorHAnsi"/>
          <w:sz w:val="20"/>
          <w:szCs w:val="20"/>
          <w:lang w:val="ka-GE"/>
        </w:rPr>
        <w:t>მოცემული დიაპაზონის</w:t>
      </w:r>
      <w:r w:rsidR="00762A30">
        <w:rPr>
          <w:rFonts w:ascii="Sylfaen" w:hAnsi="Sylfaen" w:cstheme="minorHAnsi"/>
          <w:sz w:val="20"/>
          <w:szCs w:val="20"/>
          <w:lang w:val="ka-GE"/>
        </w:rPr>
        <w:t xml:space="preserve">თვის </w:t>
      </w:r>
      <w:r w:rsidR="000D4EF3" w:rsidRPr="00FD0A70">
        <w:rPr>
          <w:rFonts w:ascii="Sylfaen" w:hAnsi="Sylfaen" w:cstheme="minorHAnsi"/>
          <w:sz w:val="20"/>
          <w:szCs w:val="20"/>
          <w:lang w:val="ka-GE"/>
        </w:rPr>
        <w:t xml:space="preserve">ევროკომისიის მიერ CEPT-ისთვის </w:t>
      </w:r>
      <w:r w:rsidR="00557DB6" w:rsidRPr="00FD0A70">
        <w:rPr>
          <w:rFonts w:ascii="Sylfaen" w:hAnsi="Sylfaen" w:cstheme="minorHAnsi"/>
          <w:sz w:val="20"/>
          <w:szCs w:val="20"/>
          <w:lang w:val="ka-GE"/>
        </w:rPr>
        <w:t>მიც</w:t>
      </w:r>
      <w:r w:rsidR="002E1CB4" w:rsidRPr="00FD0A70">
        <w:rPr>
          <w:rFonts w:ascii="Sylfaen" w:hAnsi="Sylfaen" w:cstheme="minorHAnsi"/>
          <w:sz w:val="20"/>
          <w:szCs w:val="20"/>
          <w:lang w:val="ka-GE"/>
        </w:rPr>
        <w:t>ე</w:t>
      </w:r>
      <w:r w:rsidR="00557DB6" w:rsidRPr="00FD0A70">
        <w:rPr>
          <w:rFonts w:ascii="Sylfaen" w:hAnsi="Sylfaen" w:cstheme="minorHAnsi"/>
          <w:sz w:val="20"/>
          <w:szCs w:val="20"/>
          <w:lang w:val="ka-GE"/>
        </w:rPr>
        <w:t xml:space="preserve">მული </w:t>
      </w:r>
      <w:r w:rsidR="000D4EF3" w:rsidRPr="00FD0A70">
        <w:rPr>
          <w:rFonts w:ascii="Sylfaen" w:hAnsi="Sylfaen" w:cstheme="minorHAnsi"/>
          <w:sz w:val="20"/>
          <w:szCs w:val="20"/>
          <w:lang w:val="ka-GE"/>
        </w:rPr>
        <w:t>მანდატის გათვალისწინებით,</w:t>
      </w:r>
      <w:r w:rsidR="00677431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677431" w:rsidRPr="0023493A">
        <w:rPr>
          <w:rFonts w:ascii="Sylfaen" w:hAnsi="Sylfaen" w:cstheme="minorHAnsi"/>
          <w:sz w:val="20"/>
          <w:szCs w:val="20"/>
          <w:lang w:val="ka-GE"/>
        </w:rPr>
        <w:t>გან</w:t>
      </w:r>
      <w:r w:rsidR="00DA34DD">
        <w:rPr>
          <w:rFonts w:ascii="Sylfaen" w:hAnsi="Sylfaen" w:cstheme="minorHAnsi"/>
          <w:sz w:val="20"/>
          <w:szCs w:val="20"/>
          <w:lang w:val="ka-GE"/>
        </w:rPr>
        <w:t>ი</w:t>
      </w:r>
      <w:r w:rsidR="00677431" w:rsidRPr="0023493A">
        <w:rPr>
          <w:rFonts w:ascii="Sylfaen" w:hAnsi="Sylfaen" w:cstheme="minorHAnsi"/>
          <w:sz w:val="20"/>
          <w:szCs w:val="20"/>
          <w:lang w:val="ka-GE"/>
        </w:rPr>
        <w:t>საზღვრა</w:t>
      </w:r>
      <w:r w:rsidR="00C52DC2">
        <w:rPr>
          <w:rFonts w:ascii="Sylfaen" w:hAnsi="Sylfaen" w:cstheme="minorHAnsi"/>
          <w:sz w:val="20"/>
          <w:szCs w:val="20"/>
          <w:lang w:val="ka-GE"/>
        </w:rPr>
        <w:t xml:space="preserve"> გამოყენების წესი  </w:t>
      </w:r>
      <w:r w:rsidR="0086237E" w:rsidRPr="00FD0A70">
        <w:rPr>
          <w:rFonts w:ascii="Sylfaen" w:hAnsi="Sylfaen" w:cstheme="minorHAnsi"/>
          <w:sz w:val="20"/>
          <w:szCs w:val="20"/>
          <w:lang w:val="ka-GE"/>
        </w:rPr>
        <w:t>არა</w:t>
      </w:r>
      <w:r w:rsidR="00B31408" w:rsidRPr="00FD0A70">
        <w:rPr>
          <w:rFonts w:ascii="Sylfaen" w:hAnsi="Sylfaen" w:cstheme="minorHAnsi"/>
          <w:sz w:val="20"/>
          <w:szCs w:val="20"/>
          <w:lang w:val="ka-GE"/>
        </w:rPr>
        <w:t>ა</w:t>
      </w:r>
      <w:r w:rsidR="0086237E" w:rsidRPr="00FD0A70">
        <w:rPr>
          <w:rFonts w:ascii="Sylfaen" w:hAnsi="Sylfaen" w:cstheme="minorHAnsi"/>
          <w:sz w:val="20"/>
          <w:szCs w:val="20"/>
          <w:lang w:val="ka-GE"/>
        </w:rPr>
        <w:t xml:space="preserve">ვტორიზებული პირების მიერ დამხმარე ტექნოლოგიური </w:t>
      </w:r>
      <w:r w:rsidR="00F851FC">
        <w:rPr>
          <w:rFonts w:ascii="Sylfaen" w:hAnsi="Sylfaen" w:cstheme="minorHAnsi"/>
          <w:sz w:val="20"/>
          <w:szCs w:val="20"/>
          <w:lang w:val="ka-GE"/>
        </w:rPr>
        <w:t xml:space="preserve">დანიშნულებით </w:t>
      </w:r>
      <w:r w:rsidR="0086237E" w:rsidRPr="00FD0A70">
        <w:rPr>
          <w:rFonts w:ascii="Sylfaen" w:hAnsi="Sylfaen" w:cstheme="minorHAnsi"/>
          <w:sz w:val="20"/>
          <w:szCs w:val="20"/>
          <w:lang w:val="ka-GE"/>
        </w:rPr>
        <w:t>გამოყენებებისთვის</w:t>
      </w:r>
      <w:r w:rsidR="00A85A82">
        <w:rPr>
          <w:rFonts w:ascii="Sylfaen" w:hAnsi="Sylfaen" w:cstheme="minorHAnsi"/>
          <w:sz w:val="20"/>
          <w:szCs w:val="20"/>
          <w:lang w:val="ka-GE"/>
        </w:rPr>
        <w:t>.</w:t>
      </w:r>
      <w:r w:rsidR="00FF76DB"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</w:p>
    <w:p w14:paraId="3F16F5E3" w14:textId="504C70EF" w:rsidR="0086237E" w:rsidRPr="00FD0A70" w:rsidRDefault="0086237E" w:rsidP="003F6315">
      <w:pPr>
        <w:pStyle w:val="ListParagraph"/>
        <w:numPr>
          <w:ilvl w:val="0"/>
          <w:numId w:val="6"/>
        </w:numPr>
        <w:jc w:val="both"/>
        <w:rPr>
          <w:rFonts w:ascii="Sylfaen" w:hAnsi="Sylfaen" w:cstheme="minorBidi"/>
          <w:sz w:val="20"/>
          <w:szCs w:val="20"/>
          <w:u w:val="single"/>
          <w:lang w:val="ka-GE"/>
        </w:rPr>
      </w:pPr>
      <w:r w:rsidRPr="00FD0A70">
        <w:rPr>
          <w:rFonts w:ascii="Sylfaen" w:hAnsi="Sylfaen" w:cstheme="minorHAnsi"/>
          <w:sz w:val="20"/>
          <w:szCs w:val="20"/>
          <w:lang w:val="ka-GE"/>
        </w:rPr>
        <w:t>ITU-ს პირველი რეგიონისთვის განსაზღვრული მომსახურებებთ</w:t>
      </w:r>
      <w:r w:rsidR="003F6315" w:rsidRPr="00FD0A70">
        <w:rPr>
          <w:rFonts w:ascii="Sylfaen" w:hAnsi="Sylfaen" w:cstheme="minorHAnsi"/>
          <w:sz w:val="20"/>
          <w:szCs w:val="20"/>
          <w:lang w:val="ka-GE"/>
        </w:rPr>
        <w:t>ან შესაბამისობაში მოყ</w:t>
      </w:r>
      <w:r w:rsidR="002A3D25" w:rsidRPr="00FD0A70">
        <w:rPr>
          <w:rFonts w:ascii="Sylfaen" w:hAnsi="Sylfaen" w:cstheme="minorHAnsi"/>
          <w:sz w:val="20"/>
          <w:szCs w:val="20"/>
          <w:lang w:val="ka-GE"/>
        </w:rPr>
        <w:t>ვ</w:t>
      </w:r>
      <w:r w:rsidR="003F6315" w:rsidRPr="00FD0A70">
        <w:rPr>
          <w:rFonts w:ascii="Sylfaen" w:hAnsi="Sylfaen" w:cstheme="minorHAnsi"/>
          <w:sz w:val="20"/>
          <w:szCs w:val="20"/>
          <w:lang w:val="ka-GE"/>
        </w:rPr>
        <w:t>ან</w:t>
      </w:r>
      <w:r w:rsidR="00F97614">
        <w:rPr>
          <w:rFonts w:ascii="Sylfaen" w:hAnsi="Sylfaen" w:cstheme="minorHAnsi"/>
          <w:sz w:val="20"/>
          <w:szCs w:val="20"/>
          <w:lang w:val="ka-GE"/>
        </w:rPr>
        <w:t>ი</w:t>
      </w:r>
      <w:r w:rsidR="002E2757">
        <w:rPr>
          <w:rFonts w:ascii="Sylfaen" w:hAnsi="Sylfaen" w:cstheme="minorHAnsi"/>
          <w:sz w:val="20"/>
          <w:szCs w:val="20"/>
          <w:lang w:val="ka-GE"/>
        </w:rPr>
        <w:t>სა</w:t>
      </w:r>
      <w:r w:rsidR="003F6315"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და ახალი ტექნოლოგიების </w:t>
      </w:r>
      <w:r w:rsidR="00276EA6">
        <w:rPr>
          <w:rFonts w:ascii="Sylfaen" w:hAnsi="Sylfaen" w:cstheme="minorHAnsi"/>
          <w:sz w:val="20"/>
          <w:szCs w:val="20"/>
          <w:lang w:val="ka-GE"/>
        </w:rPr>
        <w:t xml:space="preserve">(დედამისიწის მიმართ დაბალორბიტალური </w:t>
      </w:r>
      <w:r w:rsidR="00276EA6">
        <w:rPr>
          <w:rFonts w:ascii="Sylfaen" w:hAnsi="Sylfaen" w:cstheme="minorHAnsi"/>
          <w:sz w:val="20"/>
          <w:szCs w:val="20"/>
          <w:lang w:val="en-GB"/>
        </w:rPr>
        <w:t xml:space="preserve">NGSO </w:t>
      </w:r>
      <w:r w:rsidR="00276EA6">
        <w:rPr>
          <w:rFonts w:ascii="Sylfaen" w:hAnsi="Sylfaen" w:cstheme="minorHAnsi"/>
          <w:sz w:val="20"/>
          <w:szCs w:val="20"/>
          <w:lang w:val="ka-GE"/>
        </w:rPr>
        <w:t xml:space="preserve">თანამგზავრული მომსახურება) 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დანერგვისა </w:t>
      </w:r>
      <w:r w:rsidR="003F6315" w:rsidRPr="00FD0A70">
        <w:rPr>
          <w:rFonts w:ascii="Sylfaen" w:hAnsi="Sylfaen" w:cstheme="minorHAnsi"/>
          <w:sz w:val="20"/>
          <w:szCs w:val="20"/>
          <w:lang w:val="ka-GE"/>
        </w:rPr>
        <w:t xml:space="preserve">და </w:t>
      </w:r>
      <w:r w:rsidRPr="00FD0A70">
        <w:rPr>
          <w:rFonts w:ascii="Sylfaen" w:hAnsi="Sylfaen" w:cstheme="minorHAnsi"/>
          <w:sz w:val="20"/>
          <w:szCs w:val="20"/>
          <w:lang w:val="ka-GE"/>
        </w:rPr>
        <w:t>განვითარების ხელშეწყობის მიზნით 10 – 12 გჰც სიხშირულ დიაპაზონში ე.წ. „მიტრისის“ სისტემების ფუნქციონირების ვადა შეიზღუდა ლიცენზიების მოქმედების ვად</w:t>
      </w:r>
      <w:r w:rsidR="00276EA6">
        <w:rPr>
          <w:rFonts w:ascii="Sylfaen" w:hAnsi="Sylfaen" w:cstheme="minorHAnsi"/>
          <w:sz w:val="20"/>
          <w:szCs w:val="20"/>
          <w:lang w:val="ka-GE"/>
        </w:rPr>
        <w:t>ებ</w:t>
      </w:r>
      <w:r w:rsidRPr="00FD0A70">
        <w:rPr>
          <w:rFonts w:ascii="Sylfaen" w:hAnsi="Sylfaen" w:cstheme="minorHAnsi"/>
          <w:sz w:val="20"/>
          <w:szCs w:val="20"/>
          <w:lang w:val="ka-GE"/>
        </w:rPr>
        <w:t>ით.</w:t>
      </w:r>
    </w:p>
    <w:p w14:paraId="6EE3D423" w14:textId="039CA631" w:rsidR="0086237E" w:rsidRPr="00FD0A70" w:rsidRDefault="0086237E" w:rsidP="003A165D">
      <w:pPr>
        <w:pStyle w:val="ListParagraph"/>
        <w:numPr>
          <w:ilvl w:val="0"/>
          <w:numId w:val="6"/>
        </w:numPr>
        <w:jc w:val="both"/>
        <w:rPr>
          <w:rFonts w:ascii="Sylfaen" w:hAnsi="Sylfaen" w:cstheme="minorHAnsi"/>
          <w:sz w:val="20"/>
          <w:szCs w:val="20"/>
          <w:lang w:val="ka-GE"/>
        </w:rPr>
      </w:pPr>
      <w:bookmarkStart w:id="0" w:name="_Hlk164353891"/>
      <w:r w:rsidRPr="00FD0A70">
        <w:rPr>
          <w:rFonts w:ascii="Sylfaen" w:hAnsi="Sylfaen" w:cstheme="minorHAnsi"/>
          <w:sz w:val="20"/>
          <w:szCs w:val="20"/>
          <w:lang w:val="ka-GE"/>
        </w:rPr>
        <w:t>2500-2700 მჰც სიხშირულ</w:t>
      </w:r>
      <w:r w:rsidR="00D71BBE">
        <w:rPr>
          <w:rFonts w:ascii="Sylfaen" w:hAnsi="Sylfaen" w:cstheme="minorHAnsi"/>
          <w:sz w:val="20"/>
          <w:szCs w:val="20"/>
          <w:lang w:val="ka-GE"/>
        </w:rPr>
        <w:t>ი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დიაპაზონ</w:t>
      </w:r>
      <w:r w:rsidR="00AD5472">
        <w:rPr>
          <w:rFonts w:ascii="Sylfaen" w:hAnsi="Sylfaen" w:cstheme="minorHAnsi"/>
          <w:sz w:val="20"/>
          <w:szCs w:val="20"/>
          <w:lang w:val="ka-GE"/>
        </w:rPr>
        <w:t>ის</w:t>
      </w:r>
      <w:r w:rsidR="00F72D7B">
        <w:rPr>
          <w:rFonts w:ascii="Sylfaen" w:hAnsi="Sylfaen" w:cstheme="minorHAnsi"/>
          <w:sz w:val="20"/>
          <w:szCs w:val="20"/>
          <w:lang w:val="ka-GE"/>
        </w:rPr>
        <w:t>თვის განკუთვნილ გრაფაში,</w:t>
      </w:r>
      <w:r w:rsidR="00AD5472">
        <w:rPr>
          <w:rFonts w:ascii="Sylfaen" w:hAnsi="Sylfaen" w:cstheme="minorHAnsi"/>
          <w:sz w:val="20"/>
          <w:szCs w:val="20"/>
          <w:lang w:val="ka-GE"/>
        </w:rPr>
        <w:t xml:space="preserve"> მე-4 სვეტს </w:t>
      </w:r>
      <w:r w:rsidR="00524B9B">
        <w:rPr>
          <w:rFonts w:ascii="Sylfaen" w:hAnsi="Sylfaen" w:cstheme="minorHAnsi"/>
          <w:sz w:val="20"/>
          <w:szCs w:val="20"/>
          <w:lang w:val="ka-GE"/>
        </w:rPr>
        <w:t>(</w:t>
      </w:r>
      <w:r w:rsidR="00AD5472">
        <w:rPr>
          <w:rFonts w:ascii="Sylfaen" w:hAnsi="Sylfaen" w:cstheme="minorHAnsi"/>
          <w:sz w:val="20"/>
          <w:szCs w:val="20"/>
          <w:lang w:val="ka-GE"/>
        </w:rPr>
        <w:t>გამოყენება ეროვნულ დონეზე</w:t>
      </w:r>
      <w:r w:rsidR="00524B9B">
        <w:rPr>
          <w:rFonts w:ascii="Sylfaen" w:hAnsi="Sylfaen" w:cstheme="minorHAnsi"/>
          <w:sz w:val="20"/>
          <w:szCs w:val="20"/>
          <w:lang w:val="ka-GE"/>
        </w:rPr>
        <w:t>)</w:t>
      </w:r>
      <w:r w:rsidR="00AD5472">
        <w:rPr>
          <w:rFonts w:ascii="Sylfaen" w:hAnsi="Sylfaen" w:cstheme="minorHAnsi"/>
          <w:sz w:val="20"/>
          <w:szCs w:val="20"/>
          <w:lang w:val="ka-GE"/>
        </w:rPr>
        <w:t>,</w:t>
      </w:r>
      <w:r w:rsidRPr="00FD0A70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B12ECF">
        <w:rPr>
          <w:rFonts w:ascii="Sylfaen" w:hAnsi="Sylfaen" w:cstheme="minorHAnsi"/>
          <w:sz w:val="20"/>
          <w:szCs w:val="20"/>
          <w:lang w:val="ka-GE"/>
        </w:rPr>
        <w:t xml:space="preserve">დაემატა </w:t>
      </w:r>
      <w:r w:rsidR="007718D2">
        <w:rPr>
          <w:rFonts w:ascii="Sylfaen" w:hAnsi="Sylfaen" w:cstheme="minorHAnsi"/>
          <w:sz w:val="20"/>
          <w:szCs w:val="20"/>
          <w:lang w:val="ka-GE"/>
        </w:rPr>
        <w:t>ჩან</w:t>
      </w:r>
      <w:r w:rsidR="00F4477B">
        <w:rPr>
          <w:rFonts w:ascii="Sylfaen" w:hAnsi="Sylfaen" w:cstheme="minorHAnsi"/>
          <w:sz w:val="20"/>
          <w:szCs w:val="20"/>
          <w:lang w:val="ka-GE"/>
        </w:rPr>
        <w:t>აწერი</w:t>
      </w:r>
      <w:r w:rsidR="00BC1226">
        <w:rPr>
          <w:rFonts w:ascii="Sylfaen" w:hAnsi="Sylfaen" w:cstheme="minorHAnsi"/>
          <w:sz w:val="20"/>
          <w:szCs w:val="20"/>
          <w:lang w:val="ka-GE"/>
        </w:rPr>
        <w:t xml:space="preserve">  </w:t>
      </w:r>
      <w:r w:rsidR="003C1002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C17819" w:rsidRPr="00276EA6">
        <w:rPr>
          <w:rFonts w:ascii="Sylfaen" w:hAnsi="Sylfaen" w:cstheme="minorHAnsi"/>
          <w:sz w:val="20"/>
          <w:szCs w:val="20"/>
          <w:lang w:val="ka-GE"/>
        </w:rPr>
        <w:t>„</w:t>
      </w:r>
      <w:r w:rsidRPr="00276EA6">
        <w:rPr>
          <w:rFonts w:ascii="Sylfaen" w:hAnsi="Sylfaen" w:cstheme="minorHAnsi"/>
          <w:sz w:val="20"/>
          <w:szCs w:val="20"/>
          <w:lang w:val="ka-GE"/>
        </w:rPr>
        <w:t>წერტილი-მრავალწერტილი</w:t>
      </w:r>
      <w:r w:rsidR="00C17819" w:rsidRPr="00276EA6">
        <w:rPr>
          <w:rFonts w:ascii="Sylfaen" w:hAnsi="Sylfaen" w:cstheme="minorHAnsi"/>
          <w:sz w:val="20"/>
          <w:szCs w:val="20"/>
          <w:lang w:val="ka-GE"/>
        </w:rPr>
        <w:t>“</w:t>
      </w:r>
      <w:r w:rsidR="00AD5472" w:rsidRPr="00276EA6">
        <w:rPr>
          <w:rFonts w:ascii="Sylfaen" w:hAnsi="Sylfaen" w:cstheme="minorHAnsi"/>
          <w:sz w:val="20"/>
          <w:szCs w:val="20"/>
          <w:lang w:val="ka-GE"/>
        </w:rPr>
        <w:t>.</w:t>
      </w:r>
      <w:r w:rsidR="00AD5472">
        <w:rPr>
          <w:rFonts w:ascii="Sylfaen" w:hAnsi="Sylfaen" w:cstheme="minorHAnsi"/>
          <w:sz w:val="20"/>
          <w:szCs w:val="20"/>
          <w:lang w:val="ka-GE"/>
        </w:rPr>
        <w:t>ასევე</w:t>
      </w:r>
      <w:r w:rsidR="00DA2B85">
        <w:rPr>
          <w:rFonts w:ascii="Sylfaen" w:hAnsi="Sylfaen" w:cstheme="minorHAnsi"/>
          <w:sz w:val="20"/>
          <w:szCs w:val="20"/>
          <w:lang w:val="ka-GE"/>
        </w:rPr>
        <w:t>,</w:t>
      </w:r>
      <w:r w:rsidR="00AD5472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DA2B85">
        <w:rPr>
          <w:rFonts w:ascii="Sylfaen" w:hAnsi="Sylfaen" w:cstheme="minorHAnsi"/>
          <w:sz w:val="20"/>
          <w:szCs w:val="20"/>
          <w:lang w:val="ka-GE"/>
        </w:rPr>
        <w:t>მე-5 სვეტს (შენიშვნები)</w:t>
      </w:r>
      <w:r w:rsidR="00AA7E25">
        <w:rPr>
          <w:rFonts w:ascii="Sylfaen" w:hAnsi="Sylfaen" w:cstheme="minorHAnsi"/>
          <w:sz w:val="20"/>
          <w:szCs w:val="20"/>
          <w:lang w:val="ka-GE"/>
        </w:rPr>
        <w:t>დაემატა ჩანაწერი</w:t>
      </w:r>
      <w:r w:rsidR="00AD5472" w:rsidRPr="00276EA6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C17819" w:rsidRPr="00276EA6">
        <w:rPr>
          <w:rFonts w:ascii="Sylfaen" w:hAnsi="Sylfaen" w:cstheme="minorHAnsi"/>
          <w:sz w:val="20"/>
          <w:szCs w:val="20"/>
          <w:lang w:val="ka-GE"/>
        </w:rPr>
        <w:t xml:space="preserve"> </w:t>
      </w:r>
      <w:r w:rsidR="00AD5472" w:rsidRPr="00276EA6">
        <w:rPr>
          <w:rFonts w:ascii="Sylfaen" w:hAnsi="Sylfaen" w:cstheme="minorHAnsi"/>
          <w:sz w:val="20"/>
          <w:szCs w:val="20"/>
          <w:lang w:val="ka-GE"/>
        </w:rPr>
        <w:t>„წერტილი-მრავალწერტილი: მაუწყებლობის ტრანზიტის დანიშნულებებით, მეორადი გამოყენების უფლებით რადიოსიხშირული ზოლისთვის 2500-2700 მჰც (მობილური გამოყენების გარდა)</w:t>
      </w:r>
      <w:r w:rsidR="00524B9B">
        <w:rPr>
          <w:rFonts w:ascii="Sylfaen" w:hAnsi="Sylfaen" w:cstheme="minorHAnsi"/>
          <w:sz w:val="20"/>
          <w:szCs w:val="20"/>
          <w:lang w:val="ka-GE"/>
        </w:rPr>
        <w:t>“</w:t>
      </w:r>
      <w:r w:rsidR="0096378A" w:rsidRPr="00276EA6">
        <w:rPr>
          <w:rFonts w:ascii="Sylfaen" w:hAnsi="Sylfaen" w:cstheme="minorHAnsi"/>
          <w:sz w:val="20"/>
          <w:szCs w:val="20"/>
          <w:lang w:val="ka-GE"/>
        </w:rPr>
        <w:t>.</w:t>
      </w:r>
      <w:r w:rsidR="00DA2B85">
        <w:rPr>
          <w:rFonts w:ascii="Sylfaen" w:hAnsi="Sylfaen" w:cstheme="minorHAnsi"/>
          <w:sz w:val="20"/>
          <w:szCs w:val="20"/>
          <w:lang w:val="ka-GE"/>
        </w:rPr>
        <w:t xml:space="preserve"> ამასთანავე, გეგმაში მოცემული ცხრილების მე-5 სვეტით განისაზღვრება </w:t>
      </w:r>
      <w:r w:rsidR="005B53D0">
        <w:rPr>
          <w:rFonts w:ascii="Sylfaen" w:hAnsi="Sylfaen" w:cstheme="minorHAnsi"/>
          <w:sz w:val="20"/>
          <w:szCs w:val="20"/>
          <w:lang w:val="ka-GE"/>
        </w:rPr>
        <w:t xml:space="preserve">შესაბამისი ტექნიკური, ასევე, </w:t>
      </w:r>
      <w:r w:rsidR="00DA2B85">
        <w:rPr>
          <w:rFonts w:ascii="Sylfaen" w:hAnsi="Sylfaen" w:cstheme="minorHAnsi"/>
          <w:sz w:val="20"/>
          <w:szCs w:val="20"/>
          <w:lang w:val="ka-GE"/>
        </w:rPr>
        <w:t xml:space="preserve">სხვა პირობები და ნორმები. </w:t>
      </w:r>
    </w:p>
    <w:bookmarkEnd w:id="0"/>
    <w:p w14:paraId="62ED3A83" w14:textId="77777777" w:rsidR="00C317D5" w:rsidRPr="00FD0A70" w:rsidRDefault="00C317D5" w:rsidP="00C317D5">
      <w:pPr>
        <w:jc w:val="both"/>
        <w:rPr>
          <w:rFonts w:ascii="Sylfaen" w:hAnsi="Sylfaen" w:cstheme="minorHAnsi"/>
          <w:sz w:val="20"/>
          <w:szCs w:val="20"/>
          <w:lang w:val="ka-GE"/>
        </w:rPr>
      </w:pPr>
    </w:p>
    <w:p w14:paraId="6E27C17A" w14:textId="513696DB" w:rsidR="0086237E" w:rsidRPr="00FD0A70" w:rsidRDefault="0086237E" w:rsidP="0086237E">
      <w:pPr>
        <w:spacing w:before="120" w:after="120"/>
        <w:jc w:val="both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FD0A70">
        <w:rPr>
          <w:rFonts w:ascii="Sylfaen" w:eastAsia="Calibri" w:hAnsi="Sylfaen" w:cs="Times New Roman"/>
          <w:sz w:val="20"/>
          <w:szCs w:val="20"/>
          <w:lang w:val="ka-GE"/>
        </w:rPr>
        <w:t>დადგენილების  მიღება გავლენას არ მოახდენს სახელმწიფო ბიუჯეტის საშემოსავლო და ხარჯვით ნაწილებზე.</w:t>
      </w:r>
    </w:p>
    <w:p w14:paraId="036445EB" w14:textId="21FDA0AE" w:rsidR="0086237E" w:rsidRPr="00FD0A70" w:rsidRDefault="0086237E" w:rsidP="00FD0A70">
      <w:pPr>
        <w:spacing w:before="120" w:after="120"/>
        <w:jc w:val="both"/>
        <w:rPr>
          <w:rFonts w:ascii="Sylfaen" w:hAnsi="Sylfaen" w:cstheme="minorHAnsi"/>
          <w:sz w:val="20"/>
          <w:szCs w:val="20"/>
          <w:lang w:val="ka-GE"/>
        </w:rPr>
      </w:pPr>
      <w:r w:rsidRPr="00FD0A70">
        <w:rPr>
          <w:rFonts w:ascii="Sylfaen" w:eastAsia="Calibri" w:hAnsi="Sylfaen" w:cs="Times New Roman"/>
          <w:sz w:val="20"/>
          <w:szCs w:val="20"/>
          <w:lang w:val="ka-GE"/>
        </w:rPr>
        <w:t>დადგენილების პროექტის ავტორია საქართველოს კომუნიკაციების ეროვნული კომისია.</w:t>
      </w:r>
    </w:p>
    <w:sectPr w:rsidR="0086237E" w:rsidRPr="00FD0A70" w:rsidSect="001B3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7127"/>
    <w:multiLevelType w:val="hybridMultilevel"/>
    <w:tmpl w:val="8C284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742AD"/>
    <w:multiLevelType w:val="hybridMultilevel"/>
    <w:tmpl w:val="6012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4942"/>
    <w:multiLevelType w:val="hybridMultilevel"/>
    <w:tmpl w:val="5316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4C9B"/>
    <w:multiLevelType w:val="hybridMultilevel"/>
    <w:tmpl w:val="12105E6C"/>
    <w:lvl w:ilvl="0" w:tplc="C978BA54">
      <w:start w:val="1"/>
      <w:numFmt w:val="decimal"/>
      <w:lvlText w:val="%1."/>
      <w:lvlJc w:val="left"/>
      <w:pPr>
        <w:ind w:left="1020" w:hanging="360"/>
      </w:pPr>
    </w:lvl>
    <w:lvl w:ilvl="1" w:tplc="D65C0A2C">
      <w:start w:val="1"/>
      <w:numFmt w:val="decimal"/>
      <w:lvlText w:val="%2."/>
      <w:lvlJc w:val="left"/>
      <w:pPr>
        <w:ind w:left="1020" w:hanging="360"/>
      </w:pPr>
    </w:lvl>
    <w:lvl w:ilvl="2" w:tplc="74903346">
      <w:start w:val="1"/>
      <w:numFmt w:val="decimal"/>
      <w:lvlText w:val="%3."/>
      <w:lvlJc w:val="left"/>
      <w:pPr>
        <w:ind w:left="1020" w:hanging="360"/>
      </w:pPr>
    </w:lvl>
    <w:lvl w:ilvl="3" w:tplc="8C7E64C0">
      <w:start w:val="1"/>
      <w:numFmt w:val="decimal"/>
      <w:lvlText w:val="%4."/>
      <w:lvlJc w:val="left"/>
      <w:pPr>
        <w:ind w:left="1020" w:hanging="360"/>
      </w:pPr>
    </w:lvl>
    <w:lvl w:ilvl="4" w:tplc="6F0EF6FE">
      <w:start w:val="1"/>
      <w:numFmt w:val="decimal"/>
      <w:lvlText w:val="%5."/>
      <w:lvlJc w:val="left"/>
      <w:pPr>
        <w:ind w:left="1020" w:hanging="360"/>
      </w:pPr>
    </w:lvl>
    <w:lvl w:ilvl="5" w:tplc="1D92B9A2">
      <w:start w:val="1"/>
      <w:numFmt w:val="decimal"/>
      <w:lvlText w:val="%6."/>
      <w:lvlJc w:val="left"/>
      <w:pPr>
        <w:ind w:left="1020" w:hanging="360"/>
      </w:pPr>
    </w:lvl>
    <w:lvl w:ilvl="6" w:tplc="F8DA86D8">
      <w:start w:val="1"/>
      <w:numFmt w:val="decimal"/>
      <w:lvlText w:val="%7."/>
      <w:lvlJc w:val="left"/>
      <w:pPr>
        <w:ind w:left="1020" w:hanging="360"/>
      </w:pPr>
    </w:lvl>
    <w:lvl w:ilvl="7" w:tplc="ADAC2B8E">
      <w:start w:val="1"/>
      <w:numFmt w:val="decimal"/>
      <w:lvlText w:val="%8."/>
      <w:lvlJc w:val="left"/>
      <w:pPr>
        <w:ind w:left="1020" w:hanging="360"/>
      </w:pPr>
    </w:lvl>
    <w:lvl w:ilvl="8" w:tplc="6A1ACEF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6A051C61"/>
    <w:multiLevelType w:val="hybridMultilevel"/>
    <w:tmpl w:val="B2AE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325F9"/>
    <w:multiLevelType w:val="hybridMultilevel"/>
    <w:tmpl w:val="F788B714"/>
    <w:lvl w:ilvl="0" w:tplc="F828DD4A">
      <w:start w:val="1"/>
      <w:numFmt w:val="decimal"/>
      <w:lvlText w:val="%1."/>
      <w:lvlJc w:val="left"/>
      <w:pPr>
        <w:ind w:left="720" w:hanging="360"/>
      </w:pPr>
    </w:lvl>
    <w:lvl w:ilvl="1" w:tplc="177656B6">
      <w:start w:val="1"/>
      <w:numFmt w:val="decimal"/>
      <w:lvlText w:val="%2."/>
      <w:lvlJc w:val="left"/>
      <w:pPr>
        <w:ind w:left="720" w:hanging="360"/>
      </w:pPr>
    </w:lvl>
    <w:lvl w:ilvl="2" w:tplc="14D474FA">
      <w:start w:val="1"/>
      <w:numFmt w:val="decimal"/>
      <w:lvlText w:val="%3."/>
      <w:lvlJc w:val="left"/>
      <w:pPr>
        <w:ind w:left="720" w:hanging="360"/>
      </w:pPr>
    </w:lvl>
    <w:lvl w:ilvl="3" w:tplc="3ED25174">
      <w:start w:val="1"/>
      <w:numFmt w:val="decimal"/>
      <w:lvlText w:val="%4."/>
      <w:lvlJc w:val="left"/>
      <w:pPr>
        <w:ind w:left="720" w:hanging="360"/>
      </w:pPr>
    </w:lvl>
    <w:lvl w:ilvl="4" w:tplc="65BE98D8">
      <w:start w:val="1"/>
      <w:numFmt w:val="decimal"/>
      <w:lvlText w:val="%5."/>
      <w:lvlJc w:val="left"/>
      <w:pPr>
        <w:ind w:left="720" w:hanging="360"/>
      </w:pPr>
    </w:lvl>
    <w:lvl w:ilvl="5" w:tplc="3D2AFF0C">
      <w:start w:val="1"/>
      <w:numFmt w:val="decimal"/>
      <w:lvlText w:val="%6."/>
      <w:lvlJc w:val="left"/>
      <w:pPr>
        <w:ind w:left="720" w:hanging="360"/>
      </w:pPr>
    </w:lvl>
    <w:lvl w:ilvl="6" w:tplc="F51A9212">
      <w:start w:val="1"/>
      <w:numFmt w:val="decimal"/>
      <w:lvlText w:val="%7."/>
      <w:lvlJc w:val="left"/>
      <w:pPr>
        <w:ind w:left="720" w:hanging="360"/>
      </w:pPr>
    </w:lvl>
    <w:lvl w:ilvl="7" w:tplc="563E1C9A">
      <w:start w:val="1"/>
      <w:numFmt w:val="decimal"/>
      <w:lvlText w:val="%8."/>
      <w:lvlJc w:val="left"/>
      <w:pPr>
        <w:ind w:left="720" w:hanging="360"/>
      </w:pPr>
    </w:lvl>
    <w:lvl w:ilvl="8" w:tplc="8BDE5996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76CE0563"/>
    <w:multiLevelType w:val="hybridMultilevel"/>
    <w:tmpl w:val="3216E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2699A"/>
    <w:multiLevelType w:val="hybridMultilevel"/>
    <w:tmpl w:val="2FC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E3F50"/>
    <w:multiLevelType w:val="hybridMultilevel"/>
    <w:tmpl w:val="65CCD17C"/>
    <w:lvl w:ilvl="0" w:tplc="001A5C9C">
      <w:start w:val="1"/>
      <w:numFmt w:val="decimal"/>
      <w:lvlText w:val="%1."/>
      <w:lvlJc w:val="left"/>
      <w:pPr>
        <w:ind w:left="1020" w:hanging="360"/>
      </w:pPr>
    </w:lvl>
    <w:lvl w:ilvl="1" w:tplc="3AF41CA4">
      <w:start w:val="1"/>
      <w:numFmt w:val="decimal"/>
      <w:lvlText w:val="%2."/>
      <w:lvlJc w:val="left"/>
      <w:pPr>
        <w:ind w:left="1020" w:hanging="360"/>
      </w:pPr>
    </w:lvl>
    <w:lvl w:ilvl="2" w:tplc="095A04D6">
      <w:start w:val="1"/>
      <w:numFmt w:val="decimal"/>
      <w:lvlText w:val="%3."/>
      <w:lvlJc w:val="left"/>
      <w:pPr>
        <w:ind w:left="1020" w:hanging="360"/>
      </w:pPr>
    </w:lvl>
    <w:lvl w:ilvl="3" w:tplc="0994D348">
      <w:start w:val="1"/>
      <w:numFmt w:val="decimal"/>
      <w:lvlText w:val="%4."/>
      <w:lvlJc w:val="left"/>
      <w:pPr>
        <w:ind w:left="1020" w:hanging="360"/>
      </w:pPr>
    </w:lvl>
    <w:lvl w:ilvl="4" w:tplc="1ABC11E0">
      <w:start w:val="1"/>
      <w:numFmt w:val="decimal"/>
      <w:lvlText w:val="%5."/>
      <w:lvlJc w:val="left"/>
      <w:pPr>
        <w:ind w:left="1020" w:hanging="360"/>
      </w:pPr>
    </w:lvl>
    <w:lvl w:ilvl="5" w:tplc="32821D52">
      <w:start w:val="1"/>
      <w:numFmt w:val="decimal"/>
      <w:lvlText w:val="%6."/>
      <w:lvlJc w:val="left"/>
      <w:pPr>
        <w:ind w:left="1020" w:hanging="360"/>
      </w:pPr>
    </w:lvl>
    <w:lvl w:ilvl="6" w:tplc="4A227678">
      <w:start w:val="1"/>
      <w:numFmt w:val="decimal"/>
      <w:lvlText w:val="%7."/>
      <w:lvlJc w:val="left"/>
      <w:pPr>
        <w:ind w:left="1020" w:hanging="360"/>
      </w:pPr>
    </w:lvl>
    <w:lvl w:ilvl="7" w:tplc="66100DA4">
      <w:start w:val="1"/>
      <w:numFmt w:val="decimal"/>
      <w:lvlText w:val="%8."/>
      <w:lvlJc w:val="left"/>
      <w:pPr>
        <w:ind w:left="1020" w:hanging="360"/>
      </w:pPr>
    </w:lvl>
    <w:lvl w:ilvl="8" w:tplc="8B98BC26">
      <w:start w:val="1"/>
      <w:numFmt w:val="decimal"/>
      <w:lvlText w:val="%9."/>
      <w:lvlJc w:val="left"/>
      <w:pPr>
        <w:ind w:left="1020" w:hanging="360"/>
      </w:pPr>
    </w:lvl>
  </w:abstractNum>
  <w:num w:numId="1" w16cid:durableId="2044480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173825">
    <w:abstractNumId w:val="7"/>
  </w:num>
  <w:num w:numId="3" w16cid:durableId="591162837">
    <w:abstractNumId w:val="2"/>
  </w:num>
  <w:num w:numId="4" w16cid:durableId="119812769">
    <w:abstractNumId w:val="6"/>
  </w:num>
  <w:num w:numId="5" w16cid:durableId="2060739897">
    <w:abstractNumId w:val="0"/>
  </w:num>
  <w:num w:numId="6" w16cid:durableId="1543057610">
    <w:abstractNumId w:val="4"/>
  </w:num>
  <w:num w:numId="7" w16cid:durableId="2082676354">
    <w:abstractNumId w:val="1"/>
  </w:num>
  <w:num w:numId="8" w16cid:durableId="905455701">
    <w:abstractNumId w:val="3"/>
  </w:num>
  <w:num w:numId="9" w16cid:durableId="691764440">
    <w:abstractNumId w:val="5"/>
  </w:num>
  <w:num w:numId="10" w16cid:durableId="120208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MrQ0MjEGMowtLZR0lIJTi4sz8/NACgxrAbiEAO4sAAAA"/>
  </w:docVars>
  <w:rsids>
    <w:rsidRoot w:val="00D22E55"/>
    <w:rsid w:val="0000046D"/>
    <w:rsid w:val="00025FFC"/>
    <w:rsid w:val="000264D2"/>
    <w:rsid w:val="0004558C"/>
    <w:rsid w:val="00062DB4"/>
    <w:rsid w:val="00081E99"/>
    <w:rsid w:val="000C503D"/>
    <w:rsid w:val="000D4EF3"/>
    <w:rsid w:val="000F188A"/>
    <w:rsid w:val="001071DB"/>
    <w:rsid w:val="001123B3"/>
    <w:rsid w:val="00115335"/>
    <w:rsid w:val="00125C31"/>
    <w:rsid w:val="001411B0"/>
    <w:rsid w:val="00145F99"/>
    <w:rsid w:val="00163E08"/>
    <w:rsid w:val="001717E7"/>
    <w:rsid w:val="001956BE"/>
    <w:rsid w:val="00197D28"/>
    <w:rsid w:val="001A72DC"/>
    <w:rsid w:val="001A76F2"/>
    <w:rsid w:val="001B389B"/>
    <w:rsid w:val="001B74AA"/>
    <w:rsid w:val="001E2BE1"/>
    <w:rsid w:val="001E75B4"/>
    <w:rsid w:val="002035A5"/>
    <w:rsid w:val="00226667"/>
    <w:rsid w:val="002350BB"/>
    <w:rsid w:val="002530C6"/>
    <w:rsid w:val="002651D3"/>
    <w:rsid w:val="00266B85"/>
    <w:rsid w:val="00275516"/>
    <w:rsid w:val="00276EA6"/>
    <w:rsid w:val="00277B38"/>
    <w:rsid w:val="00281108"/>
    <w:rsid w:val="00295E35"/>
    <w:rsid w:val="002A2AC6"/>
    <w:rsid w:val="002A3D25"/>
    <w:rsid w:val="002A5A65"/>
    <w:rsid w:val="002B119A"/>
    <w:rsid w:val="002B2450"/>
    <w:rsid w:val="002C70EB"/>
    <w:rsid w:val="002C78B8"/>
    <w:rsid w:val="002D7596"/>
    <w:rsid w:val="002E1CB4"/>
    <w:rsid w:val="002E23CB"/>
    <w:rsid w:val="002E2757"/>
    <w:rsid w:val="002F1530"/>
    <w:rsid w:val="002F2542"/>
    <w:rsid w:val="00306B12"/>
    <w:rsid w:val="00324063"/>
    <w:rsid w:val="003246B2"/>
    <w:rsid w:val="003256AF"/>
    <w:rsid w:val="00336AAC"/>
    <w:rsid w:val="003424CB"/>
    <w:rsid w:val="00346B36"/>
    <w:rsid w:val="00353BBE"/>
    <w:rsid w:val="00376BF9"/>
    <w:rsid w:val="00385761"/>
    <w:rsid w:val="003A165D"/>
    <w:rsid w:val="003A3D34"/>
    <w:rsid w:val="003A5CAB"/>
    <w:rsid w:val="003B1039"/>
    <w:rsid w:val="003B6D5A"/>
    <w:rsid w:val="003C1002"/>
    <w:rsid w:val="003C4AA4"/>
    <w:rsid w:val="003C5BA5"/>
    <w:rsid w:val="003C60B7"/>
    <w:rsid w:val="003F4343"/>
    <w:rsid w:val="003F5E07"/>
    <w:rsid w:val="003F6315"/>
    <w:rsid w:val="00400ED2"/>
    <w:rsid w:val="00410DAE"/>
    <w:rsid w:val="00417967"/>
    <w:rsid w:val="00434D7E"/>
    <w:rsid w:val="00446424"/>
    <w:rsid w:val="00450337"/>
    <w:rsid w:val="00474E82"/>
    <w:rsid w:val="00494D5D"/>
    <w:rsid w:val="004A4067"/>
    <w:rsid w:val="004C4778"/>
    <w:rsid w:val="004D394A"/>
    <w:rsid w:val="004F46F0"/>
    <w:rsid w:val="004F7685"/>
    <w:rsid w:val="00500177"/>
    <w:rsid w:val="005056CF"/>
    <w:rsid w:val="00506E4E"/>
    <w:rsid w:val="00517BAD"/>
    <w:rsid w:val="00524B9B"/>
    <w:rsid w:val="00526553"/>
    <w:rsid w:val="00540E0F"/>
    <w:rsid w:val="005418AF"/>
    <w:rsid w:val="00554D20"/>
    <w:rsid w:val="005555A4"/>
    <w:rsid w:val="0055770F"/>
    <w:rsid w:val="00557DB6"/>
    <w:rsid w:val="00560AC6"/>
    <w:rsid w:val="0056450F"/>
    <w:rsid w:val="00564AAF"/>
    <w:rsid w:val="00590069"/>
    <w:rsid w:val="00593E01"/>
    <w:rsid w:val="005B53D0"/>
    <w:rsid w:val="005B58F4"/>
    <w:rsid w:val="005D0BD1"/>
    <w:rsid w:val="005E60B1"/>
    <w:rsid w:val="005F0E99"/>
    <w:rsid w:val="005F5E64"/>
    <w:rsid w:val="00600581"/>
    <w:rsid w:val="00605215"/>
    <w:rsid w:val="00605347"/>
    <w:rsid w:val="00606B9E"/>
    <w:rsid w:val="0062653E"/>
    <w:rsid w:val="00671280"/>
    <w:rsid w:val="00676F5C"/>
    <w:rsid w:val="00677431"/>
    <w:rsid w:val="00681A8B"/>
    <w:rsid w:val="00683CB0"/>
    <w:rsid w:val="006A5FF7"/>
    <w:rsid w:val="006C4A10"/>
    <w:rsid w:val="006E4F6A"/>
    <w:rsid w:val="006F2339"/>
    <w:rsid w:val="006F35D7"/>
    <w:rsid w:val="00762A30"/>
    <w:rsid w:val="007636BA"/>
    <w:rsid w:val="00764175"/>
    <w:rsid w:val="007718D2"/>
    <w:rsid w:val="007778F6"/>
    <w:rsid w:val="0078624F"/>
    <w:rsid w:val="0079010E"/>
    <w:rsid w:val="007A1413"/>
    <w:rsid w:val="007B3F7F"/>
    <w:rsid w:val="007B5DE4"/>
    <w:rsid w:val="007C2DEF"/>
    <w:rsid w:val="007E21BF"/>
    <w:rsid w:val="00806FDD"/>
    <w:rsid w:val="00821B85"/>
    <w:rsid w:val="00821FA1"/>
    <w:rsid w:val="0082586F"/>
    <w:rsid w:val="00831274"/>
    <w:rsid w:val="00832366"/>
    <w:rsid w:val="008557CE"/>
    <w:rsid w:val="00855D06"/>
    <w:rsid w:val="0086237E"/>
    <w:rsid w:val="00877184"/>
    <w:rsid w:val="008A7484"/>
    <w:rsid w:val="008A7750"/>
    <w:rsid w:val="008C5E6F"/>
    <w:rsid w:val="008F70CA"/>
    <w:rsid w:val="009479D5"/>
    <w:rsid w:val="009515B9"/>
    <w:rsid w:val="00955F86"/>
    <w:rsid w:val="0096378A"/>
    <w:rsid w:val="00976E44"/>
    <w:rsid w:val="009A3941"/>
    <w:rsid w:val="009B6E5D"/>
    <w:rsid w:val="009D15C8"/>
    <w:rsid w:val="009D7C40"/>
    <w:rsid w:val="009E00D5"/>
    <w:rsid w:val="009E494E"/>
    <w:rsid w:val="009E7687"/>
    <w:rsid w:val="009F76D1"/>
    <w:rsid w:val="00A02F9E"/>
    <w:rsid w:val="00A60FFC"/>
    <w:rsid w:val="00A652DA"/>
    <w:rsid w:val="00A85A82"/>
    <w:rsid w:val="00AA4C30"/>
    <w:rsid w:val="00AA7E25"/>
    <w:rsid w:val="00AC7499"/>
    <w:rsid w:val="00AC7E2E"/>
    <w:rsid w:val="00AD5472"/>
    <w:rsid w:val="00B0630A"/>
    <w:rsid w:val="00B0672B"/>
    <w:rsid w:val="00B1041D"/>
    <w:rsid w:val="00B12ECF"/>
    <w:rsid w:val="00B31408"/>
    <w:rsid w:val="00B51E8E"/>
    <w:rsid w:val="00B52037"/>
    <w:rsid w:val="00B6171F"/>
    <w:rsid w:val="00B80EA3"/>
    <w:rsid w:val="00B82D96"/>
    <w:rsid w:val="00B91270"/>
    <w:rsid w:val="00BA7E76"/>
    <w:rsid w:val="00BC1226"/>
    <w:rsid w:val="00BC7CB9"/>
    <w:rsid w:val="00BD2B0B"/>
    <w:rsid w:val="00BD3190"/>
    <w:rsid w:val="00BD42F3"/>
    <w:rsid w:val="00BD5D7C"/>
    <w:rsid w:val="00BE23B8"/>
    <w:rsid w:val="00C17819"/>
    <w:rsid w:val="00C317D5"/>
    <w:rsid w:val="00C36692"/>
    <w:rsid w:val="00C41F65"/>
    <w:rsid w:val="00C450DE"/>
    <w:rsid w:val="00C52DC2"/>
    <w:rsid w:val="00C6164B"/>
    <w:rsid w:val="00C71F25"/>
    <w:rsid w:val="00C7659C"/>
    <w:rsid w:val="00C8696F"/>
    <w:rsid w:val="00C926E3"/>
    <w:rsid w:val="00CA00FC"/>
    <w:rsid w:val="00CE3AF1"/>
    <w:rsid w:val="00CF39AB"/>
    <w:rsid w:val="00D22E55"/>
    <w:rsid w:val="00D41109"/>
    <w:rsid w:val="00D714E0"/>
    <w:rsid w:val="00D71BBE"/>
    <w:rsid w:val="00DA2B85"/>
    <w:rsid w:val="00DA34DD"/>
    <w:rsid w:val="00DA5B4B"/>
    <w:rsid w:val="00DB7EBB"/>
    <w:rsid w:val="00DD2D9F"/>
    <w:rsid w:val="00DF0BDA"/>
    <w:rsid w:val="00E009BE"/>
    <w:rsid w:val="00E03B0A"/>
    <w:rsid w:val="00E124C7"/>
    <w:rsid w:val="00E42121"/>
    <w:rsid w:val="00E4526A"/>
    <w:rsid w:val="00E56095"/>
    <w:rsid w:val="00E71AD2"/>
    <w:rsid w:val="00E90018"/>
    <w:rsid w:val="00E94CDF"/>
    <w:rsid w:val="00EA3B00"/>
    <w:rsid w:val="00EA4736"/>
    <w:rsid w:val="00EF3112"/>
    <w:rsid w:val="00F013C6"/>
    <w:rsid w:val="00F05F04"/>
    <w:rsid w:val="00F12876"/>
    <w:rsid w:val="00F3325B"/>
    <w:rsid w:val="00F4477B"/>
    <w:rsid w:val="00F63FD3"/>
    <w:rsid w:val="00F65F4C"/>
    <w:rsid w:val="00F72D7B"/>
    <w:rsid w:val="00F851FC"/>
    <w:rsid w:val="00F92F22"/>
    <w:rsid w:val="00F97614"/>
    <w:rsid w:val="00F9762D"/>
    <w:rsid w:val="00FC12F5"/>
    <w:rsid w:val="00FC6B60"/>
    <w:rsid w:val="00FC72D6"/>
    <w:rsid w:val="00FD0A70"/>
    <w:rsid w:val="00FD399F"/>
    <w:rsid w:val="00FD7033"/>
    <w:rsid w:val="00FE4E37"/>
    <w:rsid w:val="00FF0BEF"/>
    <w:rsid w:val="00FF3C8E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72672"/>
  <w15:docId w15:val="{7137C331-BF10-4F84-B117-DFD87A4A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EA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8312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2A5A65"/>
    <w:pPr>
      <w:spacing w:after="0" w:line="240" w:lineRule="auto"/>
    </w:pPr>
  </w:style>
  <w:style w:type="paragraph" w:styleId="Revision">
    <w:name w:val="Revision"/>
    <w:hidden/>
    <w:uiPriority w:val="99"/>
    <w:semiHidden/>
    <w:rsid w:val="00400E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4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E297-EEB3-4D7B-B57C-E6FCE7D3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 Papava</cp:lastModifiedBy>
  <cp:revision>2</cp:revision>
  <cp:lastPrinted>2016-12-12T10:41:00Z</cp:lastPrinted>
  <dcterms:created xsi:type="dcterms:W3CDTF">2024-05-27T04:20:00Z</dcterms:created>
  <dcterms:modified xsi:type="dcterms:W3CDTF">2024-05-27T04:20:00Z</dcterms:modified>
</cp:coreProperties>
</file>