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B3DB4" w14:textId="18B27356" w:rsidR="00302CFE" w:rsidRDefault="00302CFE" w:rsidP="00302CFE">
      <w:pPr>
        <w:jc w:val="both"/>
        <w:rPr>
          <w:lang w:val="ka-GE"/>
        </w:rPr>
      </w:pPr>
      <w:r w:rsidRPr="002E6118">
        <w:rPr>
          <w:b/>
          <w:lang w:val="ka-GE"/>
        </w:rPr>
        <w:t>ავტორიზებული პირის ელექტრონულ საკომუნიკაციო ინფრასტრუქტურასთან და სატელეკომუნიკაციო მიზნებისთვის გამოყენებად ფიზიკურ ინფრასტრუქტურასთან დაშვების წესები და პირობების შესახებ დადგენილების პროექტი</w:t>
      </w:r>
      <w:r w:rsidR="00C00B1B">
        <w:rPr>
          <w:b/>
          <w:lang w:val="ka-GE"/>
        </w:rPr>
        <w:t xml:space="preserve">ს </w:t>
      </w:r>
      <w:r>
        <w:rPr>
          <w:lang w:val="ka-GE"/>
        </w:rPr>
        <w:t>მე-4 მუხლის, მე-4 პუნქტს ჩაემატოს</w:t>
      </w:r>
      <w:r>
        <w:rPr>
          <w:lang w:val="ka-GE"/>
        </w:rPr>
        <w:t xml:space="preserve"> ორი ქვეპუნქტი (იმედს ვიტოვებთ, მოთხოვნილი შინაარსი აღქმადია, თუმცა რათქმაუნდა ტექსტი საჭიროებს კორექტირებას სფეროს სპეციფიკის გათვალისწინებით)</w:t>
      </w:r>
      <w:r>
        <w:rPr>
          <w:lang w:val="ka-GE"/>
        </w:rPr>
        <w:t>:</w:t>
      </w:r>
    </w:p>
    <w:p w14:paraId="42418E86" w14:textId="3F33D89E" w:rsidR="00302CFE" w:rsidRPr="002E6118" w:rsidRDefault="00302CFE" w:rsidP="00302CFE">
      <w:pPr>
        <w:jc w:val="both"/>
        <w:rPr>
          <w:b/>
          <w:lang w:val="ka-GE"/>
        </w:rPr>
      </w:pPr>
      <w:r>
        <w:rPr>
          <w:rFonts w:cs="Sylfaen"/>
          <w:sz w:val="24"/>
          <w:szCs w:val="24"/>
        </w:rPr>
        <w:t>--</w:t>
      </w:r>
      <w:r w:rsidRPr="00533FF8">
        <w:rPr>
          <w:rFonts w:cs="Sylfaen"/>
          <w:sz w:val="24"/>
          <w:szCs w:val="24"/>
        </w:rPr>
        <w:t xml:space="preserve">) </w:t>
      </w:r>
      <w:proofErr w:type="spellStart"/>
      <w:r w:rsidRPr="00533FF8">
        <w:rPr>
          <w:rFonts w:cs="Sylfaen"/>
          <w:sz w:val="24"/>
          <w:szCs w:val="24"/>
        </w:rPr>
        <w:t>დაშვების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მოთხოვნის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დასაბუთება</w:t>
      </w:r>
      <w:proofErr w:type="spellEnd"/>
      <w:r w:rsidRPr="00533FF8">
        <w:rPr>
          <w:rFonts w:cs="Sylfaen"/>
          <w:sz w:val="24"/>
          <w:szCs w:val="24"/>
        </w:rPr>
        <w:t xml:space="preserve"> - </w:t>
      </w:r>
      <w:proofErr w:type="spellStart"/>
      <w:r w:rsidRPr="00533FF8">
        <w:rPr>
          <w:rFonts w:cs="Sylfaen"/>
          <w:sz w:val="24"/>
          <w:szCs w:val="24"/>
        </w:rPr>
        <w:t>ახალი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ელექტრონული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საკომუნიკაციო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ქსელების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განსათავსების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აუცლებლობის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დასაბუთება</w:t>
      </w:r>
      <w:proofErr w:type="spellEnd"/>
      <w:r w:rsidRPr="00533FF8">
        <w:rPr>
          <w:rFonts w:cs="Sylfaen"/>
          <w:sz w:val="24"/>
          <w:szCs w:val="24"/>
        </w:rPr>
        <w:t xml:space="preserve"> (</w:t>
      </w:r>
      <w:proofErr w:type="spellStart"/>
      <w:r w:rsidRPr="00533FF8">
        <w:rPr>
          <w:rFonts w:cs="Sylfaen"/>
          <w:sz w:val="24"/>
          <w:szCs w:val="24"/>
        </w:rPr>
        <w:t>არსებული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ელექტრონული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საკომუნიკაციო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ქსელების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პროექტის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მიზნებთან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შეუსაბამობის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დასაბუთება</w:t>
      </w:r>
      <w:proofErr w:type="spellEnd"/>
      <w:r w:rsidRPr="00533FF8">
        <w:rPr>
          <w:rFonts w:cs="Sylfaen"/>
          <w:sz w:val="24"/>
          <w:szCs w:val="24"/>
        </w:rPr>
        <w:t>)</w:t>
      </w:r>
      <w:r>
        <w:rPr>
          <w:rFonts w:cs="Sylfaen"/>
          <w:sz w:val="24"/>
          <w:szCs w:val="24"/>
          <w:lang w:val="ka-GE"/>
        </w:rPr>
        <w:t>;</w:t>
      </w:r>
      <w:r>
        <w:rPr>
          <w:rFonts w:cs="Sylfaen"/>
          <w:sz w:val="24"/>
          <w:szCs w:val="24"/>
          <w:lang w:val="ka-GE"/>
        </w:rPr>
        <w:t xml:space="preserve">   </w:t>
      </w:r>
      <w:r w:rsidRPr="00374F07">
        <w:rPr>
          <w:rFonts w:cs="Sylfaen"/>
          <w:i/>
          <w:iCs/>
          <w:sz w:val="24"/>
          <w:szCs w:val="24"/>
          <w:lang w:val="ka-GE"/>
        </w:rPr>
        <w:t>(</w:t>
      </w:r>
      <w:r w:rsidRPr="00374F07">
        <w:rPr>
          <w:i/>
          <w:iCs/>
          <w:lang w:val="ka-GE"/>
        </w:rPr>
        <w:t>სატელეკომუნიკაციო ინფრასტრუქტურისა და სატელეკომუნიკაციო მიზნებისთვის გამოყენებადი ფიზიკური ინფრასტრუქტურის გაზიარების შესახებ</w:t>
      </w:r>
      <w:r w:rsidRPr="00374F07">
        <w:rPr>
          <w:i/>
          <w:iCs/>
          <w:lang w:val="ka-GE"/>
        </w:rPr>
        <w:t xml:space="preserve"> </w:t>
      </w:r>
      <w:r w:rsidRPr="00374F07">
        <w:rPr>
          <w:i/>
          <w:iCs/>
          <w:lang w:val="ka-GE"/>
        </w:rPr>
        <w:t>საქართველოს კანონი</w:t>
      </w:r>
      <w:r w:rsidRPr="00374F07">
        <w:rPr>
          <w:i/>
          <w:iCs/>
          <w:lang w:val="ka-GE"/>
        </w:rPr>
        <w:t>ს მეოთხე მუხლის მესამე პუნქტში არის მკაფიო მითითება წერილობითი მოთხოვნის გონივრულობის აუცილებლობაზე, რაც</w:t>
      </w:r>
      <w:r w:rsidR="00374F07" w:rsidRPr="00374F07">
        <w:rPr>
          <w:i/>
          <w:iCs/>
          <w:lang w:val="ka-GE"/>
        </w:rPr>
        <w:t xml:space="preserve"> ამავე კანონის</w:t>
      </w:r>
      <w:r w:rsidRPr="00374F07">
        <w:rPr>
          <w:i/>
          <w:iCs/>
          <w:lang w:val="ka-GE"/>
        </w:rPr>
        <w:t xml:space="preserve"> </w:t>
      </w:r>
      <w:r w:rsidR="00374F07" w:rsidRPr="00374F07">
        <w:rPr>
          <w:i/>
          <w:iCs/>
          <w:lang w:val="ka-GE"/>
        </w:rPr>
        <w:t>მე-4 მუხლის მე-7 ნაწილის „ვ“ პუნქტ</w:t>
      </w:r>
      <w:r w:rsidR="00374F07">
        <w:rPr>
          <w:i/>
          <w:iCs/>
          <w:lang w:val="ka-GE"/>
        </w:rPr>
        <w:t xml:space="preserve">ის გათვალისწინებით </w:t>
      </w:r>
      <w:r w:rsidR="00374F07">
        <w:rPr>
          <w:i/>
          <w:iCs/>
          <w:lang w:val="ka-GE"/>
        </w:rPr>
        <w:t xml:space="preserve">(ასევე შეხვედრაზე მიღებული განმარტებების </w:t>
      </w:r>
      <w:r w:rsidR="00374F07">
        <w:rPr>
          <w:i/>
          <w:iCs/>
          <w:lang w:val="ka-GE"/>
        </w:rPr>
        <w:t>თანახმად,</w:t>
      </w:r>
      <w:r w:rsidR="00374F07">
        <w:rPr>
          <w:i/>
          <w:iCs/>
          <w:lang w:val="ka-GE"/>
        </w:rPr>
        <w:t xml:space="preserve"> რომ უკვე არსებული ქსელის გაზიარება გონივრულია</w:t>
      </w:r>
      <w:r w:rsidR="00374F07">
        <w:rPr>
          <w:i/>
          <w:iCs/>
          <w:lang w:val="ka-GE"/>
        </w:rPr>
        <w:t xml:space="preserve"> და ეს გამორიცხავს ამ წესის დარღვევით მოთხოვნის წარდგენის შემთხვევა</w:t>
      </w:r>
      <w:r w:rsidR="00374F07">
        <w:rPr>
          <w:i/>
          <w:iCs/>
          <w:lang w:val="ka-GE"/>
        </w:rPr>
        <w:t xml:space="preserve">) </w:t>
      </w:r>
      <w:r w:rsidR="00374F07">
        <w:rPr>
          <w:i/>
          <w:iCs/>
          <w:lang w:val="ka-GE"/>
        </w:rPr>
        <w:t xml:space="preserve"> უდავოდ უნდა მოიცავდეს ინფრასტრუქტურის ოპერატორის მიერ ელექტროგამანაწილებელ ქსელზე უკვე დაშვებული საკომუნიკაციო ქსელის გაზიარების შეუძლებლობის დასაბუთებას. ამის შეფასების საშუალება კი ელექტროენერგიის გამანაწილებელი ქსელის მესაკუთრეს თავად, შესაბამისი ინფორმაციის მიწოდების გარეშე არ შეუძლია)</w:t>
      </w:r>
    </w:p>
    <w:p w14:paraId="358B163B" w14:textId="6805881D" w:rsidR="00302CFE" w:rsidRDefault="00302CFE" w:rsidP="00302CFE">
      <w:pPr>
        <w:pStyle w:val="ListParagraph"/>
        <w:ind w:left="0"/>
        <w:jc w:val="both"/>
        <w:rPr>
          <w:rFonts w:cs="Sylfaen"/>
          <w:sz w:val="24"/>
          <w:szCs w:val="24"/>
          <w:lang w:val="ka-GE"/>
        </w:rPr>
      </w:pPr>
    </w:p>
    <w:p w14:paraId="33E0A83B" w14:textId="77777777" w:rsidR="00302CFE" w:rsidRPr="00533FF8" w:rsidRDefault="00302CFE" w:rsidP="00302CFE">
      <w:pPr>
        <w:pStyle w:val="ListParagraph"/>
        <w:ind w:left="0"/>
        <w:jc w:val="both"/>
        <w:rPr>
          <w:rFonts w:cs="Sylfaen"/>
          <w:sz w:val="24"/>
          <w:szCs w:val="24"/>
        </w:rPr>
      </w:pPr>
      <w:r w:rsidRPr="00533FF8">
        <w:rPr>
          <w:rFonts w:cs="Sylfaen"/>
          <w:sz w:val="24"/>
          <w:szCs w:val="24"/>
        </w:rPr>
        <w:t xml:space="preserve"> </w:t>
      </w:r>
    </w:p>
    <w:p w14:paraId="59824A19" w14:textId="23D04276" w:rsidR="00374F07" w:rsidRPr="002E6118" w:rsidRDefault="00302CFE" w:rsidP="00374F07">
      <w:pPr>
        <w:jc w:val="both"/>
        <w:rPr>
          <w:b/>
          <w:lang w:val="ka-GE"/>
        </w:rPr>
      </w:pPr>
      <w:r>
        <w:rPr>
          <w:rFonts w:cs="Sylfaen"/>
          <w:sz w:val="24"/>
          <w:szCs w:val="24"/>
        </w:rPr>
        <w:t>--</w:t>
      </w:r>
      <w:r w:rsidRPr="00533FF8">
        <w:rPr>
          <w:rFonts w:cs="Sylfaen"/>
          <w:sz w:val="24"/>
          <w:szCs w:val="24"/>
        </w:rPr>
        <w:t xml:space="preserve">) </w:t>
      </w:r>
      <w:proofErr w:type="spellStart"/>
      <w:r w:rsidRPr="00533FF8">
        <w:rPr>
          <w:rFonts w:cs="Sylfaen"/>
          <w:sz w:val="24"/>
          <w:szCs w:val="24"/>
        </w:rPr>
        <w:t>ინფორმაცია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დაგეგმილი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პროექტის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შესახებ</w:t>
      </w:r>
      <w:proofErr w:type="spellEnd"/>
      <w:r w:rsidRPr="00533FF8">
        <w:rPr>
          <w:rFonts w:cs="Sylfaen"/>
          <w:sz w:val="24"/>
          <w:szCs w:val="24"/>
        </w:rPr>
        <w:t xml:space="preserve">: </w:t>
      </w:r>
      <w:proofErr w:type="spellStart"/>
      <w:r w:rsidRPr="00533FF8">
        <w:rPr>
          <w:rFonts w:cs="Sylfaen"/>
          <w:sz w:val="24"/>
          <w:szCs w:val="24"/>
        </w:rPr>
        <w:t>დაგეგმილი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ელექტრონული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საკომუნიკაციო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ქსელის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ტექნიკური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მახასიათებლები</w:t>
      </w:r>
      <w:proofErr w:type="spellEnd"/>
      <w:r w:rsidRPr="00533FF8">
        <w:rPr>
          <w:rFonts w:cs="Sylfaen"/>
          <w:sz w:val="24"/>
          <w:szCs w:val="24"/>
        </w:rPr>
        <w:t xml:space="preserve">, </w:t>
      </w:r>
      <w:proofErr w:type="spellStart"/>
      <w:r w:rsidRPr="00533FF8">
        <w:rPr>
          <w:rFonts w:cs="Sylfaen"/>
          <w:sz w:val="24"/>
          <w:szCs w:val="24"/>
        </w:rPr>
        <w:t>გამტარუნარიანობა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და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ასევე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ინფორმაცია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იმის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შესახებ</w:t>
      </w:r>
      <w:proofErr w:type="spellEnd"/>
      <w:r w:rsidRPr="00533FF8">
        <w:rPr>
          <w:rFonts w:cs="Sylfaen"/>
          <w:sz w:val="24"/>
          <w:szCs w:val="24"/>
        </w:rPr>
        <w:t xml:space="preserve">, </w:t>
      </w:r>
      <w:proofErr w:type="spellStart"/>
      <w:r w:rsidRPr="00533FF8">
        <w:rPr>
          <w:rFonts w:cs="Sylfaen"/>
          <w:sz w:val="24"/>
          <w:szCs w:val="24"/>
        </w:rPr>
        <w:t>თუ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რა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ნაწილში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იქნება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ათვისებული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განმცხადებლის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მიერ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და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რა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ნაწილში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proofErr w:type="gramStart"/>
      <w:r w:rsidRPr="00533FF8">
        <w:rPr>
          <w:rFonts w:cs="Sylfaen"/>
          <w:sz w:val="24"/>
          <w:szCs w:val="24"/>
        </w:rPr>
        <w:t>ექვემდებარება</w:t>
      </w:r>
      <w:proofErr w:type="spellEnd"/>
      <w:r w:rsidRPr="00533FF8">
        <w:rPr>
          <w:rFonts w:cs="Sylfaen"/>
          <w:sz w:val="24"/>
          <w:szCs w:val="24"/>
        </w:rPr>
        <w:t xml:space="preserve">  </w:t>
      </w:r>
      <w:proofErr w:type="spellStart"/>
      <w:r w:rsidRPr="00533FF8">
        <w:rPr>
          <w:rFonts w:cs="Sylfaen"/>
          <w:sz w:val="24"/>
          <w:szCs w:val="24"/>
        </w:rPr>
        <w:t>გაზიარებას</w:t>
      </w:r>
      <w:proofErr w:type="spellEnd"/>
      <w:proofErr w:type="gram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სხვა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ავტორიზებული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პირებისათვის</w:t>
      </w:r>
      <w:proofErr w:type="spellEnd"/>
      <w:r w:rsidRPr="00533FF8">
        <w:rPr>
          <w:rFonts w:cs="Sylfaen"/>
          <w:sz w:val="24"/>
          <w:szCs w:val="24"/>
        </w:rPr>
        <w:t xml:space="preserve">, </w:t>
      </w:r>
      <w:proofErr w:type="spellStart"/>
      <w:r w:rsidRPr="00533FF8">
        <w:rPr>
          <w:rFonts w:cs="Sylfaen"/>
          <w:sz w:val="24"/>
          <w:szCs w:val="24"/>
        </w:rPr>
        <w:t>საჭიროების</w:t>
      </w:r>
      <w:proofErr w:type="spellEnd"/>
      <w:r w:rsidRPr="00533FF8">
        <w:rPr>
          <w:rFonts w:cs="Sylfaen"/>
          <w:sz w:val="24"/>
          <w:szCs w:val="24"/>
        </w:rPr>
        <w:t xml:space="preserve"> </w:t>
      </w:r>
      <w:proofErr w:type="spellStart"/>
      <w:r w:rsidRPr="00533FF8">
        <w:rPr>
          <w:rFonts w:cs="Sylfaen"/>
          <w:sz w:val="24"/>
          <w:szCs w:val="24"/>
        </w:rPr>
        <w:t>შემთხვევაში</w:t>
      </w:r>
      <w:proofErr w:type="spellEnd"/>
      <w:r w:rsidRPr="00533FF8">
        <w:rPr>
          <w:rFonts w:cs="Sylfaen"/>
          <w:sz w:val="24"/>
          <w:szCs w:val="24"/>
        </w:rPr>
        <w:t>.</w:t>
      </w:r>
      <w:r w:rsidR="00374F07">
        <w:rPr>
          <w:rFonts w:cs="Sylfaen"/>
          <w:sz w:val="24"/>
          <w:szCs w:val="24"/>
        </w:rPr>
        <w:t xml:space="preserve"> </w:t>
      </w:r>
      <w:r w:rsidR="00374F07" w:rsidRPr="00374F07">
        <w:rPr>
          <w:rFonts w:cs="Sylfaen"/>
          <w:i/>
          <w:iCs/>
          <w:sz w:val="24"/>
          <w:szCs w:val="24"/>
          <w:lang w:val="ka-GE"/>
        </w:rPr>
        <w:t>(</w:t>
      </w:r>
      <w:r w:rsidR="00374F07" w:rsidRPr="00374F07">
        <w:rPr>
          <w:i/>
          <w:iCs/>
          <w:lang w:val="ka-GE"/>
        </w:rPr>
        <w:t xml:space="preserve">სატელეკომუნიკაციო ინფრასტრუქტურისა და სატელეკომუნიკაციო მიზნებისთვის გამოყენებადი ფიზიკური ინფრასტრუქტურის გაზიარების შესახებ საქართველოს კანონის მეოთხე მუხლის მესამე პუნქტში არის მითითება </w:t>
      </w:r>
      <w:r w:rsidR="00374F07">
        <w:rPr>
          <w:i/>
          <w:iCs/>
          <w:lang w:val="ka-GE"/>
        </w:rPr>
        <w:t xml:space="preserve">„შესაბამისი პროექტის ელემენტების“ და „დაშვების პირობების“ </w:t>
      </w:r>
      <w:r w:rsidR="00C00B1B">
        <w:rPr>
          <w:i/>
          <w:iCs/>
          <w:lang w:val="ka-GE"/>
        </w:rPr>
        <w:t>დაშვების მოთხოვნაში მითითების</w:t>
      </w:r>
      <w:r w:rsidR="00374F07">
        <w:rPr>
          <w:i/>
          <w:iCs/>
          <w:lang w:val="ka-GE"/>
        </w:rPr>
        <w:t xml:space="preserve"> აუცილებლობაზე</w:t>
      </w:r>
      <w:r w:rsidR="00374F07" w:rsidRPr="00374F07">
        <w:rPr>
          <w:i/>
          <w:iCs/>
          <w:lang w:val="ka-GE"/>
        </w:rPr>
        <w:t>, რაც ამავე კანონის მე-4 მუხლის მე-7 ნაწილის „ვ“ პუნქტ</w:t>
      </w:r>
      <w:r w:rsidR="00374F07">
        <w:rPr>
          <w:i/>
          <w:iCs/>
          <w:lang w:val="ka-GE"/>
        </w:rPr>
        <w:t xml:space="preserve">ის </w:t>
      </w:r>
      <w:r w:rsidR="00C00B1B">
        <w:rPr>
          <w:i/>
          <w:iCs/>
          <w:lang w:val="ka-GE"/>
        </w:rPr>
        <w:t>(</w:t>
      </w:r>
      <w:proofErr w:type="spellStart"/>
      <w:r w:rsidR="00C00B1B">
        <w:rPr>
          <w:rFonts w:cs="Sylfaen"/>
          <w:color w:val="333333"/>
          <w:shd w:val="clear" w:color="auto" w:fill="EAEAEA"/>
        </w:rPr>
        <w:t>აბითუმო</w:t>
      </w:r>
      <w:proofErr w:type="spellEnd"/>
      <w:r w:rsidR="00C00B1B">
        <w:rPr>
          <w:rFonts w:ascii="Helvetica" w:hAnsi="Helvetica" w:cs="Helvetica"/>
          <w:color w:val="333333"/>
          <w:shd w:val="clear" w:color="auto" w:fill="EAEAEA"/>
        </w:rPr>
        <w:t xml:space="preserve"> </w:t>
      </w:r>
      <w:proofErr w:type="spellStart"/>
      <w:r w:rsidR="00C00B1B">
        <w:rPr>
          <w:rFonts w:cs="Sylfaen"/>
          <w:color w:val="333333"/>
          <w:shd w:val="clear" w:color="auto" w:fill="EAEAEA"/>
        </w:rPr>
        <w:t>ფიზიკური</w:t>
      </w:r>
      <w:proofErr w:type="spellEnd"/>
      <w:r w:rsidR="00C00B1B">
        <w:rPr>
          <w:rFonts w:ascii="Helvetica" w:hAnsi="Helvetica" w:cs="Helvetica"/>
          <w:color w:val="333333"/>
          <w:shd w:val="clear" w:color="auto" w:fill="EAEAEA"/>
        </w:rPr>
        <w:t xml:space="preserve"> </w:t>
      </w:r>
      <w:proofErr w:type="spellStart"/>
      <w:r w:rsidR="00C00B1B">
        <w:rPr>
          <w:rFonts w:cs="Sylfaen"/>
          <w:color w:val="333333"/>
          <w:shd w:val="clear" w:color="auto" w:fill="EAEAEA"/>
        </w:rPr>
        <w:t>ქსელის</w:t>
      </w:r>
      <w:proofErr w:type="spellEnd"/>
      <w:r w:rsidR="00C00B1B">
        <w:rPr>
          <w:rFonts w:ascii="Helvetica" w:hAnsi="Helvetica" w:cs="Helvetica"/>
          <w:color w:val="333333"/>
          <w:shd w:val="clear" w:color="auto" w:fill="EAEAEA"/>
        </w:rPr>
        <w:t xml:space="preserve"> </w:t>
      </w:r>
      <w:proofErr w:type="spellStart"/>
      <w:r w:rsidR="00C00B1B">
        <w:rPr>
          <w:rFonts w:cs="Sylfaen"/>
          <w:color w:val="333333"/>
          <w:shd w:val="clear" w:color="auto" w:fill="EAEAEA"/>
        </w:rPr>
        <w:t>ინფრასტრუქტურასთან</w:t>
      </w:r>
      <w:proofErr w:type="spellEnd"/>
      <w:r w:rsidR="00C00B1B">
        <w:rPr>
          <w:rFonts w:ascii="Helvetica" w:hAnsi="Helvetica" w:cs="Helvetica"/>
          <w:color w:val="333333"/>
          <w:shd w:val="clear" w:color="auto" w:fill="EAEAEA"/>
        </w:rPr>
        <w:t xml:space="preserve"> </w:t>
      </w:r>
      <w:proofErr w:type="spellStart"/>
      <w:r w:rsidR="00C00B1B">
        <w:rPr>
          <w:rFonts w:cs="Sylfaen"/>
          <w:color w:val="333333"/>
          <w:shd w:val="clear" w:color="auto" w:fill="EAEAEA"/>
        </w:rPr>
        <w:t>დაშვების</w:t>
      </w:r>
      <w:proofErr w:type="spellEnd"/>
      <w:r w:rsidR="00C00B1B">
        <w:rPr>
          <w:rFonts w:ascii="Helvetica" w:hAnsi="Helvetica" w:cs="Helvetica"/>
          <w:color w:val="333333"/>
          <w:shd w:val="clear" w:color="auto" w:fill="EAEAEA"/>
        </w:rPr>
        <w:t xml:space="preserve"> </w:t>
      </w:r>
      <w:proofErr w:type="spellStart"/>
      <w:r w:rsidR="00C00B1B">
        <w:rPr>
          <w:rFonts w:cs="Sylfaen"/>
          <w:color w:val="333333"/>
          <w:shd w:val="clear" w:color="auto" w:fill="EAEAEA"/>
        </w:rPr>
        <w:t>რეალური</w:t>
      </w:r>
      <w:proofErr w:type="spellEnd"/>
      <w:r w:rsidR="00C00B1B">
        <w:rPr>
          <w:rFonts w:ascii="Helvetica" w:hAnsi="Helvetica" w:cs="Helvetica"/>
          <w:color w:val="333333"/>
          <w:shd w:val="clear" w:color="auto" w:fill="EAEAEA"/>
        </w:rPr>
        <w:t xml:space="preserve"> </w:t>
      </w:r>
      <w:proofErr w:type="spellStart"/>
      <w:r w:rsidR="00C00B1B">
        <w:rPr>
          <w:rFonts w:cs="Sylfaen"/>
          <w:color w:val="333333"/>
          <w:shd w:val="clear" w:color="auto" w:fill="EAEAEA"/>
        </w:rPr>
        <w:t>ალტერნატიული</w:t>
      </w:r>
      <w:proofErr w:type="spellEnd"/>
      <w:r w:rsidR="00C00B1B">
        <w:rPr>
          <w:rFonts w:ascii="Helvetica" w:hAnsi="Helvetica" w:cs="Helvetica"/>
          <w:color w:val="333333"/>
          <w:shd w:val="clear" w:color="auto" w:fill="EAEAEA"/>
        </w:rPr>
        <w:t xml:space="preserve"> </w:t>
      </w:r>
      <w:proofErr w:type="spellStart"/>
      <w:r w:rsidR="00C00B1B">
        <w:rPr>
          <w:rFonts w:cs="Sylfaen"/>
          <w:color w:val="333333"/>
          <w:shd w:val="clear" w:color="auto" w:fill="EAEAEA"/>
        </w:rPr>
        <w:t>საშუალებების</w:t>
      </w:r>
      <w:proofErr w:type="spellEnd"/>
      <w:r w:rsidR="00C00B1B">
        <w:rPr>
          <w:rFonts w:ascii="Helvetica" w:hAnsi="Helvetica" w:cs="Helvetica"/>
          <w:color w:val="333333"/>
          <w:shd w:val="clear" w:color="auto" w:fill="EAEAEA"/>
        </w:rPr>
        <w:t xml:space="preserve"> </w:t>
      </w:r>
      <w:proofErr w:type="spellStart"/>
      <w:r w:rsidR="00C00B1B">
        <w:rPr>
          <w:rFonts w:cs="Sylfaen"/>
          <w:color w:val="333333"/>
          <w:shd w:val="clear" w:color="auto" w:fill="EAEAEA"/>
        </w:rPr>
        <w:t>არსებობა</w:t>
      </w:r>
      <w:proofErr w:type="spellEnd"/>
      <w:r w:rsidR="00C00B1B">
        <w:rPr>
          <w:rFonts w:ascii="Helvetica" w:hAnsi="Helvetica" w:cs="Helvetica"/>
          <w:color w:val="333333"/>
          <w:shd w:val="clear" w:color="auto" w:fill="EAEAEA"/>
        </w:rPr>
        <w:t xml:space="preserve">, </w:t>
      </w:r>
      <w:proofErr w:type="spellStart"/>
      <w:r w:rsidR="00C00B1B">
        <w:rPr>
          <w:rFonts w:cs="Sylfaen"/>
          <w:color w:val="333333"/>
          <w:shd w:val="clear" w:color="auto" w:fill="EAEAEA"/>
        </w:rPr>
        <w:t>რომლებიც</w:t>
      </w:r>
      <w:proofErr w:type="spellEnd"/>
      <w:r w:rsidR="00C00B1B">
        <w:rPr>
          <w:rFonts w:ascii="Helvetica" w:hAnsi="Helvetica" w:cs="Helvetica"/>
          <w:color w:val="333333"/>
          <w:shd w:val="clear" w:color="auto" w:fill="EAEAEA"/>
        </w:rPr>
        <w:t xml:space="preserve"> </w:t>
      </w:r>
      <w:proofErr w:type="spellStart"/>
      <w:r w:rsidR="00C00B1B">
        <w:rPr>
          <w:rFonts w:cs="Sylfaen"/>
          <w:color w:val="333333"/>
          <w:shd w:val="clear" w:color="auto" w:fill="EAEAEA"/>
        </w:rPr>
        <w:t>უზრუნველყოფილია</w:t>
      </w:r>
      <w:proofErr w:type="spellEnd"/>
      <w:r w:rsidR="00C00B1B">
        <w:rPr>
          <w:rFonts w:ascii="Helvetica" w:hAnsi="Helvetica" w:cs="Helvetica"/>
          <w:color w:val="333333"/>
          <w:shd w:val="clear" w:color="auto" w:fill="EAEAEA"/>
        </w:rPr>
        <w:t xml:space="preserve"> </w:t>
      </w:r>
      <w:proofErr w:type="spellStart"/>
      <w:r w:rsidR="00C00B1B">
        <w:rPr>
          <w:rFonts w:cs="Sylfaen"/>
          <w:color w:val="333333"/>
          <w:shd w:val="clear" w:color="auto" w:fill="EAEAEA"/>
        </w:rPr>
        <w:t>ინფრასტრუქტურის</w:t>
      </w:r>
      <w:proofErr w:type="spellEnd"/>
      <w:r w:rsidR="00C00B1B">
        <w:rPr>
          <w:rFonts w:ascii="Helvetica" w:hAnsi="Helvetica" w:cs="Helvetica"/>
          <w:color w:val="333333"/>
          <w:shd w:val="clear" w:color="auto" w:fill="EAEAEA"/>
        </w:rPr>
        <w:t xml:space="preserve"> </w:t>
      </w:r>
      <w:proofErr w:type="spellStart"/>
      <w:r w:rsidR="00C00B1B">
        <w:rPr>
          <w:rFonts w:cs="Sylfaen"/>
          <w:color w:val="333333"/>
          <w:shd w:val="clear" w:color="auto" w:fill="EAEAEA"/>
        </w:rPr>
        <w:t>ოპერატორის</w:t>
      </w:r>
      <w:proofErr w:type="spellEnd"/>
      <w:r w:rsidR="00C00B1B">
        <w:rPr>
          <w:rFonts w:ascii="Helvetica" w:hAnsi="Helvetica" w:cs="Helvetica"/>
          <w:color w:val="333333"/>
          <w:shd w:val="clear" w:color="auto" w:fill="EAEAEA"/>
        </w:rPr>
        <w:t xml:space="preserve"> </w:t>
      </w:r>
      <w:proofErr w:type="spellStart"/>
      <w:r w:rsidR="00C00B1B">
        <w:rPr>
          <w:rFonts w:cs="Sylfaen"/>
          <w:color w:val="333333"/>
          <w:shd w:val="clear" w:color="auto" w:fill="EAEAEA"/>
        </w:rPr>
        <w:t>მიერ</w:t>
      </w:r>
      <w:proofErr w:type="spellEnd"/>
      <w:r w:rsidR="00C00B1B">
        <w:rPr>
          <w:rFonts w:cs="Sylfaen"/>
          <w:color w:val="333333"/>
          <w:shd w:val="clear" w:color="auto" w:fill="EAEAEA"/>
        </w:rPr>
        <w:t xml:space="preserve">) </w:t>
      </w:r>
      <w:r w:rsidR="00374F07">
        <w:rPr>
          <w:i/>
          <w:iCs/>
          <w:lang w:val="ka-GE"/>
        </w:rPr>
        <w:t>გათვალისწინებით უდავოდ უნდა მოიცავდეს ინფრასტრუქტურის ოპერატორის</w:t>
      </w:r>
      <w:r w:rsidR="00C00B1B">
        <w:rPr>
          <w:i/>
          <w:iCs/>
          <w:lang w:val="ka-GE"/>
        </w:rPr>
        <w:t xml:space="preserve">თვის მის ქსელზე უკვე განთავსებულ საკომუნიკაციო ქსელში არსებული თავისუფალი რესურსის შესახებ </w:t>
      </w:r>
      <w:r w:rsidR="00374F07">
        <w:rPr>
          <w:i/>
          <w:iCs/>
          <w:lang w:val="ka-GE"/>
        </w:rPr>
        <w:t>ინფორმაციის მიწოდებ</w:t>
      </w:r>
      <w:r w:rsidR="00C00B1B">
        <w:rPr>
          <w:i/>
          <w:iCs/>
          <w:lang w:val="ka-GE"/>
        </w:rPr>
        <w:t>ას</w:t>
      </w:r>
      <w:r w:rsidR="00374F07">
        <w:rPr>
          <w:i/>
          <w:iCs/>
          <w:lang w:val="ka-GE"/>
        </w:rPr>
        <w:t>)</w:t>
      </w:r>
    </w:p>
    <w:p w14:paraId="4CA2AE42" w14:textId="766180D6" w:rsidR="00302CFE" w:rsidRPr="00BC39AF" w:rsidRDefault="00302CFE" w:rsidP="00302CFE">
      <w:pPr>
        <w:pStyle w:val="ListParagraph"/>
        <w:ind w:left="0"/>
        <w:jc w:val="both"/>
        <w:rPr>
          <w:rFonts w:cs="Sylfaen"/>
          <w:sz w:val="24"/>
          <w:szCs w:val="24"/>
        </w:rPr>
      </w:pPr>
    </w:p>
    <w:p w14:paraId="1803F71D" w14:textId="53DEA5E7" w:rsidR="00302CFE" w:rsidRPr="002E6118" w:rsidRDefault="00C00B1B" w:rsidP="00302CFE">
      <w:pPr>
        <w:pStyle w:val="ListParagraph"/>
        <w:ind w:left="0"/>
        <w:jc w:val="both"/>
        <w:rPr>
          <w:rFonts w:cs="Sylfaen"/>
          <w:sz w:val="24"/>
          <w:szCs w:val="24"/>
          <w:lang w:val="ka-GE"/>
        </w:rPr>
      </w:pPr>
      <w:r>
        <w:rPr>
          <w:rFonts w:cs="Sylfaen"/>
          <w:sz w:val="24"/>
          <w:szCs w:val="24"/>
          <w:lang w:val="ka-GE"/>
        </w:rPr>
        <w:t>ასევე, საკითხის ქმედითი და სწორი რეგულირების მიზნით მიზანშეწონილია მე-5 მუხლის (</w:t>
      </w:r>
      <w:proofErr w:type="spellStart"/>
      <w:r>
        <w:rPr>
          <w:rFonts w:cs="Sylfaen"/>
          <w:sz w:val="24"/>
          <w:szCs w:val="24"/>
        </w:rPr>
        <w:t>ფიზიკურ</w:t>
      </w:r>
      <w:proofErr w:type="spellEnd"/>
      <w:r>
        <w:rPr>
          <w:rFonts w:cs="Sylfaen"/>
          <w:sz w:val="24"/>
          <w:szCs w:val="24"/>
        </w:rPr>
        <w:t xml:space="preserve"> </w:t>
      </w:r>
      <w:proofErr w:type="spellStart"/>
      <w:r>
        <w:rPr>
          <w:rFonts w:cs="Sylfaen"/>
          <w:sz w:val="24"/>
          <w:szCs w:val="24"/>
        </w:rPr>
        <w:t>ინფრასტრუქტურაზე</w:t>
      </w:r>
      <w:proofErr w:type="spellEnd"/>
      <w:r>
        <w:rPr>
          <w:rFonts w:cs="Sylfaen"/>
          <w:sz w:val="24"/>
          <w:szCs w:val="24"/>
        </w:rPr>
        <w:t xml:space="preserve"> </w:t>
      </w:r>
      <w:proofErr w:type="spellStart"/>
      <w:r>
        <w:rPr>
          <w:rFonts w:cs="Sylfaen"/>
          <w:sz w:val="24"/>
          <w:szCs w:val="24"/>
        </w:rPr>
        <w:t>დაშვების</w:t>
      </w:r>
      <w:proofErr w:type="spellEnd"/>
      <w:r>
        <w:rPr>
          <w:rFonts w:cs="Sylfaen"/>
          <w:sz w:val="24"/>
          <w:szCs w:val="24"/>
        </w:rPr>
        <w:t xml:space="preserve"> </w:t>
      </w:r>
      <w:proofErr w:type="spellStart"/>
      <w:r>
        <w:rPr>
          <w:rFonts w:cs="Sylfaen"/>
          <w:sz w:val="24"/>
          <w:szCs w:val="24"/>
        </w:rPr>
        <w:t>შესახებ</w:t>
      </w:r>
      <w:proofErr w:type="spellEnd"/>
      <w:r>
        <w:rPr>
          <w:rFonts w:cs="Sylfaen"/>
          <w:sz w:val="24"/>
          <w:szCs w:val="24"/>
        </w:rPr>
        <w:t xml:space="preserve"> </w:t>
      </w:r>
      <w:proofErr w:type="spellStart"/>
      <w:r>
        <w:rPr>
          <w:rFonts w:cs="Sylfaen"/>
          <w:sz w:val="24"/>
          <w:szCs w:val="24"/>
        </w:rPr>
        <w:t>ხელშეკრულება</w:t>
      </w:r>
      <w:proofErr w:type="spellEnd"/>
      <w:r>
        <w:rPr>
          <w:rFonts w:cs="Sylfaen"/>
          <w:sz w:val="24"/>
          <w:szCs w:val="24"/>
        </w:rPr>
        <w:t>)</w:t>
      </w:r>
      <w:r>
        <w:rPr>
          <w:rFonts w:cs="Sylfaen"/>
          <w:sz w:val="24"/>
          <w:szCs w:val="24"/>
          <w:lang w:val="ka-GE"/>
        </w:rPr>
        <w:t xml:space="preserve"> მე-2 </w:t>
      </w:r>
      <w:r>
        <w:rPr>
          <w:rFonts w:cs="Sylfaen"/>
          <w:sz w:val="24"/>
          <w:szCs w:val="24"/>
          <w:lang w:val="ka-GE"/>
        </w:rPr>
        <w:lastRenderedPageBreak/>
        <w:t>ნაწილს ჩაეამტოს მითითება „ხეშეკრულების ფარგლებში განთავსებულ ელექტრონულ საკომუნიკაციო ქსელზე სხვა ავტორიზებული პირების დაშვების პირობები“-ს სავალდებულო პუნქტად განსაზღვრის შესახებ.</w:t>
      </w:r>
    </w:p>
    <w:p w14:paraId="1B73584D" w14:textId="55DC6A0E" w:rsidR="00F1233E" w:rsidRPr="00302CFE" w:rsidRDefault="00F1233E" w:rsidP="00302CFE"/>
    <w:sectPr w:rsidR="00F1233E" w:rsidRPr="00302CFE" w:rsidSect="00302C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CFE"/>
    <w:rsid w:val="00302CFE"/>
    <w:rsid w:val="00374F07"/>
    <w:rsid w:val="003C0ED3"/>
    <w:rsid w:val="005A0F5C"/>
    <w:rsid w:val="00C00B1B"/>
    <w:rsid w:val="00D510D6"/>
    <w:rsid w:val="00F1233E"/>
    <w:rsid w:val="00F7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47DAE"/>
  <w15:chartTrackingRefBased/>
  <w15:docId w15:val="{84E0587C-6869-49A7-9BAB-F29167C38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ylfaen" w:eastAsiaTheme="minorHAnsi" w:hAnsi="Sylfaen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CFE"/>
  </w:style>
  <w:style w:type="paragraph" w:styleId="Heading1">
    <w:name w:val="heading 1"/>
    <w:basedOn w:val="Normal"/>
    <w:next w:val="Normal"/>
    <w:link w:val="Heading1Char"/>
    <w:uiPriority w:val="9"/>
    <w:qFormat/>
    <w:rsid w:val="00302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2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2CF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2CF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2CF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2CF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2CF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2CF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2CF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2CF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2CF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2CFE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2CFE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2CFE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2CF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2CF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2CF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2CF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02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02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2CF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02CF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02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02CF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02CF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02CFE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2CF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2CFE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02CFE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Tamta Labartkava</dc:creator>
  <cp:keywords/>
  <dc:description/>
  <cp:lastModifiedBy>Tamta Labartkava</cp:lastModifiedBy>
  <cp:revision>1</cp:revision>
  <dcterms:created xsi:type="dcterms:W3CDTF">2024-05-27T13:18:00Z</dcterms:created>
  <dcterms:modified xsi:type="dcterms:W3CDTF">2024-05-27T13:46:00Z</dcterms:modified>
</cp:coreProperties>
</file>