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E8F2A" w14:textId="5D86BFCA" w:rsidR="005F38B0" w:rsidRPr="006B4F93" w:rsidRDefault="00FF6A58" w:rsidP="00AF01C8">
      <w:pPr>
        <w:spacing w:before="120" w:after="120" w:line="276" w:lineRule="auto"/>
        <w:jc w:val="right"/>
        <w:rPr>
          <w:rFonts w:ascii="Sylfaen" w:hAnsi="Sylfaen"/>
          <w:b/>
          <w:bCs/>
          <w:i/>
          <w:iCs/>
          <w:u w:val="single"/>
          <w:lang w:val="ka-GE"/>
        </w:rPr>
      </w:pPr>
      <w:r w:rsidRPr="006B4F93">
        <w:rPr>
          <w:rFonts w:ascii="Sylfaen" w:hAnsi="Sylfaen"/>
          <w:b/>
          <w:bCs/>
          <w:i/>
          <w:iCs/>
          <w:u w:val="single"/>
          <w:lang w:val="ka-GE"/>
        </w:rPr>
        <w:t>პროექტი</w:t>
      </w:r>
    </w:p>
    <w:p w14:paraId="42AF0DCA" w14:textId="77777777" w:rsidR="005F38B0" w:rsidRPr="007E6D33" w:rsidRDefault="005F38B0" w:rsidP="00AF01C8">
      <w:pPr>
        <w:spacing w:before="120" w:after="120" w:line="276" w:lineRule="auto"/>
        <w:jc w:val="center"/>
        <w:rPr>
          <w:rFonts w:ascii="Sylfaen" w:hAnsi="Sylfaen"/>
          <w:b/>
          <w:bCs/>
          <w:lang w:val="ka-GE"/>
        </w:rPr>
      </w:pPr>
      <w:r w:rsidRPr="007E6D33">
        <w:rPr>
          <w:rFonts w:ascii="Sylfaen" w:hAnsi="Sylfaen"/>
          <w:b/>
          <w:bCs/>
          <w:lang w:val="ka-GE"/>
        </w:rPr>
        <w:t>განმარტებითი ბარათი</w:t>
      </w:r>
    </w:p>
    <w:p w14:paraId="50B0C736" w14:textId="77777777" w:rsidR="005F38B0" w:rsidRPr="007E6D33" w:rsidRDefault="005F38B0" w:rsidP="00AF01C8">
      <w:pPr>
        <w:spacing w:before="120" w:after="120" w:line="276" w:lineRule="auto"/>
        <w:jc w:val="center"/>
        <w:rPr>
          <w:rFonts w:ascii="Sylfaen" w:hAnsi="Sylfaen"/>
          <w:b/>
          <w:bCs/>
          <w:lang w:val="ka-GE"/>
        </w:rPr>
      </w:pPr>
    </w:p>
    <w:p w14:paraId="71A7ABE1" w14:textId="0557BC9F" w:rsidR="00666CB3" w:rsidRPr="007E6D33" w:rsidRDefault="008457DC" w:rsidP="00AF01C8">
      <w:pPr>
        <w:spacing w:line="276" w:lineRule="auto"/>
        <w:jc w:val="center"/>
        <w:rPr>
          <w:rFonts w:ascii="Sylfaen" w:hAnsi="Sylfaen" w:cs="Sylfaen"/>
          <w:b/>
          <w:bCs/>
        </w:rPr>
      </w:pPr>
      <w:r w:rsidRPr="007E6D33">
        <w:rPr>
          <w:rFonts w:ascii="Sylfaen" w:hAnsi="Sylfaen"/>
          <w:b/>
          <w:bCs/>
          <w:lang w:val="ka-GE"/>
        </w:rPr>
        <w:t>„</w:t>
      </w:r>
      <w:r w:rsidR="00926EC6" w:rsidRPr="007E6D33">
        <w:rPr>
          <w:rFonts w:ascii="Sylfaen" w:hAnsi="Sylfaen" w:cs="Sylfaen"/>
          <w:b/>
          <w:bCs/>
        </w:rPr>
        <w:t>ავტორიზებული</w:t>
      </w:r>
      <w:r w:rsidR="00926EC6" w:rsidRPr="007E6D33">
        <w:rPr>
          <w:rFonts w:ascii="Sylfaen" w:hAnsi="Sylfaen"/>
          <w:b/>
          <w:bCs/>
        </w:rPr>
        <w:t xml:space="preserve"> </w:t>
      </w:r>
      <w:r w:rsidR="00926EC6" w:rsidRPr="007E6D33">
        <w:rPr>
          <w:rFonts w:ascii="Sylfaen" w:hAnsi="Sylfaen" w:cs="Sylfaen"/>
          <w:b/>
          <w:bCs/>
        </w:rPr>
        <w:t>პირის</w:t>
      </w:r>
      <w:r w:rsidR="00926EC6" w:rsidRPr="007E6D33">
        <w:rPr>
          <w:rFonts w:ascii="Sylfaen" w:hAnsi="Sylfaen"/>
          <w:b/>
          <w:bCs/>
        </w:rPr>
        <w:t xml:space="preserve"> ელექტრონულ საკომუნიკაციო ინფრასტრუქტურასთან და </w:t>
      </w:r>
      <w:r w:rsidR="00926EC6" w:rsidRPr="007E6D33">
        <w:rPr>
          <w:rFonts w:ascii="Sylfaen" w:hAnsi="Sylfaen" w:cs="Sylfaen"/>
          <w:b/>
          <w:bCs/>
        </w:rPr>
        <w:t>სატელეკომუნიკაციო</w:t>
      </w:r>
      <w:r w:rsidR="00926EC6" w:rsidRPr="007E6D33">
        <w:rPr>
          <w:rFonts w:ascii="Sylfaen" w:hAnsi="Sylfaen"/>
          <w:b/>
          <w:bCs/>
        </w:rPr>
        <w:t xml:space="preserve"> </w:t>
      </w:r>
      <w:r w:rsidR="00926EC6" w:rsidRPr="007E6D33">
        <w:rPr>
          <w:rFonts w:ascii="Sylfaen" w:hAnsi="Sylfaen" w:cs="Sylfaen"/>
          <w:b/>
          <w:bCs/>
        </w:rPr>
        <w:t>მიზნებისთვის</w:t>
      </w:r>
      <w:r w:rsidR="00926EC6" w:rsidRPr="007E6D33">
        <w:rPr>
          <w:rFonts w:ascii="Sylfaen" w:hAnsi="Sylfaen"/>
          <w:b/>
          <w:bCs/>
        </w:rPr>
        <w:t xml:space="preserve"> </w:t>
      </w:r>
      <w:r w:rsidR="00926EC6" w:rsidRPr="007E6D33">
        <w:rPr>
          <w:rFonts w:ascii="Sylfaen" w:hAnsi="Sylfaen" w:cs="Sylfaen"/>
          <w:b/>
          <w:bCs/>
        </w:rPr>
        <w:t>გამოყენებად</w:t>
      </w:r>
      <w:r w:rsidR="00926EC6" w:rsidRPr="007E6D33">
        <w:rPr>
          <w:rFonts w:ascii="Sylfaen" w:hAnsi="Sylfaen"/>
          <w:b/>
          <w:bCs/>
        </w:rPr>
        <w:t xml:space="preserve"> </w:t>
      </w:r>
      <w:r w:rsidR="00926EC6" w:rsidRPr="007E6D33">
        <w:rPr>
          <w:rFonts w:ascii="Sylfaen" w:hAnsi="Sylfaen" w:cs="Sylfaen"/>
          <w:b/>
          <w:bCs/>
        </w:rPr>
        <w:t>ფიზიკურ</w:t>
      </w:r>
      <w:r w:rsidR="00926EC6" w:rsidRPr="007E6D33">
        <w:rPr>
          <w:rFonts w:ascii="Sylfaen" w:hAnsi="Sylfaen"/>
          <w:b/>
          <w:bCs/>
        </w:rPr>
        <w:t xml:space="preserve"> </w:t>
      </w:r>
      <w:r w:rsidR="00926EC6" w:rsidRPr="007E6D33">
        <w:rPr>
          <w:rFonts w:ascii="Sylfaen" w:hAnsi="Sylfaen" w:cs="Sylfaen"/>
          <w:b/>
          <w:bCs/>
        </w:rPr>
        <w:t>ინფრასტრუქტურასთან</w:t>
      </w:r>
      <w:r w:rsidR="00926EC6" w:rsidRPr="007E6D33">
        <w:rPr>
          <w:rFonts w:ascii="Sylfaen" w:hAnsi="Sylfaen"/>
          <w:b/>
          <w:bCs/>
        </w:rPr>
        <w:t xml:space="preserve"> </w:t>
      </w:r>
      <w:r w:rsidR="00926EC6" w:rsidRPr="007E6D33">
        <w:rPr>
          <w:rFonts w:ascii="Sylfaen" w:hAnsi="Sylfaen" w:cs="Sylfaen"/>
          <w:b/>
          <w:bCs/>
        </w:rPr>
        <w:t>დაშვების</w:t>
      </w:r>
      <w:r w:rsidR="00926EC6" w:rsidRPr="007E6D33">
        <w:rPr>
          <w:rFonts w:ascii="Sylfaen" w:hAnsi="Sylfaen"/>
          <w:b/>
          <w:bCs/>
        </w:rPr>
        <w:t xml:space="preserve"> </w:t>
      </w:r>
      <w:r w:rsidR="00926EC6" w:rsidRPr="007E6D33">
        <w:rPr>
          <w:rFonts w:ascii="Sylfaen" w:hAnsi="Sylfaen" w:cs="Sylfaen"/>
          <w:b/>
          <w:bCs/>
        </w:rPr>
        <w:t>წესები</w:t>
      </w:r>
      <w:r w:rsidR="002B19EC">
        <w:rPr>
          <w:rFonts w:ascii="Sylfaen" w:hAnsi="Sylfaen" w:cs="Sylfaen"/>
          <w:b/>
          <w:bCs/>
        </w:rPr>
        <w:t>სა</w:t>
      </w:r>
      <w:r w:rsidR="00926EC6" w:rsidRPr="007E6D33">
        <w:rPr>
          <w:rFonts w:ascii="Sylfaen" w:hAnsi="Sylfaen"/>
          <w:b/>
          <w:bCs/>
        </w:rPr>
        <w:t xml:space="preserve"> </w:t>
      </w:r>
      <w:r w:rsidR="00926EC6" w:rsidRPr="007E6D33">
        <w:rPr>
          <w:rFonts w:ascii="Sylfaen" w:hAnsi="Sylfaen" w:cs="Sylfaen"/>
          <w:b/>
          <w:bCs/>
        </w:rPr>
        <w:t>და</w:t>
      </w:r>
      <w:r w:rsidR="00926EC6" w:rsidRPr="007E6D33">
        <w:rPr>
          <w:rFonts w:ascii="Sylfaen" w:hAnsi="Sylfaen"/>
          <w:b/>
          <w:bCs/>
        </w:rPr>
        <w:t xml:space="preserve"> </w:t>
      </w:r>
      <w:r w:rsidR="00926EC6" w:rsidRPr="007E6D33">
        <w:rPr>
          <w:rFonts w:ascii="Sylfaen" w:hAnsi="Sylfaen" w:cs="Sylfaen"/>
          <w:b/>
          <w:bCs/>
        </w:rPr>
        <w:t>პირობები</w:t>
      </w:r>
      <w:r w:rsidR="002B19EC">
        <w:rPr>
          <w:rFonts w:ascii="Sylfaen" w:hAnsi="Sylfaen" w:cs="Sylfaen"/>
          <w:b/>
          <w:bCs/>
        </w:rPr>
        <w:t>ს</w:t>
      </w:r>
      <w:r w:rsidR="00926EC6" w:rsidRPr="007E6D33">
        <w:rPr>
          <w:rFonts w:ascii="Sylfaen" w:hAnsi="Sylfaen" w:cs="Sylfaen"/>
          <w:b/>
          <w:bCs/>
        </w:rPr>
        <w:t xml:space="preserve">” დამტკიცების </w:t>
      </w:r>
      <w:r w:rsidRPr="007E6D33">
        <w:rPr>
          <w:rFonts w:ascii="Sylfaen" w:eastAsia="Times New Roman" w:hAnsi="Sylfaen"/>
          <w:b/>
          <w:bCs/>
          <w:lang w:val="ka-GE"/>
        </w:rPr>
        <w:t xml:space="preserve">შესახებ </w:t>
      </w:r>
      <w:r w:rsidR="00666CB3" w:rsidRPr="007E6D33">
        <w:rPr>
          <w:rFonts w:ascii="Sylfaen" w:eastAsia="Times New Roman" w:hAnsi="Sylfaen"/>
          <w:b/>
          <w:bCs/>
          <w:lang w:val="ka-GE"/>
        </w:rPr>
        <w:t>საქართველოს კომუნიკაციების ეროვნული კომისიის დადგენილების პროექტზე</w:t>
      </w:r>
    </w:p>
    <w:p w14:paraId="537A2420" w14:textId="77777777" w:rsidR="00FF6A58" w:rsidRPr="007E6D33" w:rsidRDefault="00FF6A58" w:rsidP="00AF01C8">
      <w:pPr>
        <w:spacing w:line="276" w:lineRule="auto"/>
        <w:jc w:val="both"/>
        <w:rPr>
          <w:rFonts w:ascii="Sylfaen" w:hAnsi="Sylfaen" w:cs="Sylfaen"/>
          <w:lang w:val="ka-GE"/>
        </w:rPr>
      </w:pPr>
    </w:p>
    <w:p w14:paraId="22C7B8AC" w14:textId="77777777" w:rsidR="00FF6A58" w:rsidRPr="007E6D33" w:rsidRDefault="00FF6A58" w:rsidP="00AF01C8">
      <w:pPr>
        <w:spacing w:line="276" w:lineRule="auto"/>
        <w:jc w:val="both"/>
        <w:rPr>
          <w:rFonts w:ascii="Sylfaen" w:hAnsi="Sylfaen" w:cs="Sylfaen"/>
          <w:lang w:val="ka-GE"/>
        </w:rPr>
      </w:pPr>
    </w:p>
    <w:p w14:paraId="72233AE2" w14:textId="21B20EF4" w:rsidR="00926EC6" w:rsidRPr="007E6D33" w:rsidRDefault="00926EC6" w:rsidP="00AF01C8">
      <w:pPr>
        <w:spacing w:line="276" w:lineRule="auto"/>
        <w:jc w:val="both"/>
        <w:rPr>
          <w:rFonts w:ascii="Sylfaen" w:hAnsi="Sylfaen" w:cs="Sylfaen"/>
        </w:rPr>
      </w:pPr>
      <w:r w:rsidRPr="007E6D33">
        <w:rPr>
          <w:rFonts w:ascii="Sylfaen" w:eastAsia="Times New Roman" w:hAnsi="Sylfaen" w:cs="Sylfaen"/>
          <w:lang w:val="ka-GE"/>
        </w:rPr>
        <w:t>2023 წლის 31 მაისს საქართველოს პარლამენტმა მიიღო კანონი „სატელეკომუნიკაციო ინფრასტრუქტურისა და სატელეკომუნიკაციო მიზნებისთვის გამოყენებადი ფიზიკური ინფრასტრუქტურის გაზიარების შესახებ“ (შემდგომში</w:t>
      </w:r>
      <w:r w:rsidR="00A11F27" w:rsidRPr="007E6D33">
        <w:rPr>
          <w:rFonts w:ascii="Sylfaen" w:eastAsia="Times New Roman" w:hAnsi="Sylfaen" w:cs="Sylfaen"/>
          <w:lang w:val="ka-GE"/>
        </w:rPr>
        <w:t xml:space="preserve"> </w:t>
      </w:r>
      <w:r w:rsidRPr="007E6D33">
        <w:rPr>
          <w:rFonts w:ascii="Sylfaen" w:eastAsia="Times New Roman" w:hAnsi="Sylfaen" w:cs="Sylfaen"/>
          <w:lang w:val="ka-GE"/>
        </w:rPr>
        <w:t xml:space="preserve">„კანონი“). კანონის მე-15 მუხლის პირველი პუნქტის „ბ“ და „გ“ ქვეპუნქტების შესაბამისად საქართველოს კომუნიკაციების ეროვნულ კომისიას (შემდგომში „კომუნიკაციების კომისია“) დაევალა 2024 წლის 1 ივლისამდე უზრუნველყოს </w:t>
      </w:r>
      <w:r w:rsidRPr="007E6D33">
        <w:rPr>
          <w:rFonts w:ascii="Sylfaen" w:hAnsi="Sylfaen" w:cs="Sylfaen"/>
        </w:rPr>
        <w:t>ავტორიზებული</w:t>
      </w:r>
      <w:r w:rsidRPr="007E6D33">
        <w:rPr>
          <w:rFonts w:ascii="Sylfaen" w:hAnsi="Sylfaen"/>
        </w:rPr>
        <w:t xml:space="preserve"> </w:t>
      </w:r>
      <w:r w:rsidRPr="007E6D33">
        <w:rPr>
          <w:rFonts w:ascii="Sylfaen" w:hAnsi="Sylfaen" w:cs="Sylfaen"/>
        </w:rPr>
        <w:t>პირის</w:t>
      </w:r>
      <w:r w:rsidRPr="007E6D33">
        <w:rPr>
          <w:rFonts w:ascii="Sylfaen" w:hAnsi="Sylfaen"/>
        </w:rPr>
        <w:t xml:space="preserve"> ელექტრონულ საკომუნიკაციო ინფრასტრუქტურასთან და </w:t>
      </w:r>
      <w:r w:rsidRPr="007E6D33">
        <w:rPr>
          <w:rFonts w:ascii="Sylfaen" w:hAnsi="Sylfaen" w:cs="Sylfaen"/>
        </w:rPr>
        <w:t>სატელეკომუნიკაციო</w:t>
      </w:r>
      <w:r w:rsidRPr="007E6D33">
        <w:rPr>
          <w:rFonts w:ascii="Sylfaen" w:hAnsi="Sylfaen"/>
        </w:rPr>
        <w:t xml:space="preserve"> </w:t>
      </w:r>
      <w:r w:rsidRPr="007E6D33">
        <w:rPr>
          <w:rFonts w:ascii="Sylfaen" w:hAnsi="Sylfaen" w:cs="Sylfaen"/>
        </w:rPr>
        <w:t>მიზნებისთვის</w:t>
      </w:r>
      <w:r w:rsidRPr="007E6D33">
        <w:rPr>
          <w:rFonts w:ascii="Sylfaen" w:hAnsi="Sylfaen"/>
        </w:rPr>
        <w:t xml:space="preserve"> </w:t>
      </w:r>
      <w:r w:rsidRPr="007E6D33">
        <w:rPr>
          <w:rFonts w:ascii="Sylfaen" w:hAnsi="Sylfaen" w:cs="Sylfaen"/>
        </w:rPr>
        <w:t>გამოყენებად</w:t>
      </w:r>
      <w:r w:rsidRPr="007E6D33">
        <w:rPr>
          <w:rFonts w:ascii="Sylfaen" w:hAnsi="Sylfaen"/>
        </w:rPr>
        <w:t xml:space="preserve"> </w:t>
      </w:r>
      <w:r w:rsidRPr="007E6D33">
        <w:rPr>
          <w:rFonts w:ascii="Sylfaen" w:hAnsi="Sylfaen" w:cs="Sylfaen"/>
        </w:rPr>
        <w:t>ფიზიკურ</w:t>
      </w:r>
      <w:r w:rsidRPr="007E6D33">
        <w:rPr>
          <w:rFonts w:ascii="Sylfaen" w:hAnsi="Sylfaen"/>
        </w:rPr>
        <w:t xml:space="preserve"> </w:t>
      </w:r>
      <w:r w:rsidRPr="007E6D33">
        <w:rPr>
          <w:rFonts w:ascii="Sylfaen" w:hAnsi="Sylfaen" w:cs="Sylfaen"/>
        </w:rPr>
        <w:t>ინფრასტრუქტურასთან</w:t>
      </w:r>
      <w:r w:rsidRPr="007E6D33">
        <w:rPr>
          <w:rFonts w:ascii="Sylfaen" w:hAnsi="Sylfaen"/>
        </w:rPr>
        <w:t xml:space="preserve"> </w:t>
      </w:r>
      <w:r w:rsidRPr="007E6D33">
        <w:rPr>
          <w:rFonts w:ascii="Sylfaen" w:hAnsi="Sylfaen" w:cs="Sylfaen"/>
        </w:rPr>
        <w:t>დაშვების</w:t>
      </w:r>
      <w:r w:rsidRPr="007E6D33">
        <w:rPr>
          <w:rFonts w:ascii="Sylfaen" w:hAnsi="Sylfaen"/>
        </w:rPr>
        <w:t xml:space="preserve"> </w:t>
      </w:r>
      <w:r w:rsidRPr="007E6D33">
        <w:rPr>
          <w:rFonts w:ascii="Sylfaen" w:hAnsi="Sylfaen" w:cs="Sylfaen"/>
        </w:rPr>
        <w:t>წესები</w:t>
      </w:r>
      <w:r w:rsidR="00A11F27" w:rsidRPr="007E6D33">
        <w:rPr>
          <w:rFonts w:ascii="Sylfaen" w:hAnsi="Sylfaen" w:cs="Sylfaen"/>
        </w:rPr>
        <w:t>სა</w:t>
      </w:r>
      <w:r w:rsidRPr="007E6D33">
        <w:rPr>
          <w:rFonts w:ascii="Sylfaen" w:hAnsi="Sylfaen"/>
        </w:rPr>
        <w:t xml:space="preserve"> </w:t>
      </w:r>
      <w:r w:rsidRPr="007E6D33">
        <w:rPr>
          <w:rFonts w:ascii="Sylfaen" w:hAnsi="Sylfaen" w:cs="Sylfaen"/>
        </w:rPr>
        <w:t>და</w:t>
      </w:r>
      <w:r w:rsidRPr="007E6D33">
        <w:rPr>
          <w:rFonts w:ascii="Sylfaen" w:hAnsi="Sylfaen"/>
        </w:rPr>
        <w:t xml:space="preserve"> </w:t>
      </w:r>
      <w:r w:rsidRPr="007E6D33">
        <w:rPr>
          <w:rFonts w:ascii="Sylfaen" w:hAnsi="Sylfaen" w:cs="Sylfaen"/>
        </w:rPr>
        <w:t>პირობები</w:t>
      </w:r>
      <w:r w:rsidR="00A11F27" w:rsidRPr="007E6D33">
        <w:rPr>
          <w:rFonts w:ascii="Sylfaen" w:hAnsi="Sylfaen" w:cs="Sylfaen"/>
        </w:rPr>
        <w:t>ს დადგენის შესახებ ნორმატიული აქტის მიღება</w:t>
      </w:r>
      <w:r w:rsidR="00945541" w:rsidRPr="007E6D33">
        <w:rPr>
          <w:rFonts w:ascii="Sylfaen" w:hAnsi="Sylfaen" w:cs="Sylfaen"/>
        </w:rPr>
        <w:t xml:space="preserve"> (შემდგომში “დაშვების წესები”)</w:t>
      </w:r>
      <w:r w:rsidRPr="007E6D33">
        <w:rPr>
          <w:rFonts w:ascii="Sylfaen" w:hAnsi="Sylfaen" w:cs="Sylfaen"/>
        </w:rPr>
        <w:t xml:space="preserve">. </w:t>
      </w:r>
    </w:p>
    <w:p w14:paraId="4AB946BB" w14:textId="77777777" w:rsidR="00A11F27" w:rsidRPr="007E6D33" w:rsidRDefault="00A11F27" w:rsidP="00AF01C8">
      <w:pPr>
        <w:spacing w:line="276" w:lineRule="auto"/>
        <w:jc w:val="both"/>
        <w:rPr>
          <w:rFonts w:ascii="Sylfaen" w:eastAsia="Times New Roman" w:hAnsi="Sylfaen" w:cs="Sylfaen"/>
          <w:lang w:val="ka-GE"/>
        </w:rPr>
      </w:pPr>
      <w:r w:rsidRPr="007E6D33">
        <w:rPr>
          <w:rFonts w:ascii="Sylfaen" w:eastAsia="Times New Roman" w:hAnsi="Sylfaen" w:cs="Sylfaen"/>
          <w:lang w:val="ka-GE"/>
        </w:rPr>
        <w:t xml:space="preserve">ზემოაღნიშნული საკანონმდებლო დანაწესის შესრულების მიზნით კომუნიკაციების კომისიამ შეიმუშავა დაშვების წესები. </w:t>
      </w:r>
    </w:p>
    <w:p w14:paraId="4A35CC24" w14:textId="77777777" w:rsidR="007E6D33" w:rsidRPr="007E6D33" w:rsidRDefault="007E6D33" w:rsidP="007E6D33">
      <w:pPr>
        <w:jc w:val="both"/>
        <w:rPr>
          <w:rFonts w:ascii="Sylfaen" w:hAnsi="Sylfaen" w:cs="Sylfaen"/>
        </w:rPr>
      </w:pPr>
      <w:r w:rsidRPr="007E6D33">
        <w:rPr>
          <w:rFonts w:ascii="Sylfaen" w:eastAsia="Times New Roman" w:hAnsi="Sylfaen" w:cs="Sylfaen"/>
          <w:lang w:val="ka-GE"/>
        </w:rPr>
        <w:t xml:space="preserve">დაშვების წესები </w:t>
      </w:r>
      <w:r w:rsidRPr="007E6D33">
        <w:rPr>
          <w:rFonts w:ascii="Sylfaen" w:hAnsi="Sylfaen" w:cs="Sylfaen"/>
        </w:rPr>
        <w:t xml:space="preserve">განსაზღვრავს ელექტრონულ საკომუნიკაციო ინფრასტრუქტურასთან და სატელეკომუნიკაციო მიზნებისთვის გამოყენებად ფიზიკურ ინფრასტრუქტურასთან დაშვების სამართლებრივ და ტექნიკურ წესებსა და პირობებს, </w:t>
      </w:r>
      <w:r w:rsidRPr="007E6D33">
        <w:rPr>
          <w:rFonts w:ascii="Sylfaen" w:eastAsia="Times New Roman" w:hAnsi="Sylfaen" w:cs="Sylfaen"/>
        </w:rPr>
        <w:t xml:space="preserve">კანონიდან გამომდინარე დავების განხილვის წესს, </w:t>
      </w:r>
      <w:r w:rsidRPr="007E6D33">
        <w:rPr>
          <w:rFonts w:ascii="Sylfaen" w:hAnsi="Sylfaen" w:cs="Sylfaen"/>
        </w:rPr>
        <w:t>ასევე ფიზიკურ ინფრასტრუქტურაზე დაშვებასთან დაკავშირებულ სხვა საკითხებს.</w:t>
      </w:r>
    </w:p>
    <w:p w14:paraId="52B87542" w14:textId="3EF737BB" w:rsidR="00227593" w:rsidRPr="007E6D33" w:rsidRDefault="00945541" w:rsidP="00AF01C8">
      <w:pPr>
        <w:spacing w:line="276" w:lineRule="auto"/>
        <w:jc w:val="both"/>
        <w:rPr>
          <w:rFonts w:ascii="Sylfaen" w:eastAsia="Times New Roman" w:hAnsi="Sylfaen" w:cs="Sylfaen"/>
          <w:lang w:val="ka-GE"/>
        </w:rPr>
      </w:pPr>
      <w:r w:rsidRPr="007E6D33">
        <w:rPr>
          <w:rFonts w:ascii="Sylfaen" w:eastAsia="Times New Roman" w:hAnsi="Sylfaen" w:cs="Sylfaen"/>
          <w:lang w:val="ka-GE"/>
        </w:rPr>
        <w:t>დაშვების წესები სტრუქტურულად შედგება ძირითადი ნაწილისა და ორი დანართისგან. ძირითადი ნაწილი მოიცავს ფიზიკური ინფრასტრუქტურაზე დაშვების სამართლებრივ ჩარჩოს</w:t>
      </w:r>
      <w:r w:rsidR="0027383B" w:rsidRPr="007E6D33">
        <w:rPr>
          <w:rFonts w:ascii="Sylfaen" w:eastAsia="Times New Roman" w:hAnsi="Sylfaen" w:cs="Sylfaen"/>
          <w:lang w:val="ka-GE"/>
        </w:rPr>
        <w:t>, კერძოდ ძირითად დებულებებს, ტერმინთა განმარტებას, ფიზიკური ინფრასტრუქტურის შესახებ ინფორმაციის მიწოდებისა და ადგილზე შესწავლის საკითხებს, ფიზიკურ ინფრასტრუქტურაზე დაშვების მოთხოვნისა და უარის თქმის ფორმას, დაშვებ</w:t>
      </w:r>
      <w:r w:rsidR="00227593" w:rsidRPr="007E6D33">
        <w:rPr>
          <w:rFonts w:ascii="Sylfaen" w:eastAsia="Times New Roman" w:hAnsi="Sylfaen" w:cs="Sylfaen"/>
          <w:lang w:val="ka-GE"/>
        </w:rPr>
        <w:t>აზე უარის თქმის საფუძვლებს, დაშვების შესახებ ხელშეკრულების ფორმას და სავალდებულო რეკვიზიტებს, კომუნიკაციების კომისიისთვის საჩივრი</w:t>
      </w:r>
      <w:r w:rsidR="00A11F27" w:rsidRPr="007E6D33">
        <w:rPr>
          <w:rFonts w:ascii="Sylfaen" w:eastAsia="Times New Roman" w:hAnsi="Sylfaen" w:cs="Sylfaen"/>
          <w:lang w:val="ka-GE"/>
        </w:rPr>
        <w:t>თ</w:t>
      </w:r>
      <w:r w:rsidR="00227593" w:rsidRPr="007E6D33">
        <w:rPr>
          <w:rFonts w:ascii="Sylfaen" w:eastAsia="Times New Roman" w:hAnsi="Sylfaen" w:cs="Sylfaen"/>
          <w:lang w:val="ka-GE"/>
        </w:rPr>
        <w:t xml:space="preserve"> მომართვის წესს და ვადას, კომუნიკაციების კომისიის მიერ დავის განხილვის წესს და სხვა.</w:t>
      </w:r>
    </w:p>
    <w:p w14:paraId="13BC518C" w14:textId="60410DC4" w:rsidR="00041E2A" w:rsidRPr="007E6D33" w:rsidRDefault="00227593" w:rsidP="00AF01C8">
      <w:pPr>
        <w:pStyle w:val="NormalWeb"/>
        <w:spacing w:line="276" w:lineRule="auto"/>
        <w:jc w:val="both"/>
        <w:rPr>
          <w:rFonts w:ascii="Sylfaen" w:hAnsi="Sylfaen" w:cs="Sylfaen"/>
          <w:sz w:val="22"/>
          <w:szCs w:val="22"/>
        </w:rPr>
      </w:pPr>
      <w:r w:rsidRPr="007E6D33">
        <w:rPr>
          <w:rFonts w:ascii="Sylfaen" w:hAnsi="Sylfaen" w:cs="Sylfaen"/>
          <w:sz w:val="22"/>
          <w:szCs w:val="22"/>
        </w:rPr>
        <w:lastRenderedPageBreak/>
        <w:t>დაშვების წესები არეგულირებს ფიზიკური ინფრასტრუქტურის მფლობელსა და ავტორიზებულ პირს შორის სამართლებრივ ურთიერთობებს</w:t>
      </w:r>
      <w:r w:rsidR="00A11F27" w:rsidRPr="007E6D33">
        <w:rPr>
          <w:rFonts w:ascii="Sylfaen" w:hAnsi="Sylfaen" w:cs="Sylfaen"/>
          <w:sz w:val="22"/>
          <w:szCs w:val="22"/>
        </w:rPr>
        <w:t>. დაშვების წესები</w:t>
      </w:r>
      <w:r w:rsidRPr="007E6D33">
        <w:rPr>
          <w:rFonts w:ascii="Sylfaen" w:hAnsi="Sylfaen" w:cs="Sylfaen"/>
          <w:sz w:val="22"/>
          <w:szCs w:val="22"/>
        </w:rPr>
        <w:t xml:space="preserve"> არ აწესრიგებს უშუალოდ სატელეკომუნიკაციო ინფრასტრუქტურის განთავსების მიზნით სამუშაოების წარმოებასთან დაკავშირებულ იმ საჯარო-სამართლებრივ ურთიერთობებს, რომლებსაც სათანადო ადმინისტრაციული ორგანოები თავიანთი უფლებამოსილებების ფარგლებში ახორციელებენ შესაბამისი ნებართვების/თანხმობების გაცემის გზით სპეციალური კანონმდებლობის საფუძველზე (მაგ. მუნიციპალიტეტის მერიის მიერ </w:t>
      </w:r>
      <w:r w:rsidR="00041E2A" w:rsidRPr="007E6D33">
        <w:rPr>
          <w:rFonts w:ascii="Sylfaen" w:hAnsi="Sylfaen" w:cs="Sylfaen"/>
          <w:sz w:val="22"/>
          <w:szCs w:val="22"/>
        </w:rPr>
        <w:t>ცალკეული</w:t>
      </w:r>
      <w:r w:rsidR="00041E2A" w:rsidRPr="007E6D33">
        <w:rPr>
          <w:rFonts w:ascii="Sylfaen" w:hAnsi="Sylfaen"/>
          <w:sz w:val="22"/>
          <w:szCs w:val="22"/>
        </w:rPr>
        <w:t xml:space="preserve"> </w:t>
      </w:r>
      <w:r w:rsidR="00041E2A" w:rsidRPr="007E6D33">
        <w:rPr>
          <w:rFonts w:ascii="Sylfaen" w:hAnsi="Sylfaen" w:cs="Sylfaen"/>
          <w:sz w:val="22"/>
          <w:szCs w:val="22"/>
        </w:rPr>
        <w:t>ხაზობრივი</w:t>
      </w:r>
      <w:r w:rsidR="00041E2A" w:rsidRPr="007E6D33">
        <w:rPr>
          <w:rFonts w:ascii="Sylfaen" w:hAnsi="Sylfaen"/>
          <w:sz w:val="22"/>
          <w:szCs w:val="22"/>
        </w:rPr>
        <w:t xml:space="preserve"> </w:t>
      </w:r>
      <w:r w:rsidR="00041E2A" w:rsidRPr="007E6D33">
        <w:rPr>
          <w:rFonts w:ascii="Sylfaen" w:hAnsi="Sylfaen" w:cs="Sylfaen"/>
          <w:sz w:val="22"/>
          <w:szCs w:val="22"/>
        </w:rPr>
        <w:t>ნაგებობების</w:t>
      </w:r>
      <w:r w:rsidR="00041E2A" w:rsidRPr="007E6D33">
        <w:rPr>
          <w:rFonts w:ascii="Sylfaen" w:hAnsi="Sylfaen"/>
          <w:sz w:val="22"/>
          <w:szCs w:val="22"/>
        </w:rPr>
        <w:t xml:space="preserve"> </w:t>
      </w:r>
      <w:r w:rsidR="00041E2A" w:rsidRPr="007E6D33">
        <w:rPr>
          <w:rFonts w:ascii="Sylfaen" w:hAnsi="Sylfaen" w:cs="Sylfaen"/>
          <w:sz w:val="22"/>
          <w:szCs w:val="22"/>
        </w:rPr>
        <w:t>განთავსების</w:t>
      </w:r>
      <w:r w:rsidR="00041E2A" w:rsidRPr="007E6D33">
        <w:rPr>
          <w:rFonts w:ascii="Sylfaen" w:hAnsi="Sylfaen"/>
          <w:sz w:val="22"/>
          <w:szCs w:val="22"/>
        </w:rPr>
        <w:t xml:space="preserve">, </w:t>
      </w:r>
      <w:r w:rsidR="00041E2A" w:rsidRPr="007E6D33">
        <w:rPr>
          <w:rFonts w:ascii="Sylfaen" w:hAnsi="Sylfaen" w:cs="Sylfaen"/>
          <w:sz w:val="22"/>
          <w:szCs w:val="22"/>
        </w:rPr>
        <w:t>სამუშაოების</w:t>
      </w:r>
      <w:r w:rsidR="00041E2A" w:rsidRPr="007E6D33">
        <w:rPr>
          <w:rFonts w:ascii="Sylfaen" w:hAnsi="Sylfaen"/>
          <w:sz w:val="22"/>
          <w:szCs w:val="22"/>
        </w:rPr>
        <w:t xml:space="preserve"> </w:t>
      </w:r>
      <w:r w:rsidR="00041E2A" w:rsidRPr="007E6D33">
        <w:rPr>
          <w:rFonts w:ascii="Sylfaen" w:hAnsi="Sylfaen" w:cs="Sylfaen"/>
          <w:sz w:val="22"/>
          <w:szCs w:val="22"/>
        </w:rPr>
        <w:t>წარმოების</w:t>
      </w:r>
      <w:r w:rsidR="00041E2A" w:rsidRPr="007E6D33">
        <w:rPr>
          <w:rFonts w:ascii="Sylfaen" w:hAnsi="Sylfaen"/>
          <w:sz w:val="22"/>
          <w:szCs w:val="22"/>
        </w:rPr>
        <w:t xml:space="preserve"> </w:t>
      </w:r>
      <w:r w:rsidR="00041E2A" w:rsidRPr="007E6D33">
        <w:rPr>
          <w:rFonts w:ascii="Sylfaen" w:hAnsi="Sylfaen" w:cs="Sylfaen"/>
          <w:sz w:val="22"/>
          <w:szCs w:val="22"/>
        </w:rPr>
        <w:t>ან</w:t>
      </w:r>
      <w:r w:rsidR="00041E2A" w:rsidRPr="007E6D33">
        <w:rPr>
          <w:rFonts w:ascii="Sylfaen" w:hAnsi="Sylfaen"/>
          <w:sz w:val="22"/>
          <w:szCs w:val="22"/>
        </w:rPr>
        <w:t>/</w:t>
      </w:r>
      <w:r w:rsidR="00041E2A" w:rsidRPr="007E6D33">
        <w:rPr>
          <w:rFonts w:ascii="Sylfaen" w:hAnsi="Sylfaen" w:cs="Sylfaen"/>
          <w:sz w:val="22"/>
          <w:szCs w:val="22"/>
        </w:rPr>
        <w:t>და</w:t>
      </w:r>
      <w:r w:rsidR="00041E2A" w:rsidRPr="007E6D33">
        <w:rPr>
          <w:rFonts w:ascii="Sylfaen" w:hAnsi="Sylfaen"/>
          <w:sz w:val="22"/>
          <w:szCs w:val="22"/>
        </w:rPr>
        <w:t xml:space="preserve"> </w:t>
      </w:r>
      <w:r w:rsidR="00041E2A" w:rsidRPr="007E6D33">
        <w:rPr>
          <w:rFonts w:ascii="Sylfaen" w:hAnsi="Sylfaen" w:cs="Sylfaen"/>
          <w:sz w:val="22"/>
          <w:szCs w:val="22"/>
        </w:rPr>
        <w:t>მათი</w:t>
      </w:r>
      <w:r w:rsidR="00041E2A" w:rsidRPr="007E6D33">
        <w:rPr>
          <w:rFonts w:ascii="Sylfaen" w:hAnsi="Sylfaen"/>
          <w:sz w:val="22"/>
          <w:szCs w:val="22"/>
        </w:rPr>
        <w:t xml:space="preserve"> </w:t>
      </w:r>
      <w:r w:rsidR="00041E2A" w:rsidRPr="007E6D33">
        <w:rPr>
          <w:rFonts w:ascii="Sylfaen" w:hAnsi="Sylfaen" w:cs="Sylfaen"/>
          <w:sz w:val="22"/>
          <w:szCs w:val="22"/>
        </w:rPr>
        <w:t>შემდგომი</w:t>
      </w:r>
      <w:r w:rsidR="00041E2A" w:rsidRPr="007E6D33">
        <w:rPr>
          <w:rFonts w:ascii="Sylfaen" w:hAnsi="Sylfaen"/>
          <w:sz w:val="22"/>
          <w:szCs w:val="22"/>
        </w:rPr>
        <w:t xml:space="preserve"> </w:t>
      </w:r>
      <w:r w:rsidR="00041E2A" w:rsidRPr="007E6D33">
        <w:rPr>
          <w:rFonts w:ascii="Sylfaen" w:hAnsi="Sylfaen" w:cs="Sylfaen"/>
          <w:sz w:val="22"/>
          <w:szCs w:val="22"/>
        </w:rPr>
        <w:t>რეგისტრაციის</w:t>
      </w:r>
      <w:r w:rsidR="00041E2A" w:rsidRPr="007E6D33">
        <w:rPr>
          <w:rFonts w:ascii="Sylfaen" w:hAnsi="Sylfaen"/>
          <w:sz w:val="22"/>
          <w:szCs w:val="22"/>
        </w:rPr>
        <w:t xml:space="preserve"> </w:t>
      </w:r>
      <w:r w:rsidR="00041E2A" w:rsidRPr="007E6D33">
        <w:rPr>
          <w:rFonts w:ascii="Sylfaen" w:hAnsi="Sylfaen" w:cs="Sylfaen"/>
          <w:sz w:val="22"/>
          <w:szCs w:val="22"/>
        </w:rPr>
        <w:t>თაობაზე</w:t>
      </w:r>
      <w:r w:rsidR="00041E2A" w:rsidRPr="007E6D33">
        <w:rPr>
          <w:rFonts w:ascii="Sylfaen" w:hAnsi="Sylfaen"/>
          <w:sz w:val="22"/>
          <w:szCs w:val="22"/>
        </w:rPr>
        <w:t xml:space="preserve"> </w:t>
      </w:r>
      <w:r w:rsidR="00041E2A" w:rsidRPr="007E6D33">
        <w:rPr>
          <w:rFonts w:ascii="Sylfaen" w:hAnsi="Sylfaen" w:cs="Sylfaen"/>
          <w:sz w:val="22"/>
          <w:szCs w:val="22"/>
        </w:rPr>
        <w:t>თანხმობის</w:t>
      </w:r>
      <w:r w:rsidR="00041E2A" w:rsidRPr="007E6D33">
        <w:rPr>
          <w:rFonts w:ascii="Sylfaen" w:hAnsi="Sylfaen"/>
          <w:sz w:val="22"/>
          <w:szCs w:val="22"/>
        </w:rPr>
        <w:t xml:space="preserve"> </w:t>
      </w:r>
      <w:r w:rsidR="00041E2A" w:rsidRPr="007E6D33">
        <w:rPr>
          <w:rFonts w:ascii="Sylfaen" w:hAnsi="Sylfaen" w:cs="Sylfaen"/>
          <w:sz w:val="22"/>
          <w:szCs w:val="22"/>
        </w:rPr>
        <w:t>გაცემის</w:t>
      </w:r>
      <w:r w:rsidR="00041E2A" w:rsidRPr="007E6D33">
        <w:rPr>
          <w:rFonts w:ascii="Sylfaen" w:hAnsi="Sylfaen"/>
          <w:sz w:val="22"/>
          <w:szCs w:val="22"/>
        </w:rPr>
        <w:t xml:space="preserve"> </w:t>
      </w:r>
      <w:r w:rsidR="00041E2A" w:rsidRPr="007E6D33">
        <w:rPr>
          <w:rFonts w:ascii="Sylfaen" w:hAnsi="Sylfaen" w:cs="Sylfaen"/>
          <w:sz w:val="22"/>
          <w:szCs w:val="22"/>
        </w:rPr>
        <w:t>საკითხები რეგულირდება სპეციალური კანონმდებლობით და არა დაშვების წესებით).</w:t>
      </w:r>
    </w:p>
    <w:p w14:paraId="3F044209" w14:textId="399436FB" w:rsidR="00041E2A" w:rsidRPr="007E6D33" w:rsidRDefault="00041E2A" w:rsidP="00AF01C8">
      <w:pPr>
        <w:pStyle w:val="NormalWeb"/>
        <w:spacing w:line="276" w:lineRule="auto"/>
        <w:jc w:val="both"/>
        <w:rPr>
          <w:rFonts w:ascii="Sylfaen" w:hAnsi="Sylfaen" w:cs="Sylfaen"/>
          <w:sz w:val="22"/>
          <w:szCs w:val="22"/>
        </w:rPr>
      </w:pPr>
      <w:r w:rsidRPr="007E6D33">
        <w:rPr>
          <w:rFonts w:ascii="Sylfaen" w:hAnsi="Sylfaen" w:cs="Sylfaen"/>
          <w:sz w:val="22"/>
          <w:szCs w:val="22"/>
        </w:rPr>
        <w:t>დაშვების წესები ადგენს, რომ ინფატრასტრუქტურაზე დაშვებაზე უარის თქმა დაუშვებელია ნებისმიერი სხვა საფუძვლით, გარდა კანონის მე-4 მუხლით განსაზღვრული ჩამონათვალისა. დაშვების წესები ასევე ადგენს, რომ თუ რომელიმე ფიზიკურ ინფრასტრუქტურაზე დაშვების ტენქიკური ნორმები არ არის დადგენილი ამ წესებით, მაშინ დაშვება უნდა განხორციელდეს მხარეთა შორის შეთანხმებული სახით, კანონის და ამ წესების პრინციპებისა და სულისკვეთების გათვალისწინებით და ნებისმიერი ტექნიკური მოთხოვნა უნდა შეესაბამებოდეს საქართველოს კანონმდებლობით ან/და მის საფუძველზე დაწესებულ შესაბამის სტანდარტებს. დაშვების წესები ცალსახად და ექ</w:t>
      </w:r>
      <w:r w:rsidR="00A11F27" w:rsidRPr="007E6D33">
        <w:rPr>
          <w:rFonts w:ascii="Sylfaen" w:hAnsi="Sylfaen" w:cs="Sylfaen"/>
          <w:sz w:val="22"/>
          <w:szCs w:val="22"/>
        </w:rPr>
        <w:t>ს</w:t>
      </w:r>
      <w:r w:rsidRPr="007E6D33">
        <w:rPr>
          <w:rFonts w:ascii="Sylfaen" w:hAnsi="Sylfaen" w:cs="Sylfaen"/>
          <w:sz w:val="22"/>
          <w:szCs w:val="22"/>
        </w:rPr>
        <w:t>პლიციტურად ადგენს, რომ დაუშვებელია ფიზიკურ ინფრასტრუქტურაზე დაშვებისთვის ისეთი ტექნიკური მოთხოვნების დადგენა, რომელიც მხოლოდ კანონით და დაშვების წესებით დადგენილი მოთხოვნებისგან თავის არიდებას ისახავს მიზნად.</w:t>
      </w:r>
    </w:p>
    <w:p w14:paraId="100A8907" w14:textId="45C34D12" w:rsidR="00227593" w:rsidRPr="007E6D33" w:rsidRDefault="00041E2A" w:rsidP="00AF01C8">
      <w:pPr>
        <w:pStyle w:val="NormalWeb"/>
        <w:spacing w:line="276" w:lineRule="auto"/>
        <w:jc w:val="both"/>
        <w:rPr>
          <w:rFonts w:ascii="Sylfaen" w:hAnsi="Sylfaen"/>
          <w:sz w:val="22"/>
          <w:szCs w:val="22"/>
        </w:rPr>
      </w:pPr>
      <w:r w:rsidRPr="007E6D33">
        <w:rPr>
          <w:rFonts w:ascii="Sylfaen" w:hAnsi="Sylfaen" w:cs="Sylfaen"/>
          <w:sz w:val="22"/>
          <w:szCs w:val="22"/>
        </w:rPr>
        <w:t xml:space="preserve">დაშვების წესები ასევე განსაზღვრავს, რომ დანართებით განსაზღვრული ტექნიკური პარამეტრების/მოთხოვნების შემცირება მხარეთა შეთანხმებით შესაძლებელია, ხოლო გაზრდა დაუშვებელი. აღნიშნული რეგულირების მიზანი არის ის, რომ </w:t>
      </w:r>
      <w:r w:rsidR="00A11F27" w:rsidRPr="007E6D33">
        <w:rPr>
          <w:rFonts w:ascii="Sylfaen" w:hAnsi="Sylfaen" w:cs="Sylfaen"/>
          <w:sz w:val="22"/>
          <w:szCs w:val="22"/>
        </w:rPr>
        <w:t xml:space="preserve">ერთის მხრივ </w:t>
      </w:r>
      <w:r w:rsidRPr="007E6D33">
        <w:rPr>
          <w:rFonts w:ascii="Sylfaen" w:hAnsi="Sylfaen" w:cs="Sylfaen"/>
          <w:sz w:val="22"/>
          <w:szCs w:val="22"/>
        </w:rPr>
        <w:t>მხარეებს ქონდეთ შესაძლებლობა ორმხრივად შეთანხმდენენ საერთო სტანდარტებით განსაზვრულისგან განსხვავებულ</w:t>
      </w:r>
      <w:r w:rsidR="00210127" w:rsidRPr="007E6D33">
        <w:rPr>
          <w:rFonts w:ascii="Sylfaen" w:hAnsi="Sylfaen" w:cs="Sylfaen"/>
          <w:sz w:val="22"/>
          <w:szCs w:val="22"/>
        </w:rPr>
        <w:t xml:space="preserve"> პარამეტრზე, </w:t>
      </w:r>
      <w:r w:rsidR="00A11F27" w:rsidRPr="007E6D33">
        <w:rPr>
          <w:rFonts w:ascii="Sylfaen" w:hAnsi="Sylfaen" w:cs="Sylfaen"/>
          <w:sz w:val="22"/>
          <w:szCs w:val="22"/>
        </w:rPr>
        <w:t>ხოლო მეორეს მხრივ ამ განსხვავებულმა შე</w:t>
      </w:r>
      <w:r w:rsidR="00AF01C8" w:rsidRPr="007E6D33">
        <w:rPr>
          <w:rFonts w:ascii="Sylfaen" w:hAnsi="Sylfaen" w:cs="Sylfaen"/>
          <w:sz w:val="22"/>
          <w:szCs w:val="22"/>
        </w:rPr>
        <w:t>თ</w:t>
      </w:r>
      <w:r w:rsidR="00A11F27" w:rsidRPr="007E6D33">
        <w:rPr>
          <w:rFonts w:ascii="Sylfaen" w:hAnsi="Sylfaen" w:cs="Sylfaen"/>
          <w:sz w:val="22"/>
          <w:szCs w:val="22"/>
        </w:rPr>
        <w:t xml:space="preserve">ანხმებამ არ გამოიწვიოს დაშვების სხვა მსურველებისთვის ბარიერების შექმნა. </w:t>
      </w:r>
      <w:r w:rsidR="00210127" w:rsidRPr="007E6D33">
        <w:rPr>
          <w:rFonts w:ascii="Sylfaen" w:hAnsi="Sylfaen" w:cs="Sylfaen"/>
          <w:sz w:val="22"/>
          <w:szCs w:val="22"/>
        </w:rPr>
        <w:t>სტანდარტით დადგენილი პარამეტრის შემცირება, რადგან მხოლოდ ორმხრივი თანხმობით არის შესაძლებელი, გამორიცხავს ქსელის უსაფრთხოებასთან დაკავშირებულ რისკებს. ხოლო გაზრ</w:t>
      </w:r>
      <w:r w:rsidR="00AF01C8" w:rsidRPr="007E6D33">
        <w:rPr>
          <w:rFonts w:ascii="Sylfaen" w:hAnsi="Sylfaen" w:cs="Sylfaen"/>
          <w:sz w:val="22"/>
          <w:szCs w:val="22"/>
        </w:rPr>
        <w:t>დ</w:t>
      </w:r>
      <w:r w:rsidR="00210127" w:rsidRPr="007E6D33">
        <w:rPr>
          <w:rFonts w:ascii="Sylfaen" w:hAnsi="Sylfaen" w:cs="Sylfaen"/>
          <w:sz w:val="22"/>
          <w:szCs w:val="22"/>
        </w:rPr>
        <w:t xml:space="preserve">ის დაუშვებლობა პრევენციას </w:t>
      </w:r>
      <w:r w:rsidR="00AF01C8" w:rsidRPr="007E6D33">
        <w:rPr>
          <w:rFonts w:ascii="Sylfaen" w:hAnsi="Sylfaen" w:cs="Sylfaen"/>
          <w:sz w:val="22"/>
          <w:szCs w:val="22"/>
        </w:rPr>
        <w:t>მოახდენს</w:t>
      </w:r>
      <w:r w:rsidR="00210127" w:rsidRPr="007E6D33">
        <w:rPr>
          <w:rFonts w:ascii="Sylfaen" w:hAnsi="Sylfaen" w:cs="Sylfaen"/>
          <w:sz w:val="22"/>
          <w:szCs w:val="22"/>
        </w:rPr>
        <w:t xml:space="preserve"> მხარეთა არაკეთილსინდისიერი შეთანხმებისა, რომლითაც შესაძლებელი იქნებოდა პარამეტრების ხელოვნურად გაზრდა (მაგ. სადენებს შორის დაშორების მანძილი), სხვა ავტორიზებული პირების დაშვების შეზღუდვის მიზნით.</w:t>
      </w:r>
    </w:p>
    <w:p w14:paraId="6BA737E5" w14:textId="5C6DD883" w:rsidR="00227593" w:rsidRPr="007E6D33" w:rsidRDefault="00210127" w:rsidP="00AF01C8">
      <w:pPr>
        <w:pStyle w:val="pf0"/>
        <w:spacing w:line="276" w:lineRule="auto"/>
        <w:jc w:val="both"/>
        <w:rPr>
          <w:rFonts w:ascii="Sylfaen" w:hAnsi="Sylfaen" w:cs="Arial"/>
          <w:sz w:val="22"/>
          <w:szCs w:val="22"/>
        </w:rPr>
      </w:pPr>
      <w:r w:rsidRPr="007E6D33">
        <w:rPr>
          <w:rFonts w:ascii="Sylfaen" w:hAnsi="Sylfaen" w:cs="Sylfaen"/>
          <w:sz w:val="22"/>
          <w:szCs w:val="22"/>
          <w:lang w:val="ka-GE"/>
        </w:rPr>
        <w:t xml:space="preserve">დაშვების წესების </w:t>
      </w:r>
      <w:r w:rsidR="00227593" w:rsidRPr="007E6D33">
        <w:rPr>
          <w:rFonts w:ascii="Sylfaen" w:hAnsi="Sylfaen" w:cs="Sylfaen"/>
          <w:sz w:val="22"/>
          <w:szCs w:val="22"/>
          <w:lang w:val="ka-GE"/>
        </w:rPr>
        <w:t>პირველი დანართი შეიცავს სატელეკომუნიკაციო მიზნებისთვის გამოყენებად ინფრასტრუქტურაზე ავტორიზებული პირის დაშვების ტექნიკურ პირობებს, ხოლო მეორე დანართი ელექტრონულ საკომუნიკაციო ინფრასტრუქტურასთან დაშვების ტექნიკურ პირობებს. დანართ</w:t>
      </w:r>
      <w:r w:rsidR="007E6D33">
        <w:rPr>
          <w:rFonts w:ascii="Sylfaen" w:hAnsi="Sylfaen" w:cs="Sylfaen"/>
          <w:sz w:val="22"/>
          <w:szCs w:val="22"/>
          <w:lang w:val="ka-GE"/>
        </w:rPr>
        <w:t>ებ</w:t>
      </w:r>
      <w:r w:rsidR="00227593" w:rsidRPr="007E6D33">
        <w:rPr>
          <w:rFonts w:ascii="Sylfaen" w:hAnsi="Sylfaen" w:cs="Sylfaen"/>
          <w:sz w:val="22"/>
          <w:szCs w:val="22"/>
          <w:lang w:val="ka-GE"/>
        </w:rPr>
        <w:t xml:space="preserve">ი ეფუძნება საერთაშორისო სატელეკომუნიკაციო კავშირის </w:t>
      </w:r>
      <w:r w:rsidR="00227593" w:rsidRPr="007E6D33">
        <w:rPr>
          <w:rFonts w:ascii="Sylfaen" w:hAnsi="Sylfaen" w:cs="Sylfaen"/>
          <w:sz w:val="22"/>
          <w:szCs w:val="22"/>
          <w:lang w:val="ka-GE"/>
        </w:rPr>
        <w:lastRenderedPageBreak/>
        <w:t>(</w:t>
      </w:r>
      <w:r w:rsidR="00227593" w:rsidRPr="007E6D33">
        <w:rPr>
          <w:rFonts w:ascii="Sylfaen" w:hAnsi="Sylfaen" w:cs="Sylfaen"/>
          <w:sz w:val="22"/>
          <w:szCs w:val="22"/>
        </w:rPr>
        <w:t>ITU</w:t>
      </w:r>
      <w:r w:rsidR="00227593" w:rsidRPr="007E6D33">
        <w:rPr>
          <w:rFonts w:ascii="Sylfaen" w:hAnsi="Sylfaen" w:cs="Sylfaen"/>
          <w:sz w:val="22"/>
          <w:szCs w:val="22"/>
          <w:lang w:val="ka-GE"/>
        </w:rPr>
        <w:t>)</w:t>
      </w:r>
      <w:r w:rsidR="00F7563A" w:rsidRPr="007E6D33">
        <w:rPr>
          <w:rFonts w:ascii="Sylfaen" w:hAnsi="Sylfaen" w:cs="Sylfaen"/>
          <w:sz w:val="22"/>
          <w:szCs w:val="22"/>
          <w:lang w:val="ka-GE"/>
        </w:rPr>
        <w:t>, საერთაშორისო ელექტროტექნიკური კომისიის (</w:t>
      </w:r>
      <w:r w:rsidR="00F7563A" w:rsidRPr="007E6D33">
        <w:rPr>
          <w:rStyle w:val="cf01"/>
          <w:rFonts w:ascii="Sylfaen" w:hAnsi="Sylfaen"/>
          <w:sz w:val="22"/>
          <w:szCs w:val="22"/>
        </w:rPr>
        <w:t>The International Electrotechnical Commission – IEC)</w:t>
      </w:r>
      <w:r w:rsidR="00F7563A" w:rsidRPr="007E6D33">
        <w:rPr>
          <w:rStyle w:val="cf01"/>
          <w:rFonts w:ascii="Sylfaen" w:hAnsi="Sylfaen"/>
          <w:sz w:val="22"/>
          <w:szCs w:val="22"/>
          <w:lang w:val="ka-GE"/>
        </w:rPr>
        <w:t xml:space="preserve"> და ელექტრული და ელექტრონიკის ინჟინრების სტანდარტების ასოციაციის (</w:t>
      </w:r>
      <w:r w:rsidR="00F7563A" w:rsidRPr="007E6D33">
        <w:rPr>
          <w:rFonts w:ascii="Sylfaen" w:hAnsi="Sylfaen" w:cs="Segoe UI"/>
          <w:color w:val="202122"/>
          <w:sz w:val="22"/>
          <w:szCs w:val="22"/>
          <w:shd w:val="clear" w:color="auto" w:fill="FFFFFF"/>
        </w:rPr>
        <w:t>The Institute of Electrical and Electronics Engineers Standards Association</w:t>
      </w:r>
      <w:r w:rsidR="00F7563A" w:rsidRPr="007E6D33">
        <w:rPr>
          <w:rFonts w:ascii="Sylfaen" w:hAnsi="Sylfaen" w:cs="Segoe UI"/>
          <w:sz w:val="22"/>
          <w:szCs w:val="22"/>
        </w:rPr>
        <w:t xml:space="preserve"> – IEEE SA) </w:t>
      </w:r>
      <w:r w:rsidR="00227593" w:rsidRPr="007E6D33">
        <w:rPr>
          <w:rFonts w:ascii="Sylfaen" w:hAnsi="Sylfaen" w:cs="Sylfaen"/>
          <w:sz w:val="22"/>
          <w:szCs w:val="22"/>
          <w:lang w:val="ka-GE"/>
        </w:rPr>
        <w:t>მიერ მიღებულ შესაბამის</w:t>
      </w:r>
      <w:r w:rsidR="007E6D33">
        <w:rPr>
          <w:rFonts w:ascii="Sylfaen" w:hAnsi="Sylfaen" w:cs="Sylfaen"/>
          <w:sz w:val="22"/>
          <w:szCs w:val="22"/>
          <w:lang w:val="ka-GE"/>
        </w:rPr>
        <w:t xml:space="preserve"> საერთაშორისო</w:t>
      </w:r>
      <w:r w:rsidR="00227593" w:rsidRPr="007E6D33">
        <w:rPr>
          <w:rFonts w:ascii="Sylfaen" w:hAnsi="Sylfaen" w:cs="Sylfaen"/>
          <w:sz w:val="22"/>
          <w:szCs w:val="22"/>
          <w:lang w:val="ka-GE"/>
        </w:rPr>
        <w:t xml:space="preserve"> სტანდარტებს, კერძოდ</w:t>
      </w:r>
      <w:r w:rsidR="007E6D33">
        <w:rPr>
          <w:rFonts w:ascii="Sylfaen" w:hAnsi="Sylfaen" w:cs="Sylfaen"/>
          <w:sz w:val="22"/>
          <w:szCs w:val="22"/>
          <w:lang w:val="ka-GE"/>
        </w:rPr>
        <w:t xml:space="preserve"> ეს სტანდარტებია</w:t>
      </w:r>
      <w:r w:rsidR="00227593" w:rsidRPr="007E6D33">
        <w:rPr>
          <w:rFonts w:ascii="Sylfaen" w:hAnsi="Sylfaen" w:cs="Sylfaen"/>
          <w:sz w:val="22"/>
          <w:szCs w:val="22"/>
          <w:lang w:val="ka-GE"/>
        </w:rPr>
        <w:t>:</w:t>
      </w:r>
    </w:p>
    <w:p w14:paraId="639DDF4D" w14:textId="5C37C292"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bookmarkStart w:id="0" w:name="_Hlk153749104"/>
      <w:r w:rsidRPr="007E6D33">
        <w:rPr>
          <w:rFonts w:ascii="Sylfaen" w:hAnsi="Sylfaen" w:cstheme="minorHAnsi"/>
          <w:lang w:val="ka-GE"/>
        </w:rPr>
        <w:t xml:space="preserve">ITU-T L.11 -  </w:t>
      </w:r>
      <w:r w:rsidR="005065AA" w:rsidRPr="007E6D33">
        <w:rPr>
          <w:rFonts w:ascii="Sylfaen" w:hAnsi="Sylfaen" w:cstheme="minorHAnsi"/>
          <w:lang w:val="ka-GE"/>
        </w:rPr>
        <w:t>სატელეკომუნიკაციო კაბელებისთვის გვირაბების ერთობლივად გამოყენება და მიწისქვეშა არხების გეგმების სტანდარტიზაცია</w:t>
      </w:r>
      <w:r w:rsidRPr="007E6D33">
        <w:rPr>
          <w:rFonts w:ascii="Sylfaen" w:hAnsi="Sylfaen" w:cstheme="minorHAnsi"/>
          <w:lang w:val="ka-GE"/>
        </w:rPr>
        <w:t xml:space="preserve">; </w:t>
      </w:r>
    </w:p>
    <w:p w14:paraId="3A8C77AC" w14:textId="1EE322F7"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hAnsi="Sylfaen" w:cstheme="minorHAnsi"/>
          <w:lang w:val="ka-GE"/>
        </w:rPr>
        <w:t>ITU-T L.258/L.63 - უსაფრთხოების პროცედურები გარე დანადგარებისთვის (ზოგადი დაცვები);</w:t>
      </w:r>
    </w:p>
    <w:p w14:paraId="39D7CE23" w14:textId="309D77CD"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hAnsi="Sylfaen" w:cstheme="minorHAnsi"/>
          <w:lang w:val="ka-GE"/>
        </w:rPr>
        <w:t>ITU-T L.100/L.10 - ოპტიკურ-ბოჭკოვანი კაბელები გვირაბებში და არხებში გამოყენებისათვის;</w:t>
      </w:r>
    </w:p>
    <w:p w14:paraId="270BE796" w14:textId="0BEC76E7"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bookmarkStart w:id="1" w:name="_Hlk154322348"/>
      <w:r w:rsidRPr="007E6D33">
        <w:rPr>
          <w:rFonts w:ascii="Sylfaen" w:hAnsi="Sylfaen" w:cstheme="minorHAnsi"/>
          <w:lang w:val="ka-GE"/>
        </w:rPr>
        <w:t xml:space="preserve">ITU-T K.29 </w:t>
      </w:r>
      <w:bookmarkEnd w:id="1"/>
      <w:r w:rsidRPr="007E6D33">
        <w:rPr>
          <w:rFonts w:ascii="Sylfaen" w:hAnsi="Sylfaen" w:cstheme="minorHAnsi"/>
          <w:lang w:val="ka-GE"/>
        </w:rPr>
        <w:t xml:space="preserve">- </w:t>
      </w:r>
      <w:bookmarkStart w:id="2" w:name="_Hlk154328111"/>
      <w:r w:rsidR="007A7580" w:rsidRPr="007E6D33">
        <w:rPr>
          <w:rFonts w:ascii="Sylfaen" w:hAnsi="Sylfaen" w:cstheme="minorHAnsi"/>
          <w:lang w:val="ka-GE"/>
        </w:rPr>
        <w:t xml:space="preserve">მიწისქვეშა </w:t>
      </w:r>
      <w:r w:rsidRPr="007E6D33">
        <w:rPr>
          <w:rFonts w:ascii="Sylfaen" w:hAnsi="Sylfaen" w:cstheme="minorHAnsi"/>
          <w:lang w:val="ka-GE"/>
        </w:rPr>
        <w:t xml:space="preserve">სატელეკომუნიკაციო ხაზების </w:t>
      </w:r>
      <w:r w:rsidR="007A7580" w:rsidRPr="007E6D33">
        <w:rPr>
          <w:rFonts w:ascii="Sylfaen" w:hAnsi="Sylfaen" w:cstheme="minorHAnsi"/>
          <w:lang w:val="ka-GE"/>
        </w:rPr>
        <w:t xml:space="preserve">კოორდინირებული </w:t>
      </w:r>
      <w:r w:rsidRPr="007E6D33">
        <w:rPr>
          <w:rFonts w:ascii="Sylfaen" w:hAnsi="Sylfaen" w:cstheme="minorHAnsi"/>
          <w:lang w:val="ka-GE"/>
        </w:rPr>
        <w:t>დაცვ</w:t>
      </w:r>
      <w:r w:rsidR="007A7580" w:rsidRPr="007E6D33">
        <w:rPr>
          <w:rFonts w:ascii="Sylfaen" w:hAnsi="Sylfaen" w:cstheme="minorHAnsi"/>
          <w:lang w:val="ka-GE"/>
        </w:rPr>
        <w:t>ის სქემა</w:t>
      </w:r>
      <w:r w:rsidRPr="007E6D33">
        <w:rPr>
          <w:rFonts w:ascii="Sylfaen" w:hAnsi="Sylfaen" w:cstheme="minorHAnsi"/>
          <w:lang w:val="ka-GE"/>
        </w:rPr>
        <w:t>;</w:t>
      </w:r>
    </w:p>
    <w:bookmarkEnd w:id="2"/>
    <w:p w14:paraId="0EC03B4A" w14:textId="7F1F3C76"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hAnsi="Sylfaen" w:cstheme="minorHAnsi"/>
          <w:lang w:val="ka-GE"/>
        </w:rPr>
        <w:t>ITU-T L.26 201508- ოპტიკურ-ბოჭკოვანი კაბელები საჰაერო გამოყენებისთვის;</w:t>
      </w:r>
    </w:p>
    <w:p w14:paraId="7FAF3888" w14:textId="28291A75"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hAnsi="Sylfaen" w:cstheme="minorHAnsi"/>
          <w:lang w:val="ka-GE"/>
        </w:rPr>
        <w:t>ITU-T L.151 - ოპტიკურ-ბოჭკოვანი კაბელის მონტაჟი დამიწების გამტარში (OPGW);</w:t>
      </w:r>
    </w:p>
    <w:p w14:paraId="0018B185" w14:textId="3B8C23A5"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eastAsia="Times New Roman" w:hAnsi="Sylfaen" w:cs="Calibri"/>
          <w:lang w:val="ka-GE"/>
        </w:rPr>
        <w:t>ITU-T L.88 - საჰაერო სატელეკომუნიკაციო ხაზების მზიდი ბოძების მართვა;</w:t>
      </w:r>
    </w:p>
    <w:p w14:paraId="4E5EF563" w14:textId="5EFD7247"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hAnsi="Sylfaen" w:cstheme="minorHAnsi"/>
          <w:lang w:val="ka-GE"/>
        </w:rPr>
        <w:t>IEC 60794-4 - ოპტიკურ-ბოჭკოვანი კაბელები - სექციური სპეციფიკაცია - საჰაერო ოპტიკურ-ბოჭკოვანი კაბელები ელექტროგადამცემი ხაზების გასწვრივ;</w:t>
      </w:r>
    </w:p>
    <w:p w14:paraId="2BF8A80A" w14:textId="3C15E4EF"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hAnsi="Sylfaen" w:cstheme="minorHAnsi"/>
          <w:lang w:val="ka-GE"/>
        </w:rPr>
        <w:t xml:space="preserve">IEC 60794-4-10 - </w:t>
      </w:r>
      <w:bookmarkStart w:id="3" w:name="_Hlk154317324"/>
      <w:r w:rsidRPr="007E6D33">
        <w:rPr>
          <w:rFonts w:ascii="Sylfaen" w:hAnsi="Sylfaen" w:cstheme="minorHAnsi"/>
          <w:lang w:val="ka-GE"/>
        </w:rPr>
        <w:t xml:space="preserve">ოპტიკურ-ბოჭკოვანი კაბელები </w:t>
      </w:r>
      <w:bookmarkEnd w:id="3"/>
      <w:r w:rsidRPr="007E6D33">
        <w:rPr>
          <w:rFonts w:ascii="Sylfaen" w:hAnsi="Sylfaen" w:cstheme="minorHAnsi"/>
          <w:lang w:val="ka-GE"/>
        </w:rPr>
        <w:t xml:space="preserve">- საჰაერო ოპტიკურ-ბოჭკოვანი კაბელები  ელექტროგადამცემი ხაზების გასწვრივ - </w:t>
      </w:r>
      <w:bookmarkStart w:id="4" w:name="_Hlk154328338"/>
      <w:r w:rsidRPr="007E6D33">
        <w:rPr>
          <w:rFonts w:ascii="Sylfaen" w:hAnsi="Sylfaen" w:cstheme="minorHAnsi"/>
          <w:lang w:val="ka-GE"/>
        </w:rPr>
        <w:t>OPGW</w:t>
      </w:r>
      <w:bookmarkEnd w:id="4"/>
      <w:r w:rsidRPr="007E6D33">
        <w:rPr>
          <w:rFonts w:ascii="Sylfaen" w:hAnsi="Sylfaen" w:cstheme="minorHAnsi"/>
          <w:lang w:val="ka-GE"/>
        </w:rPr>
        <w:t xml:space="preserve"> (ოპტიკური სახმელეთო მავთულები);</w:t>
      </w:r>
    </w:p>
    <w:p w14:paraId="7D535D46" w14:textId="29012102"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hAnsi="Sylfaen" w:cstheme="minorHAnsi"/>
          <w:lang w:val="ka-GE"/>
        </w:rPr>
        <w:t>IEEE 1138-2009 - IEEE სტანდარტი, ელექტროგადამცემი ხაზების გამოყენებით, ოპტიკურ- ბოჭკოვანი კაბელების განთავსება - OPGW (ოპტიკურ-ბოჭკოვანი სახმელეთო მავთულები);</w:t>
      </w:r>
    </w:p>
    <w:p w14:paraId="022E37E0" w14:textId="2B5C0A77"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hAnsi="Sylfaen" w:cstheme="minorHAnsi"/>
          <w:lang w:val="ka-GE"/>
        </w:rPr>
        <w:t>ITU-T K.57 - დაცვის ზომები ელექტროგადამცემი ხაზის ანძებზე განთავსებული რადიო საბაზო სადგურებისთვის;</w:t>
      </w:r>
    </w:p>
    <w:p w14:paraId="42224027" w14:textId="050A4EAD" w:rsidR="00227593" w:rsidRPr="007E6D33" w:rsidRDefault="00227593" w:rsidP="00AF01C8">
      <w:pPr>
        <w:numPr>
          <w:ilvl w:val="0"/>
          <w:numId w:val="8"/>
        </w:numPr>
        <w:spacing w:line="276" w:lineRule="auto"/>
        <w:ind w:left="270" w:hanging="270"/>
        <w:contextualSpacing/>
        <w:jc w:val="both"/>
        <w:rPr>
          <w:rFonts w:ascii="Sylfaen" w:hAnsi="Sylfaen" w:cstheme="minorHAnsi"/>
          <w:lang w:val="ka-GE"/>
        </w:rPr>
      </w:pPr>
      <w:r w:rsidRPr="007E6D33">
        <w:rPr>
          <w:rFonts w:ascii="Sylfaen" w:eastAsia="Times New Roman" w:hAnsi="Sylfaen" w:cs="Calibri"/>
          <w:lang w:val="ka-GE"/>
        </w:rPr>
        <w:t>ITU-T K.45 - დაშვების და მაგისტრალურ ქსელებში დაყენებული სატელეკომუნიკაციო აღჭურვილობის მდგრადობა გადაჭარბებული ძაბვისა და დენის მიმართ;</w:t>
      </w:r>
    </w:p>
    <w:p w14:paraId="3703DF5A" w14:textId="76694181" w:rsidR="00227593" w:rsidRPr="007E6D33" w:rsidRDefault="00227593" w:rsidP="00AF01C8">
      <w:pPr>
        <w:numPr>
          <w:ilvl w:val="0"/>
          <w:numId w:val="8"/>
        </w:numPr>
        <w:spacing w:line="276" w:lineRule="auto"/>
        <w:ind w:left="270" w:hanging="270"/>
        <w:contextualSpacing/>
        <w:jc w:val="both"/>
        <w:rPr>
          <w:rFonts w:ascii="Sylfaen" w:hAnsi="Sylfaen" w:cs="Arial"/>
          <w:lang w:val="ka-GE"/>
        </w:rPr>
      </w:pPr>
      <w:r w:rsidRPr="007E6D33">
        <w:rPr>
          <w:rFonts w:ascii="Sylfaen" w:hAnsi="Sylfaen" w:cs="Arial"/>
          <w:lang w:val="ka-GE"/>
        </w:rPr>
        <w:t>ITU-T L.89 - დასაკიდი მავთულის, სატელეკომუნიკაციო ბოძების და ხაზების დიზაინი, ოპტიკურ-ბოჭკოვანი წვდომის ქსელებისთვის</w:t>
      </w:r>
      <w:bookmarkEnd w:id="0"/>
      <w:r w:rsidRPr="007E6D33">
        <w:rPr>
          <w:rFonts w:ascii="Sylfaen" w:hAnsi="Sylfaen" w:cs="Arial"/>
          <w:lang w:val="ka-GE"/>
        </w:rPr>
        <w:t>;</w:t>
      </w:r>
    </w:p>
    <w:p w14:paraId="2A9C5F9B" w14:textId="3F02DA8A" w:rsidR="00227593" w:rsidRPr="007E6D33" w:rsidRDefault="00227593" w:rsidP="00AF01C8">
      <w:pPr>
        <w:numPr>
          <w:ilvl w:val="0"/>
          <w:numId w:val="8"/>
        </w:numPr>
        <w:spacing w:line="276" w:lineRule="auto"/>
        <w:ind w:left="270" w:hanging="270"/>
        <w:contextualSpacing/>
        <w:jc w:val="both"/>
        <w:rPr>
          <w:rFonts w:ascii="Sylfaen" w:hAnsi="Sylfaen" w:cs="Arial"/>
          <w:lang w:val="ka-GE"/>
        </w:rPr>
      </w:pPr>
      <w:r w:rsidRPr="007E6D33">
        <w:rPr>
          <w:rFonts w:ascii="Sylfaen" w:hAnsi="Sylfaen" w:cs="Arial"/>
          <w:lang w:val="ka-GE"/>
        </w:rPr>
        <w:t>ITU-T L.56 - რკინიგზის გასწვრივ ოპტიკური ბოჭკოვანი კაბელების დამონტაჟება;</w:t>
      </w:r>
    </w:p>
    <w:p w14:paraId="4C0C83F7" w14:textId="6C6605A2" w:rsidR="00227593" w:rsidRPr="007E6D33" w:rsidRDefault="00227593" w:rsidP="00AF01C8">
      <w:pPr>
        <w:numPr>
          <w:ilvl w:val="0"/>
          <w:numId w:val="8"/>
        </w:numPr>
        <w:spacing w:line="276" w:lineRule="auto"/>
        <w:ind w:left="270" w:hanging="270"/>
        <w:contextualSpacing/>
        <w:jc w:val="both"/>
        <w:rPr>
          <w:rFonts w:ascii="Sylfaen" w:hAnsi="Sylfaen" w:cs="Arial"/>
          <w:lang w:val="ka-GE"/>
        </w:rPr>
      </w:pPr>
      <w:r w:rsidRPr="007E6D33">
        <w:rPr>
          <w:rFonts w:ascii="Sylfaen" w:hAnsi="Sylfaen" w:cs="Arial"/>
          <w:lang w:val="ka-GE"/>
        </w:rPr>
        <w:t xml:space="preserve">ITU-T L.78 - ოპტიკურ-ბოჭკოვანი კაბელის კონსტრუქცია </w:t>
      </w:r>
      <w:r w:rsidR="008752C4" w:rsidRPr="007E6D33">
        <w:rPr>
          <w:rFonts w:ascii="Sylfaen" w:hAnsi="Sylfaen" w:cs="Arial"/>
          <w:lang w:val="ka-GE"/>
        </w:rPr>
        <w:t xml:space="preserve">წყალარინების </w:t>
      </w:r>
      <w:r w:rsidRPr="007E6D33">
        <w:rPr>
          <w:rFonts w:ascii="Sylfaen" w:hAnsi="Sylfaen" w:cs="Arial"/>
          <w:lang w:val="ka-GE"/>
        </w:rPr>
        <w:t>არხებისთვის;</w:t>
      </w:r>
    </w:p>
    <w:p w14:paraId="172F7F96" w14:textId="2928203F" w:rsidR="00227593" w:rsidRPr="007E6D33" w:rsidRDefault="00227593" w:rsidP="00AF01C8">
      <w:pPr>
        <w:numPr>
          <w:ilvl w:val="0"/>
          <w:numId w:val="8"/>
        </w:numPr>
        <w:spacing w:line="276" w:lineRule="auto"/>
        <w:ind w:left="270" w:hanging="270"/>
        <w:contextualSpacing/>
        <w:jc w:val="both"/>
        <w:rPr>
          <w:rFonts w:ascii="Sylfaen" w:hAnsi="Sylfaen" w:cs="Arial"/>
          <w:lang w:val="ka-GE"/>
        </w:rPr>
      </w:pPr>
      <w:r w:rsidRPr="007E6D33">
        <w:rPr>
          <w:rFonts w:ascii="Sylfaen" w:hAnsi="Sylfaen"/>
          <w:lang w:val="ka-GE" w:eastAsia="en-GB"/>
        </w:rPr>
        <w:t xml:space="preserve">ITU-T L.108  - ოპტიკურ-ბოჭკოვანი კაბელის ელემენტები მიკრო სადინარებში </w:t>
      </w:r>
      <w:r w:rsidRPr="007E6D33">
        <w:rPr>
          <w:rFonts w:ascii="Sylfaen" w:hAnsi="Sylfaen"/>
          <w:lang w:val="ka-GE"/>
        </w:rPr>
        <w:t xml:space="preserve">ჰაერის წნევის საშუალებით </w:t>
      </w:r>
      <w:r w:rsidR="00C97DD5" w:rsidRPr="007E6D33">
        <w:rPr>
          <w:rFonts w:ascii="Sylfaen" w:hAnsi="Sylfaen"/>
          <w:lang w:val="ka-GE"/>
        </w:rPr>
        <w:t>მონტაჟისთვის;</w:t>
      </w:r>
    </w:p>
    <w:p w14:paraId="6E9B517D" w14:textId="6E361970" w:rsidR="00227593" w:rsidRPr="007E6D33" w:rsidRDefault="00227593" w:rsidP="00AF01C8">
      <w:pPr>
        <w:numPr>
          <w:ilvl w:val="0"/>
          <w:numId w:val="8"/>
        </w:numPr>
        <w:spacing w:line="276" w:lineRule="auto"/>
        <w:ind w:left="270" w:hanging="270"/>
        <w:contextualSpacing/>
        <w:jc w:val="both"/>
        <w:rPr>
          <w:rFonts w:ascii="Sylfaen" w:hAnsi="Sylfaen" w:cs="Arial"/>
          <w:lang w:val="ka-GE"/>
        </w:rPr>
      </w:pPr>
      <w:r w:rsidRPr="007E6D33">
        <w:rPr>
          <w:rFonts w:ascii="Sylfaen" w:hAnsi="Sylfaen"/>
          <w:lang w:val="ka-GE" w:eastAsia="en-GB"/>
        </w:rPr>
        <w:t xml:space="preserve"> ITU-T L.162 - მიკრო სადინარების ტექნოლოგია და მისი გამოყენება.</w:t>
      </w:r>
    </w:p>
    <w:p w14:paraId="23B7FAB8" w14:textId="77777777" w:rsidR="00210127" w:rsidRPr="007E6D33" w:rsidRDefault="00210127" w:rsidP="00AF01C8">
      <w:pPr>
        <w:spacing w:line="276" w:lineRule="auto"/>
        <w:contextualSpacing/>
        <w:jc w:val="both"/>
        <w:rPr>
          <w:rFonts w:ascii="Sylfaen" w:hAnsi="Sylfaen"/>
          <w:lang w:val="ka-GE" w:eastAsia="en-GB"/>
        </w:rPr>
      </w:pPr>
    </w:p>
    <w:p w14:paraId="5CC6FE0C" w14:textId="63598A7E" w:rsidR="00210127" w:rsidRPr="007E6D33" w:rsidRDefault="00210127" w:rsidP="00AF01C8">
      <w:pPr>
        <w:spacing w:line="276" w:lineRule="auto"/>
        <w:contextualSpacing/>
        <w:jc w:val="both"/>
        <w:rPr>
          <w:rFonts w:ascii="Sylfaen" w:hAnsi="Sylfaen" w:cs="Arial"/>
          <w:lang w:val="ka-GE"/>
        </w:rPr>
      </w:pPr>
      <w:r w:rsidRPr="007E6D33">
        <w:rPr>
          <w:rFonts w:ascii="Sylfaen" w:hAnsi="Sylfaen"/>
          <w:lang w:val="ka-GE" w:eastAsia="en-GB"/>
        </w:rPr>
        <w:t>დანართები სტრუქტურულად იყოფა თავებად, სხვადასხვა ტიპის ფიზიკურ ინფრასტრუქტურაზე (მაგ. საჰაერო ინფრასტრუქტურა (ბოძები), წყალარინების არხები, გვირაბები და კოლექტორები და ა.შ.) დაშვების წესების შესაბამისად.</w:t>
      </w:r>
    </w:p>
    <w:p w14:paraId="7BB9FDF5" w14:textId="77777777" w:rsidR="00227593" w:rsidRPr="007E6D33" w:rsidRDefault="00227593" w:rsidP="00AF01C8">
      <w:pPr>
        <w:spacing w:line="276" w:lineRule="auto"/>
        <w:contextualSpacing/>
        <w:jc w:val="both"/>
        <w:rPr>
          <w:rFonts w:ascii="Sylfaen" w:hAnsi="Sylfaen" w:cs="Arial"/>
          <w:lang w:val="ka-GE"/>
        </w:rPr>
      </w:pPr>
    </w:p>
    <w:p w14:paraId="152782B1" w14:textId="2A0A7F58" w:rsidR="00227593" w:rsidRPr="007E6D33" w:rsidRDefault="00C243B9" w:rsidP="00AF01C8">
      <w:pPr>
        <w:spacing w:line="276" w:lineRule="auto"/>
        <w:contextualSpacing/>
        <w:jc w:val="both"/>
        <w:rPr>
          <w:rFonts w:ascii="Sylfaen" w:hAnsi="Sylfaen" w:cs="Arial"/>
          <w:lang w:val="ka-GE"/>
        </w:rPr>
      </w:pPr>
      <w:r w:rsidRPr="007E6D33">
        <w:rPr>
          <w:rFonts w:ascii="Sylfaen" w:hAnsi="Sylfaen" w:cs="Arial"/>
          <w:lang w:val="ka-GE"/>
        </w:rPr>
        <w:t xml:space="preserve">დადგენილები მიღება მიზნად ისახავს კანონით დადგენილი ვალდებულების შესრულებას, რაც თავის მხრივ ხელს შეუწყობს სატელეკომუნიკაციო ინფრასტრუქტურის განვითარებას და </w:t>
      </w:r>
      <w:r w:rsidRPr="007E6D33">
        <w:rPr>
          <w:rFonts w:ascii="Sylfaen" w:hAnsi="Sylfaen" w:cs="Arial"/>
          <w:lang w:val="ka-GE"/>
        </w:rPr>
        <w:lastRenderedPageBreak/>
        <w:t xml:space="preserve">საბოლოო ჯამში დადებითად აისახება სატელეკომუნიკაციო სფეროში კონკურენციაზე. დადგენილების მიღების შემდეგ სატელეკომუნიკაციო ინფრასტრუქტურაზე და სატელეკომუნიკაციო მიზნებისთვის გამოყენებად ფიზიკურ ინფრასტრუქტურაზე ავტორიზებული პირების დაშვება შესაძლებლობას მისცემს </w:t>
      </w:r>
      <w:r w:rsidR="0039322C">
        <w:rPr>
          <w:rFonts w:ascii="Sylfaen" w:hAnsi="Sylfaen" w:cs="Arial"/>
          <w:lang w:val="ka-GE"/>
        </w:rPr>
        <w:t xml:space="preserve">ელექტრონული კომუნიკაციების სფეროში ავტორიზებულ პირებს </w:t>
      </w:r>
      <w:r w:rsidRPr="007E6D33">
        <w:rPr>
          <w:rFonts w:ascii="Sylfaen" w:hAnsi="Sylfaen" w:cs="Arial"/>
          <w:lang w:val="ka-GE"/>
        </w:rPr>
        <w:t xml:space="preserve">ნაკლები დანახარჯებით შეძლონ </w:t>
      </w:r>
      <w:r w:rsidR="0039322C">
        <w:rPr>
          <w:rFonts w:ascii="Sylfaen" w:hAnsi="Sylfaen" w:cs="Arial"/>
          <w:lang w:val="ka-GE"/>
        </w:rPr>
        <w:t>ელექტრონული საკომუნიკაციო</w:t>
      </w:r>
      <w:r w:rsidRPr="007E6D33">
        <w:rPr>
          <w:rFonts w:ascii="Sylfaen" w:hAnsi="Sylfaen" w:cs="Arial"/>
          <w:lang w:val="ka-GE"/>
        </w:rPr>
        <w:t xml:space="preserve"> მომსახურების მიწოდება, რაც გაზრდის როგორც </w:t>
      </w:r>
      <w:r w:rsidR="0039322C">
        <w:rPr>
          <w:rFonts w:ascii="Sylfaen" w:hAnsi="Sylfaen" w:cs="Arial"/>
          <w:lang w:val="ka-GE"/>
        </w:rPr>
        <w:t>ელექტრონული კომუნიკაციების სფეროში ავტორიზებულ პირებს</w:t>
      </w:r>
      <w:r w:rsidRPr="007E6D33">
        <w:rPr>
          <w:rFonts w:ascii="Sylfaen" w:hAnsi="Sylfaen" w:cs="Arial"/>
          <w:lang w:val="ka-GE"/>
        </w:rPr>
        <w:t xml:space="preserve"> შორის კონკურენციას, ასევე მომსახურების მრავალფეროვნებას და ხელმისაწვდომობას, რომელიც დადებითად აისახება სატელეკომუნიკაციო მომსახურების თითოეულ მომხმარებელზე. </w:t>
      </w:r>
    </w:p>
    <w:p w14:paraId="7D0B3424" w14:textId="77777777" w:rsidR="00C243B9" w:rsidRPr="007E6D33" w:rsidRDefault="00C243B9" w:rsidP="00AF01C8">
      <w:pPr>
        <w:spacing w:line="276" w:lineRule="auto"/>
        <w:contextualSpacing/>
        <w:jc w:val="both"/>
        <w:rPr>
          <w:rFonts w:ascii="Sylfaen" w:hAnsi="Sylfaen" w:cs="Arial"/>
          <w:lang w:val="ka-GE"/>
        </w:rPr>
      </w:pPr>
    </w:p>
    <w:p w14:paraId="72A25FA9" w14:textId="5217C878" w:rsidR="00F03108" w:rsidRPr="007E6D33" w:rsidRDefault="00C243B9" w:rsidP="00AF01C8">
      <w:pPr>
        <w:spacing w:before="120" w:after="120" w:line="276" w:lineRule="auto"/>
        <w:jc w:val="both"/>
        <w:rPr>
          <w:rFonts w:ascii="Sylfaen" w:eastAsia="Calibri" w:hAnsi="Sylfaen" w:cs="Times New Roman"/>
          <w:lang w:val="ka-GE"/>
        </w:rPr>
      </w:pPr>
      <w:r w:rsidRPr="007E6D33">
        <w:rPr>
          <w:rFonts w:ascii="Sylfaen" w:eastAsia="Calibri" w:hAnsi="Sylfaen" w:cs="Times New Roman"/>
          <w:lang w:val="ka-GE"/>
        </w:rPr>
        <w:t>დადგენილების მიღება გარკვეულ გავლენას მოახდენს იმ პირთა ფინანსურ მდგომარეობაზე</w:t>
      </w:r>
      <w:r w:rsidR="0034205C" w:rsidRPr="007E6D33">
        <w:rPr>
          <w:rFonts w:ascii="Sylfaen" w:eastAsia="Calibri" w:hAnsi="Sylfaen" w:cs="Times New Roman"/>
          <w:lang w:val="ka-GE"/>
        </w:rPr>
        <w:t>, რომლებზეც გავრცელდება მისი მოქმედება</w:t>
      </w:r>
      <w:r w:rsidRPr="007E6D33">
        <w:rPr>
          <w:rFonts w:ascii="Sylfaen" w:eastAsia="Calibri" w:hAnsi="Sylfaen" w:cs="Times New Roman"/>
          <w:lang w:val="ka-GE"/>
        </w:rPr>
        <w:t>, კერძოდ ინფრასტრუქტურის ოპერატორები მიიღებენ დამატებით შემოსავლებს, საკუთარ ინფრასტრუქტურაზე ავტორიზებული პირების დაშვების შედეგად, ხოლო თავად ავტორიზებულ პირებ</w:t>
      </w:r>
      <w:r w:rsidR="007E6D33">
        <w:rPr>
          <w:rFonts w:ascii="Sylfaen" w:eastAsia="Calibri" w:hAnsi="Sylfaen" w:cs="Times New Roman"/>
          <w:lang w:val="ka-GE"/>
        </w:rPr>
        <w:t>ს შეუმცირდებათ</w:t>
      </w:r>
      <w:r w:rsidRPr="007E6D33">
        <w:rPr>
          <w:rFonts w:ascii="Sylfaen" w:eastAsia="Calibri" w:hAnsi="Sylfaen" w:cs="Times New Roman"/>
          <w:lang w:val="ka-GE"/>
        </w:rPr>
        <w:t xml:space="preserve"> </w:t>
      </w:r>
      <w:r w:rsidR="00EC1BAC" w:rsidRPr="007E6D33">
        <w:rPr>
          <w:rFonts w:ascii="Sylfaen" w:eastAsia="Calibri" w:hAnsi="Sylfaen" w:cs="Times New Roman"/>
          <w:lang w:val="ka-GE"/>
        </w:rPr>
        <w:t>ქსელის აგებისთვის საჭირო კაპიტალური დანახარჯები</w:t>
      </w:r>
      <w:r w:rsidR="007E6D33">
        <w:rPr>
          <w:rFonts w:ascii="Sylfaen" w:eastAsia="Calibri" w:hAnsi="Sylfaen" w:cs="Times New Roman"/>
          <w:lang w:val="ka-GE"/>
        </w:rPr>
        <w:t xml:space="preserve">, რაც მათ საშუალებას მისცემს ნაკლები დანახარჯებით შეძლონ </w:t>
      </w:r>
      <w:r w:rsidR="00EC1BAC" w:rsidRPr="007E6D33">
        <w:rPr>
          <w:rFonts w:ascii="Sylfaen" w:eastAsia="Calibri" w:hAnsi="Sylfaen" w:cs="Times New Roman"/>
          <w:lang w:val="ka-GE"/>
        </w:rPr>
        <w:t>აბონენტებისთვის ელექტრონული საკომუნიკაციო</w:t>
      </w:r>
      <w:r w:rsidRPr="007E6D33">
        <w:rPr>
          <w:rFonts w:ascii="Sylfaen" w:eastAsia="Calibri" w:hAnsi="Sylfaen" w:cs="Times New Roman"/>
          <w:lang w:val="ka-GE"/>
        </w:rPr>
        <w:t xml:space="preserve"> </w:t>
      </w:r>
      <w:r w:rsidR="00EC1BAC" w:rsidRPr="007E6D33">
        <w:rPr>
          <w:rFonts w:ascii="Sylfaen" w:eastAsia="Calibri" w:hAnsi="Sylfaen" w:cs="Times New Roman"/>
          <w:lang w:val="ka-GE"/>
        </w:rPr>
        <w:t>მომსახურების მიწოდება</w:t>
      </w:r>
      <w:r w:rsidR="00F03108" w:rsidRPr="007E6D33">
        <w:rPr>
          <w:rFonts w:ascii="Sylfaen" w:eastAsia="Calibri" w:hAnsi="Sylfaen" w:cs="Times New Roman"/>
          <w:lang w:val="ka-GE"/>
        </w:rPr>
        <w:t>.</w:t>
      </w:r>
    </w:p>
    <w:p w14:paraId="0EDA9942" w14:textId="5595A99A" w:rsidR="00AF71F6" w:rsidRPr="007E6D33" w:rsidRDefault="00F03108" w:rsidP="00AF01C8">
      <w:pPr>
        <w:spacing w:before="120" w:after="120" w:line="276" w:lineRule="auto"/>
        <w:jc w:val="both"/>
        <w:rPr>
          <w:rFonts w:ascii="Sylfaen" w:eastAsia="Calibri" w:hAnsi="Sylfaen" w:cs="Times New Roman"/>
          <w:lang w:val="ka-GE"/>
        </w:rPr>
      </w:pPr>
      <w:r w:rsidRPr="007E6D33">
        <w:rPr>
          <w:rFonts w:ascii="Sylfaen" w:eastAsia="Calibri" w:hAnsi="Sylfaen" w:cs="Times New Roman"/>
          <w:lang w:val="ka-GE"/>
        </w:rPr>
        <w:t>დადგენილების პროექტის ავტორია საქართველოს კომუნიკაციების ეროვნული კომისია.</w:t>
      </w:r>
    </w:p>
    <w:sectPr w:rsidR="00AF71F6" w:rsidRPr="007E6D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9A4E4" w14:textId="77777777" w:rsidR="007476EF" w:rsidRDefault="007476EF" w:rsidP="005231F0">
      <w:pPr>
        <w:spacing w:after="0" w:line="240" w:lineRule="auto"/>
      </w:pPr>
      <w:r>
        <w:separator/>
      </w:r>
    </w:p>
  </w:endnote>
  <w:endnote w:type="continuationSeparator" w:id="0">
    <w:p w14:paraId="7F9EC6B4" w14:textId="77777777" w:rsidR="007476EF" w:rsidRDefault="007476EF" w:rsidP="00523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F5478" w14:textId="77777777" w:rsidR="005231F0" w:rsidRDefault="005231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6E70F" w14:textId="77777777" w:rsidR="005231F0" w:rsidRDefault="005231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3083" w14:textId="77777777" w:rsidR="005231F0" w:rsidRDefault="0052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33517" w14:textId="77777777" w:rsidR="007476EF" w:rsidRDefault="007476EF" w:rsidP="005231F0">
      <w:pPr>
        <w:spacing w:after="0" w:line="240" w:lineRule="auto"/>
      </w:pPr>
      <w:r>
        <w:separator/>
      </w:r>
    </w:p>
  </w:footnote>
  <w:footnote w:type="continuationSeparator" w:id="0">
    <w:p w14:paraId="59316BF1" w14:textId="77777777" w:rsidR="007476EF" w:rsidRDefault="007476EF" w:rsidP="005231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79A8" w14:textId="6022A11C" w:rsidR="005231F0" w:rsidRDefault="005231F0">
    <w:pPr>
      <w:pStyle w:val="Header"/>
    </w:pPr>
    <w:r>
      <w:rPr>
        <w:noProof/>
      </w:rPr>
      <w:pict w14:anchorId="2C5551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52266" o:spid="_x0000_s1026"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0857D" w14:textId="70D00041" w:rsidR="005231F0" w:rsidRDefault="005231F0">
    <w:pPr>
      <w:pStyle w:val="Header"/>
    </w:pPr>
    <w:r>
      <w:rPr>
        <w:noProof/>
      </w:rPr>
      <w:pict w14:anchorId="3D729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52267" o:spid="_x0000_s1027"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B65CF" w14:textId="1881D0EE" w:rsidR="005231F0" w:rsidRDefault="005231F0">
    <w:pPr>
      <w:pStyle w:val="Header"/>
    </w:pPr>
    <w:r>
      <w:rPr>
        <w:noProof/>
      </w:rPr>
      <w:pict w14:anchorId="11558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652265" o:spid="_x0000_s1025"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პროექტი"/>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C01B0"/>
    <w:multiLevelType w:val="hybridMultilevel"/>
    <w:tmpl w:val="C8DE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5B24"/>
    <w:multiLevelType w:val="hybridMultilevel"/>
    <w:tmpl w:val="7836427E"/>
    <w:lvl w:ilvl="0" w:tplc="282EE922">
      <w:start w:val="1"/>
      <w:numFmt w:val="bullet"/>
      <w:lvlText w:val="•"/>
      <w:lvlJc w:val="left"/>
      <w:pPr>
        <w:tabs>
          <w:tab w:val="num" w:pos="720"/>
        </w:tabs>
        <w:ind w:left="720" w:hanging="360"/>
      </w:pPr>
      <w:rPr>
        <w:rFonts w:ascii="Arial" w:hAnsi="Arial" w:hint="default"/>
      </w:rPr>
    </w:lvl>
    <w:lvl w:ilvl="1" w:tplc="3B82717E" w:tentative="1">
      <w:start w:val="1"/>
      <w:numFmt w:val="bullet"/>
      <w:lvlText w:val="•"/>
      <w:lvlJc w:val="left"/>
      <w:pPr>
        <w:tabs>
          <w:tab w:val="num" w:pos="1440"/>
        </w:tabs>
        <w:ind w:left="1440" w:hanging="360"/>
      </w:pPr>
      <w:rPr>
        <w:rFonts w:ascii="Arial" w:hAnsi="Arial" w:hint="default"/>
      </w:rPr>
    </w:lvl>
    <w:lvl w:ilvl="2" w:tplc="89261F58" w:tentative="1">
      <w:start w:val="1"/>
      <w:numFmt w:val="bullet"/>
      <w:lvlText w:val="•"/>
      <w:lvlJc w:val="left"/>
      <w:pPr>
        <w:tabs>
          <w:tab w:val="num" w:pos="2160"/>
        </w:tabs>
        <w:ind w:left="2160" w:hanging="360"/>
      </w:pPr>
      <w:rPr>
        <w:rFonts w:ascii="Arial" w:hAnsi="Arial" w:hint="default"/>
      </w:rPr>
    </w:lvl>
    <w:lvl w:ilvl="3" w:tplc="F6D29170" w:tentative="1">
      <w:start w:val="1"/>
      <w:numFmt w:val="bullet"/>
      <w:lvlText w:val="•"/>
      <w:lvlJc w:val="left"/>
      <w:pPr>
        <w:tabs>
          <w:tab w:val="num" w:pos="2880"/>
        </w:tabs>
        <w:ind w:left="2880" w:hanging="360"/>
      </w:pPr>
      <w:rPr>
        <w:rFonts w:ascii="Arial" w:hAnsi="Arial" w:hint="default"/>
      </w:rPr>
    </w:lvl>
    <w:lvl w:ilvl="4" w:tplc="16620B36" w:tentative="1">
      <w:start w:val="1"/>
      <w:numFmt w:val="bullet"/>
      <w:lvlText w:val="•"/>
      <w:lvlJc w:val="left"/>
      <w:pPr>
        <w:tabs>
          <w:tab w:val="num" w:pos="3600"/>
        </w:tabs>
        <w:ind w:left="3600" w:hanging="360"/>
      </w:pPr>
      <w:rPr>
        <w:rFonts w:ascii="Arial" w:hAnsi="Arial" w:hint="default"/>
      </w:rPr>
    </w:lvl>
    <w:lvl w:ilvl="5" w:tplc="85CA208A" w:tentative="1">
      <w:start w:val="1"/>
      <w:numFmt w:val="bullet"/>
      <w:lvlText w:val="•"/>
      <w:lvlJc w:val="left"/>
      <w:pPr>
        <w:tabs>
          <w:tab w:val="num" w:pos="4320"/>
        </w:tabs>
        <w:ind w:left="4320" w:hanging="360"/>
      </w:pPr>
      <w:rPr>
        <w:rFonts w:ascii="Arial" w:hAnsi="Arial" w:hint="default"/>
      </w:rPr>
    </w:lvl>
    <w:lvl w:ilvl="6" w:tplc="B06E15E6" w:tentative="1">
      <w:start w:val="1"/>
      <w:numFmt w:val="bullet"/>
      <w:lvlText w:val="•"/>
      <w:lvlJc w:val="left"/>
      <w:pPr>
        <w:tabs>
          <w:tab w:val="num" w:pos="5040"/>
        </w:tabs>
        <w:ind w:left="5040" w:hanging="360"/>
      </w:pPr>
      <w:rPr>
        <w:rFonts w:ascii="Arial" w:hAnsi="Arial" w:hint="default"/>
      </w:rPr>
    </w:lvl>
    <w:lvl w:ilvl="7" w:tplc="9F52968E" w:tentative="1">
      <w:start w:val="1"/>
      <w:numFmt w:val="bullet"/>
      <w:lvlText w:val="•"/>
      <w:lvlJc w:val="left"/>
      <w:pPr>
        <w:tabs>
          <w:tab w:val="num" w:pos="5760"/>
        </w:tabs>
        <w:ind w:left="5760" w:hanging="360"/>
      </w:pPr>
      <w:rPr>
        <w:rFonts w:ascii="Arial" w:hAnsi="Arial" w:hint="default"/>
      </w:rPr>
    </w:lvl>
    <w:lvl w:ilvl="8" w:tplc="74D44B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A7F3AD4"/>
    <w:multiLevelType w:val="hybridMultilevel"/>
    <w:tmpl w:val="09EAD4C2"/>
    <w:lvl w:ilvl="0" w:tplc="DA7C7A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439A1"/>
    <w:multiLevelType w:val="hybridMultilevel"/>
    <w:tmpl w:val="1CFC4AB2"/>
    <w:lvl w:ilvl="0" w:tplc="1A2AFEA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0F4461"/>
    <w:multiLevelType w:val="hybridMultilevel"/>
    <w:tmpl w:val="F9DE4B50"/>
    <w:lvl w:ilvl="0" w:tplc="FD821A58">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F0C24"/>
    <w:multiLevelType w:val="hybridMultilevel"/>
    <w:tmpl w:val="79647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F5731B"/>
    <w:multiLevelType w:val="hybridMultilevel"/>
    <w:tmpl w:val="DFDECF40"/>
    <w:lvl w:ilvl="0" w:tplc="392A73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DB7318"/>
    <w:multiLevelType w:val="hybridMultilevel"/>
    <w:tmpl w:val="6C848C9A"/>
    <w:lvl w:ilvl="0" w:tplc="BB9AA5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020827">
    <w:abstractNumId w:val="1"/>
  </w:num>
  <w:num w:numId="2" w16cid:durableId="969360632">
    <w:abstractNumId w:val="4"/>
  </w:num>
  <w:num w:numId="3" w16cid:durableId="276451025">
    <w:abstractNumId w:val="0"/>
  </w:num>
  <w:num w:numId="4" w16cid:durableId="2094082701">
    <w:abstractNumId w:val="7"/>
  </w:num>
  <w:num w:numId="5" w16cid:durableId="498616521">
    <w:abstractNumId w:val="2"/>
  </w:num>
  <w:num w:numId="6" w16cid:durableId="492526271">
    <w:abstractNumId w:val="5"/>
  </w:num>
  <w:num w:numId="7" w16cid:durableId="346520763">
    <w:abstractNumId w:val="6"/>
  </w:num>
  <w:num w:numId="8" w16cid:durableId="1301496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168"/>
    <w:rsid w:val="00007E68"/>
    <w:rsid w:val="00011BBB"/>
    <w:rsid w:val="00021A5F"/>
    <w:rsid w:val="00041E2A"/>
    <w:rsid w:val="000455F9"/>
    <w:rsid w:val="000A74EF"/>
    <w:rsid w:val="00101CE8"/>
    <w:rsid w:val="00121164"/>
    <w:rsid w:val="00134F6C"/>
    <w:rsid w:val="001404BF"/>
    <w:rsid w:val="00177EE9"/>
    <w:rsid w:val="001C1C19"/>
    <w:rsid w:val="001F12AB"/>
    <w:rsid w:val="00210127"/>
    <w:rsid w:val="00223936"/>
    <w:rsid w:val="00227593"/>
    <w:rsid w:val="0027383B"/>
    <w:rsid w:val="00294981"/>
    <w:rsid w:val="002B19EC"/>
    <w:rsid w:val="002E7342"/>
    <w:rsid w:val="002E7430"/>
    <w:rsid w:val="0034205C"/>
    <w:rsid w:val="00350168"/>
    <w:rsid w:val="0039322C"/>
    <w:rsid w:val="003A3AA1"/>
    <w:rsid w:val="003E5818"/>
    <w:rsid w:val="003F0A03"/>
    <w:rsid w:val="004217AC"/>
    <w:rsid w:val="00424611"/>
    <w:rsid w:val="00500AF9"/>
    <w:rsid w:val="005065AA"/>
    <w:rsid w:val="00515CDC"/>
    <w:rsid w:val="005231F0"/>
    <w:rsid w:val="00543A88"/>
    <w:rsid w:val="00584183"/>
    <w:rsid w:val="005C16A4"/>
    <w:rsid w:val="005D29B6"/>
    <w:rsid w:val="005F38B0"/>
    <w:rsid w:val="006250B7"/>
    <w:rsid w:val="006509D0"/>
    <w:rsid w:val="00666CB3"/>
    <w:rsid w:val="006B080D"/>
    <w:rsid w:val="006B4F93"/>
    <w:rsid w:val="006D45DD"/>
    <w:rsid w:val="006E1F0A"/>
    <w:rsid w:val="007476EF"/>
    <w:rsid w:val="007666B9"/>
    <w:rsid w:val="00773495"/>
    <w:rsid w:val="0079107D"/>
    <w:rsid w:val="00795E9F"/>
    <w:rsid w:val="007A7580"/>
    <w:rsid w:val="007B296B"/>
    <w:rsid w:val="007C554A"/>
    <w:rsid w:val="007E6D33"/>
    <w:rsid w:val="007F302D"/>
    <w:rsid w:val="008457DC"/>
    <w:rsid w:val="008752C4"/>
    <w:rsid w:val="008853E6"/>
    <w:rsid w:val="008C0C39"/>
    <w:rsid w:val="00926EC6"/>
    <w:rsid w:val="00945541"/>
    <w:rsid w:val="009E7101"/>
    <w:rsid w:val="00A01375"/>
    <w:rsid w:val="00A11F27"/>
    <w:rsid w:val="00A26106"/>
    <w:rsid w:val="00A32B9C"/>
    <w:rsid w:val="00A41BCB"/>
    <w:rsid w:val="00A73330"/>
    <w:rsid w:val="00AF01C8"/>
    <w:rsid w:val="00AF71F6"/>
    <w:rsid w:val="00B94DCA"/>
    <w:rsid w:val="00C01F78"/>
    <w:rsid w:val="00C16A70"/>
    <w:rsid w:val="00C243B9"/>
    <w:rsid w:val="00C26072"/>
    <w:rsid w:val="00C3049D"/>
    <w:rsid w:val="00C47BDC"/>
    <w:rsid w:val="00C97DD5"/>
    <w:rsid w:val="00CA2168"/>
    <w:rsid w:val="00CB4A6F"/>
    <w:rsid w:val="00D36A3F"/>
    <w:rsid w:val="00D65755"/>
    <w:rsid w:val="00DB3E3C"/>
    <w:rsid w:val="00DC7F07"/>
    <w:rsid w:val="00DD75B3"/>
    <w:rsid w:val="00DE7A11"/>
    <w:rsid w:val="00EC1BAC"/>
    <w:rsid w:val="00ED2002"/>
    <w:rsid w:val="00F00037"/>
    <w:rsid w:val="00F03108"/>
    <w:rsid w:val="00F17556"/>
    <w:rsid w:val="00F74C72"/>
    <w:rsid w:val="00F7563A"/>
    <w:rsid w:val="00F87EAD"/>
    <w:rsid w:val="00F9398E"/>
    <w:rsid w:val="00FC39C4"/>
    <w:rsid w:val="00FD2F39"/>
    <w:rsid w:val="00FE0D54"/>
    <w:rsid w:val="00FE64A8"/>
    <w:rsid w:val="00FF6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CA0FB"/>
  <w15:chartTrackingRefBased/>
  <w15:docId w15:val="{95FF2FB8-60AC-4E0A-8035-012603E2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183"/>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DC7F07"/>
    <w:pPr>
      <w:spacing w:after="0" w:line="240" w:lineRule="auto"/>
    </w:pPr>
  </w:style>
  <w:style w:type="character" w:styleId="CommentReference">
    <w:name w:val="annotation reference"/>
    <w:basedOn w:val="DefaultParagraphFont"/>
    <w:uiPriority w:val="99"/>
    <w:semiHidden/>
    <w:unhideWhenUsed/>
    <w:rsid w:val="00666CB3"/>
    <w:rPr>
      <w:sz w:val="16"/>
      <w:szCs w:val="16"/>
    </w:rPr>
  </w:style>
  <w:style w:type="paragraph" w:styleId="CommentText">
    <w:name w:val="annotation text"/>
    <w:basedOn w:val="Normal"/>
    <w:link w:val="CommentTextChar"/>
    <w:uiPriority w:val="99"/>
    <w:unhideWhenUsed/>
    <w:rsid w:val="00666CB3"/>
    <w:pPr>
      <w:spacing w:line="240" w:lineRule="auto"/>
    </w:pPr>
    <w:rPr>
      <w:sz w:val="20"/>
      <w:szCs w:val="20"/>
    </w:rPr>
  </w:style>
  <w:style w:type="character" w:customStyle="1" w:styleId="CommentTextChar">
    <w:name w:val="Comment Text Char"/>
    <w:basedOn w:val="DefaultParagraphFont"/>
    <w:link w:val="CommentText"/>
    <w:uiPriority w:val="99"/>
    <w:rsid w:val="00666CB3"/>
    <w:rPr>
      <w:sz w:val="20"/>
      <w:szCs w:val="20"/>
    </w:rPr>
  </w:style>
  <w:style w:type="character" w:styleId="Hyperlink">
    <w:name w:val="Hyperlink"/>
    <w:basedOn w:val="DefaultParagraphFont"/>
    <w:uiPriority w:val="99"/>
    <w:semiHidden/>
    <w:unhideWhenUsed/>
    <w:rsid w:val="00666CB3"/>
    <w:rPr>
      <w:color w:val="0000FF"/>
      <w:u w:val="single"/>
    </w:rPr>
  </w:style>
  <w:style w:type="paragraph" w:customStyle="1" w:styleId="abzacixml">
    <w:name w:val="abzacixml"/>
    <w:basedOn w:val="Normal"/>
    <w:rsid w:val="00D36A3F"/>
    <w:pPr>
      <w:spacing w:after="0" w:line="240" w:lineRule="auto"/>
      <w:ind w:firstLine="283"/>
      <w:jc w:val="both"/>
    </w:pPr>
    <w:rPr>
      <w:rFonts w:ascii="Times New Roman" w:eastAsiaTheme="minorEastAsia" w:hAnsi="Times New Roman" w:cs="Times New Roman"/>
    </w:rPr>
  </w:style>
  <w:style w:type="character" w:customStyle="1" w:styleId="cf01">
    <w:name w:val="cf01"/>
    <w:basedOn w:val="DefaultParagraphFont"/>
    <w:rsid w:val="00011BBB"/>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A01375"/>
    <w:rPr>
      <w:b/>
      <w:bCs/>
    </w:rPr>
  </w:style>
  <w:style w:type="character" w:customStyle="1" w:styleId="CommentSubjectChar">
    <w:name w:val="Comment Subject Char"/>
    <w:basedOn w:val="CommentTextChar"/>
    <w:link w:val="CommentSubject"/>
    <w:uiPriority w:val="99"/>
    <w:semiHidden/>
    <w:rsid w:val="00A01375"/>
    <w:rPr>
      <w:b/>
      <w:bCs/>
      <w:sz w:val="20"/>
      <w:szCs w:val="20"/>
    </w:rPr>
  </w:style>
  <w:style w:type="paragraph" w:styleId="NormalWeb">
    <w:name w:val="Normal (Web)"/>
    <w:basedOn w:val="Normal"/>
    <w:uiPriority w:val="99"/>
    <w:unhideWhenUsed/>
    <w:rsid w:val="00041E2A"/>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f0">
    <w:name w:val="pf0"/>
    <w:basedOn w:val="Normal"/>
    <w:rsid w:val="00F756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F7563A"/>
    <w:rPr>
      <w:rFonts w:ascii="Segoe UI" w:hAnsi="Segoe UI" w:cs="Segoe UI" w:hint="default"/>
      <w:b/>
      <w:bCs/>
      <w:color w:val="202122"/>
      <w:sz w:val="18"/>
      <w:szCs w:val="18"/>
      <w:shd w:val="clear" w:color="auto" w:fill="FFFFFF"/>
    </w:rPr>
  </w:style>
  <w:style w:type="character" w:customStyle="1" w:styleId="cf21">
    <w:name w:val="cf21"/>
    <w:basedOn w:val="DefaultParagraphFont"/>
    <w:rsid w:val="00F7563A"/>
    <w:rPr>
      <w:rFonts w:ascii="Segoe UI" w:hAnsi="Segoe UI" w:cs="Segoe UI" w:hint="default"/>
      <w:sz w:val="18"/>
      <w:szCs w:val="18"/>
    </w:rPr>
  </w:style>
  <w:style w:type="paragraph" w:styleId="Header">
    <w:name w:val="header"/>
    <w:basedOn w:val="Normal"/>
    <w:link w:val="HeaderChar"/>
    <w:uiPriority w:val="99"/>
    <w:unhideWhenUsed/>
    <w:rsid w:val="00523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1F0"/>
  </w:style>
  <w:style w:type="paragraph" w:styleId="Footer">
    <w:name w:val="footer"/>
    <w:basedOn w:val="Normal"/>
    <w:link w:val="FooterChar"/>
    <w:uiPriority w:val="99"/>
    <w:unhideWhenUsed/>
    <w:rsid w:val="00523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5953">
      <w:bodyDiv w:val="1"/>
      <w:marLeft w:val="0"/>
      <w:marRight w:val="0"/>
      <w:marTop w:val="0"/>
      <w:marBottom w:val="0"/>
      <w:divBdr>
        <w:top w:val="none" w:sz="0" w:space="0" w:color="auto"/>
        <w:left w:val="none" w:sz="0" w:space="0" w:color="auto"/>
        <w:bottom w:val="none" w:sz="0" w:space="0" w:color="auto"/>
        <w:right w:val="none" w:sz="0" w:space="0" w:color="auto"/>
      </w:divBdr>
    </w:div>
    <w:div w:id="350306699">
      <w:bodyDiv w:val="1"/>
      <w:marLeft w:val="0"/>
      <w:marRight w:val="0"/>
      <w:marTop w:val="0"/>
      <w:marBottom w:val="0"/>
      <w:divBdr>
        <w:top w:val="none" w:sz="0" w:space="0" w:color="auto"/>
        <w:left w:val="none" w:sz="0" w:space="0" w:color="auto"/>
        <w:bottom w:val="none" w:sz="0" w:space="0" w:color="auto"/>
        <w:right w:val="none" w:sz="0" w:space="0" w:color="auto"/>
      </w:divBdr>
    </w:div>
    <w:div w:id="1079332270">
      <w:bodyDiv w:val="1"/>
      <w:marLeft w:val="0"/>
      <w:marRight w:val="0"/>
      <w:marTop w:val="0"/>
      <w:marBottom w:val="0"/>
      <w:divBdr>
        <w:top w:val="none" w:sz="0" w:space="0" w:color="auto"/>
        <w:left w:val="none" w:sz="0" w:space="0" w:color="auto"/>
        <w:bottom w:val="none" w:sz="0" w:space="0" w:color="auto"/>
        <w:right w:val="none" w:sz="0" w:space="0" w:color="auto"/>
      </w:divBdr>
    </w:div>
    <w:div w:id="1438984235">
      <w:bodyDiv w:val="1"/>
      <w:marLeft w:val="0"/>
      <w:marRight w:val="0"/>
      <w:marTop w:val="0"/>
      <w:marBottom w:val="0"/>
      <w:divBdr>
        <w:top w:val="none" w:sz="0" w:space="0" w:color="auto"/>
        <w:left w:val="none" w:sz="0" w:space="0" w:color="auto"/>
        <w:bottom w:val="none" w:sz="0" w:space="0" w:color="auto"/>
        <w:right w:val="none" w:sz="0" w:space="0" w:color="auto"/>
      </w:divBdr>
    </w:div>
    <w:div w:id="1526674384">
      <w:bodyDiv w:val="1"/>
      <w:marLeft w:val="0"/>
      <w:marRight w:val="0"/>
      <w:marTop w:val="0"/>
      <w:marBottom w:val="0"/>
      <w:divBdr>
        <w:top w:val="none" w:sz="0" w:space="0" w:color="auto"/>
        <w:left w:val="none" w:sz="0" w:space="0" w:color="auto"/>
        <w:bottom w:val="none" w:sz="0" w:space="0" w:color="auto"/>
        <w:right w:val="none" w:sz="0" w:space="0" w:color="auto"/>
      </w:divBdr>
      <w:divsChild>
        <w:div w:id="121746981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6198-BDAD-4BEC-A4F1-93BF9172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Khukhunaishvili</dc:creator>
  <cp:keywords/>
  <dc:description/>
  <cp:lastModifiedBy>I.B.</cp:lastModifiedBy>
  <cp:revision>10</cp:revision>
  <dcterms:created xsi:type="dcterms:W3CDTF">2024-04-05T13:04:00Z</dcterms:created>
  <dcterms:modified xsi:type="dcterms:W3CDTF">2024-04-19T07:52:00Z</dcterms:modified>
</cp:coreProperties>
</file>