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8F13" w14:textId="648118EC" w:rsidR="006F5E6F" w:rsidRPr="001C324C" w:rsidRDefault="00261064" w:rsidP="000D7CEA">
      <w:pPr>
        <w:jc w:val="center"/>
        <w:rPr>
          <w:rFonts w:ascii="Sylfaen" w:hAnsi="Sylfaen"/>
          <w:b/>
          <w:bCs/>
          <w:lang w:val="ka-GE"/>
        </w:rPr>
      </w:pPr>
      <w:r>
        <w:rPr>
          <w:rFonts w:ascii="Sylfaen" w:hAnsi="Sylfaen"/>
          <w:b/>
          <w:bCs/>
          <w:lang w:val="ka-GE"/>
        </w:rPr>
        <w:t>„</w:t>
      </w:r>
      <w:r w:rsidRPr="00261064">
        <w:rPr>
          <w:rFonts w:ascii="Sylfaen" w:hAnsi="Sylfaen"/>
          <w:b/>
          <w:bCs/>
          <w:lang w:val="ka-GE"/>
        </w:rPr>
        <w:t>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w:t>
      </w:r>
      <w:r>
        <w:rPr>
          <w:rFonts w:ascii="Sylfaen" w:hAnsi="Sylfaen"/>
          <w:b/>
          <w:bCs/>
          <w:lang w:val="ka-GE"/>
        </w:rPr>
        <w:t>ისა</w:t>
      </w:r>
      <w:r w:rsidRPr="00261064">
        <w:rPr>
          <w:rFonts w:ascii="Sylfaen" w:hAnsi="Sylfaen"/>
          <w:b/>
          <w:bCs/>
          <w:lang w:val="ka-GE"/>
        </w:rPr>
        <w:t xml:space="preserve"> და პროცედურები</w:t>
      </w:r>
      <w:r>
        <w:rPr>
          <w:rFonts w:ascii="Sylfaen" w:hAnsi="Sylfaen"/>
          <w:b/>
          <w:bCs/>
          <w:lang w:val="ka-GE"/>
        </w:rPr>
        <w:t>ს დამტკიცების თაობაზე</w:t>
      </w:r>
      <w:r w:rsidRPr="00261064">
        <w:rPr>
          <w:rFonts w:ascii="Sylfaen" w:hAnsi="Sylfaen"/>
          <w:b/>
          <w:bCs/>
          <w:lang w:val="ka-GE"/>
        </w:rPr>
        <w:t xml:space="preserve">" </w:t>
      </w:r>
      <w:r w:rsidR="009D2A21">
        <w:rPr>
          <w:rFonts w:ascii="Sylfaen" w:hAnsi="Sylfaen"/>
          <w:b/>
          <w:bCs/>
          <w:lang w:val="ka-GE"/>
        </w:rPr>
        <w:t>საქართველოს კომუნიკაციების ეროვნული კომისიის დადგენილების მიღებისა და</w:t>
      </w:r>
      <w:r w:rsidR="00336060">
        <w:rPr>
          <w:rFonts w:ascii="Sylfaen" w:hAnsi="Sylfaen"/>
          <w:b/>
          <w:bCs/>
          <w:lang w:val="ka-GE"/>
        </w:rPr>
        <w:t xml:space="preserve"> </w:t>
      </w:r>
      <w:r w:rsidR="00DB7290" w:rsidRPr="00DB7290">
        <w:rPr>
          <w:rFonts w:ascii="Sylfaen" w:hAnsi="Sylfaen"/>
          <w:b/>
          <w:bCs/>
          <w:lang w:val="ka-GE"/>
        </w:rPr>
        <w:t xml:space="preserve">,,მომსახურების ბაზრის შესაბამისი სეგმენტების განსაზღვრისა და კონკურენტუნარიანობის ანალიზის მეთოდოლოგიური წესების დამტკიცების თაობაზე“ საქართველოს კომუნიკაციების ეროვნული კომისიის 2007 წლის 31 აგვისტოს N5 დადგენილებაში ცვლილების </w:t>
      </w:r>
      <w:r w:rsidR="00332B3A">
        <w:rPr>
          <w:rFonts w:ascii="Sylfaen" w:hAnsi="Sylfaen"/>
          <w:b/>
          <w:bCs/>
          <w:lang w:val="ka-GE"/>
        </w:rPr>
        <w:t xml:space="preserve">შეტანის </w:t>
      </w:r>
      <w:r w:rsidR="0023395C" w:rsidRPr="001C324C">
        <w:rPr>
          <w:rFonts w:ascii="Sylfaen" w:hAnsi="Sylfaen"/>
          <w:b/>
          <w:bCs/>
          <w:lang w:val="ka-GE"/>
        </w:rPr>
        <w:t>მიზნით საჯარო ადმინისტრაციული წარმოების დაწყების შესახებ</w:t>
      </w:r>
    </w:p>
    <w:p w14:paraId="1541E163" w14:textId="77777777" w:rsidR="00230CB2" w:rsidRDefault="00230CB2" w:rsidP="00674AC6">
      <w:pPr>
        <w:jc w:val="both"/>
        <w:rPr>
          <w:rFonts w:ascii="Sylfaen" w:hAnsi="Sylfaen"/>
          <w:lang w:val="ka-GE"/>
        </w:rPr>
      </w:pPr>
    </w:p>
    <w:p w14:paraId="2AA5368F" w14:textId="3690CAE3" w:rsidR="00CD0B9B" w:rsidRDefault="00C55796" w:rsidP="00511678">
      <w:pPr>
        <w:jc w:val="both"/>
        <w:rPr>
          <w:rFonts w:ascii="Sylfaen" w:hAnsi="Sylfaen"/>
          <w:lang w:val="ka-GE"/>
        </w:rPr>
      </w:pPr>
      <w:r>
        <w:rPr>
          <w:rFonts w:ascii="Sylfaen" w:hAnsi="Sylfaen"/>
          <w:lang w:val="ka-GE"/>
        </w:rPr>
        <w:t>მოქმედი კანონმდებლობის შესაბამისად,</w:t>
      </w:r>
      <w:r w:rsidR="00230CB2">
        <w:rPr>
          <w:rFonts w:ascii="Sylfaen" w:hAnsi="Sylfaen"/>
          <w:lang w:val="ka-GE"/>
        </w:rPr>
        <w:t xml:space="preserve"> </w:t>
      </w:r>
      <w:r w:rsidR="00230CB2" w:rsidRPr="00230CB2">
        <w:rPr>
          <w:rFonts w:ascii="Sylfaen" w:hAnsi="Sylfaen"/>
          <w:lang w:val="ka-GE"/>
        </w:rPr>
        <w:t>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w:t>
      </w:r>
      <w:r w:rsidR="001C62F8">
        <w:rPr>
          <w:rFonts w:ascii="Sylfaen" w:hAnsi="Sylfaen"/>
          <w:lang w:val="ka-GE"/>
        </w:rPr>
        <w:t xml:space="preserve">ა ხორციელდება </w:t>
      </w:r>
      <w:r w:rsidR="006E65B7">
        <w:rPr>
          <w:rFonts w:ascii="Sylfaen" w:hAnsi="Sylfaen"/>
          <w:lang w:val="ka-GE"/>
        </w:rPr>
        <w:t xml:space="preserve">„ელექტრონული კომუნიკაციების შესახებ“ საქართველოს კანონითა და </w:t>
      </w:r>
      <w:r>
        <w:rPr>
          <w:rFonts w:ascii="Sylfaen" w:hAnsi="Sylfaen"/>
          <w:lang w:val="ka-GE"/>
        </w:rPr>
        <w:t>„</w:t>
      </w:r>
      <w:r w:rsidRPr="001C62F8">
        <w:rPr>
          <w:rFonts w:ascii="Sylfaen" w:hAnsi="Sylfaen"/>
          <w:lang w:val="ka-GE"/>
        </w:rPr>
        <w:t xml:space="preserve">მომსახურების </w:t>
      </w:r>
      <w:r w:rsidR="001C62F8" w:rsidRPr="001C62F8">
        <w:rPr>
          <w:rFonts w:ascii="Sylfaen" w:hAnsi="Sylfaen"/>
          <w:lang w:val="ka-GE"/>
        </w:rPr>
        <w:t>ბაზრის შესაბამისი სეგმენტების განსაზღვრისა და კონკურენტუნარიანობის ანალიზის მეთოდოლოგიური წესების დამტკიცების თაობაზე“ საქართველოს კომუნიკაციების ეროვნული კომისიის 2007 წლის 31 აგვისტოს N5 დადგენილებ</w:t>
      </w:r>
      <w:r w:rsidR="001C62F8">
        <w:rPr>
          <w:rFonts w:ascii="Sylfaen" w:hAnsi="Sylfaen"/>
          <w:lang w:val="ka-GE"/>
        </w:rPr>
        <w:t xml:space="preserve">ით </w:t>
      </w:r>
      <w:r w:rsidR="002517BF">
        <w:rPr>
          <w:rFonts w:ascii="Sylfaen" w:hAnsi="Sylfaen"/>
          <w:lang w:val="ka-GE"/>
        </w:rPr>
        <w:t>(შემდგომში - დადგენილება</w:t>
      </w:r>
      <w:r w:rsidR="00623EA9">
        <w:rPr>
          <w:rFonts w:ascii="Sylfaen" w:hAnsi="Sylfaen"/>
          <w:lang w:val="ka-GE"/>
        </w:rPr>
        <w:t>/მოქმედი დადგენილება</w:t>
      </w:r>
      <w:r w:rsidR="002517BF">
        <w:rPr>
          <w:rFonts w:ascii="Sylfaen" w:hAnsi="Sylfaen"/>
          <w:lang w:val="ka-GE"/>
        </w:rPr>
        <w:t xml:space="preserve">) </w:t>
      </w:r>
      <w:r w:rsidR="001C62F8">
        <w:rPr>
          <w:rFonts w:ascii="Sylfaen" w:hAnsi="Sylfaen"/>
          <w:lang w:val="ka-GE"/>
        </w:rPr>
        <w:t>დამტკიცებულ</w:t>
      </w:r>
      <w:r w:rsidR="002B3FDE">
        <w:rPr>
          <w:rFonts w:ascii="Sylfaen" w:hAnsi="Sylfaen"/>
          <w:lang w:val="ka-GE"/>
        </w:rPr>
        <w:t xml:space="preserve">ი წესების მიხედვით. </w:t>
      </w:r>
    </w:p>
    <w:p w14:paraId="09F1DDF0" w14:textId="77777777" w:rsidR="00C9198C" w:rsidRDefault="00374AD8" w:rsidP="00580F31">
      <w:pPr>
        <w:jc w:val="both"/>
        <w:rPr>
          <w:rFonts w:ascii="Sylfaen" w:hAnsi="Sylfaen"/>
          <w:lang w:val="ka-GE"/>
        </w:rPr>
      </w:pPr>
      <w:r>
        <w:rPr>
          <w:rFonts w:ascii="Sylfaen" w:hAnsi="Sylfaen"/>
          <w:lang w:val="ka-GE"/>
        </w:rPr>
        <w:t>გასათვალისწინებელია ის გარემოება</w:t>
      </w:r>
      <w:r w:rsidR="00F63268">
        <w:rPr>
          <w:rFonts w:ascii="Sylfaen" w:hAnsi="Sylfaen"/>
          <w:lang w:val="ka-GE"/>
        </w:rPr>
        <w:t>,</w:t>
      </w:r>
      <w:r>
        <w:rPr>
          <w:rFonts w:ascii="Sylfaen" w:hAnsi="Sylfaen"/>
          <w:lang w:val="ka-GE"/>
        </w:rPr>
        <w:t xml:space="preserve"> რომ 2007 წლის შემდეგ სატელეკომუნიკაციო სექტორმა მნიშვნელოვანი ტრანსფორმაცია განიცადა</w:t>
      </w:r>
      <w:r w:rsidR="00C7020D">
        <w:rPr>
          <w:rFonts w:ascii="Sylfaen" w:hAnsi="Sylfaen"/>
          <w:lang w:val="ka-GE"/>
        </w:rPr>
        <w:t xml:space="preserve"> </w:t>
      </w:r>
      <w:r>
        <w:rPr>
          <w:rFonts w:ascii="Sylfaen" w:hAnsi="Sylfaen"/>
          <w:lang w:val="ka-GE"/>
        </w:rPr>
        <w:t>ადგილობრივ</w:t>
      </w:r>
      <w:r w:rsidR="00C55796">
        <w:rPr>
          <w:rFonts w:ascii="Sylfaen" w:hAnsi="Sylfaen"/>
          <w:lang w:val="ka-GE"/>
        </w:rPr>
        <w:t>, რეგიონალურ და გლობალურ</w:t>
      </w:r>
      <w:r>
        <w:rPr>
          <w:rFonts w:ascii="Sylfaen" w:hAnsi="Sylfaen"/>
          <w:lang w:val="ka-GE"/>
        </w:rPr>
        <w:t xml:space="preserve"> დონეზე</w:t>
      </w:r>
      <w:r w:rsidR="00C55796">
        <w:rPr>
          <w:rFonts w:ascii="Sylfaen" w:hAnsi="Sylfaen"/>
          <w:lang w:val="ka-GE"/>
        </w:rPr>
        <w:t>. შესაბამისად,</w:t>
      </w:r>
      <w:r w:rsidR="0041656A">
        <w:rPr>
          <w:rFonts w:ascii="Sylfaen" w:hAnsi="Sylfaen"/>
          <w:lang w:val="ka-GE"/>
        </w:rPr>
        <w:t xml:space="preserve"> როგორც პრაქტიკული</w:t>
      </w:r>
      <w:r w:rsidR="00F63268">
        <w:rPr>
          <w:rFonts w:ascii="Sylfaen" w:hAnsi="Sylfaen"/>
          <w:lang w:val="ka-GE"/>
        </w:rPr>
        <w:t>,</w:t>
      </w:r>
      <w:r w:rsidR="0041656A">
        <w:rPr>
          <w:rFonts w:ascii="Sylfaen" w:hAnsi="Sylfaen"/>
          <w:lang w:val="ka-GE"/>
        </w:rPr>
        <w:t xml:space="preserve"> ასევე, </w:t>
      </w:r>
      <w:r w:rsidR="00F63268">
        <w:rPr>
          <w:rFonts w:ascii="Sylfaen" w:hAnsi="Sylfaen"/>
          <w:lang w:val="ka-GE"/>
        </w:rPr>
        <w:t xml:space="preserve">მოქმედი </w:t>
      </w:r>
      <w:r w:rsidR="0041656A">
        <w:rPr>
          <w:rFonts w:ascii="Sylfaen" w:hAnsi="Sylfaen"/>
          <w:lang w:val="ka-GE"/>
        </w:rPr>
        <w:t xml:space="preserve">სამართლებრივი ჩარჩოს დახვეწის თვალსაზრისით გამოიკვეთა მთელი რიგი მნიშვნელოვანი </w:t>
      </w:r>
      <w:r w:rsidR="00F63268">
        <w:rPr>
          <w:rFonts w:ascii="Sylfaen" w:hAnsi="Sylfaen"/>
          <w:lang w:val="ka-GE"/>
        </w:rPr>
        <w:t>ცვლილებების განხორციელების საჭიროება</w:t>
      </w:r>
      <w:r w:rsidR="0041656A">
        <w:rPr>
          <w:rFonts w:ascii="Sylfaen" w:hAnsi="Sylfaen"/>
          <w:lang w:val="ka-GE"/>
        </w:rPr>
        <w:t xml:space="preserve">. </w:t>
      </w:r>
    </w:p>
    <w:p w14:paraId="3286F925" w14:textId="4A8275E6" w:rsidR="00876C91" w:rsidRDefault="00374AD8" w:rsidP="00580F31">
      <w:pPr>
        <w:jc w:val="both"/>
        <w:rPr>
          <w:rFonts w:ascii="Sylfaen" w:hAnsi="Sylfaen"/>
          <w:lang w:val="ka-GE"/>
        </w:rPr>
      </w:pPr>
      <w:r>
        <w:rPr>
          <w:rFonts w:ascii="Sylfaen" w:hAnsi="Sylfaen"/>
          <w:lang w:val="ka-GE"/>
        </w:rPr>
        <w:t xml:space="preserve"> </w:t>
      </w:r>
      <w:r w:rsidR="00C55796">
        <w:rPr>
          <w:rFonts w:ascii="Sylfaen" w:hAnsi="Sylfaen"/>
          <w:lang w:val="ka-GE"/>
        </w:rPr>
        <w:t>კომისია მუდმივად მუშაობს საკუთარი საქმიანობის მომწესრიგებელი აქტების დახვეწაზე, განვითარებასა და საერთაშორისო სტანდარტებთან შესაბამისობაშ</w:t>
      </w:r>
      <w:r w:rsidR="00760011">
        <w:rPr>
          <w:rFonts w:ascii="Sylfaen" w:hAnsi="Sylfaen"/>
          <w:lang w:val="ka-GE"/>
        </w:rPr>
        <w:t>ი</w:t>
      </w:r>
      <w:r w:rsidR="00C55796">
        <w:rPr>
          <w:rFonts w:ascii="Sylfaen" w:hAnsi="Sylfaen"/>
          <w:lang w:val="ka-GE"/>
        </w:rPr>
        <w:t xml:space="preserve"> მოყვანაზე. </w:t>
      </w:r>
      <w:r w:rsidR="00580F31" w:rsidRPr="00A33C7B">
        <w:rPr>
          <w:rFonts w:ascii="Sylfaen" w:hAnsi="Sylfaen"/>
          <w:lang w:val="ka-GE"/>
        </w:rPr>
        <w:t xml:space="preserve">2019 წელს </w:t>
      </w:r>
      <w:r w:rsidR="00580F31" w:rsidRPr="00965A17">
        <w:rPr>
          <w:rFonts w:ascii="Sylfaen" w:hAnsi="Sylfaen"/>
          <w:lang w:val="ka-GE"/>
        </w:rPr>
        <w:t>EBRD</w:t>
      </w:r>
      <w:r w:rsidR="00580F31" w:rsidRPr="00A33C7B">
        <w:rPr>
          <w:rFonts w:ascii="Sylfaen" w:hAnsi="Sylfaen"/>
          <w:lang w:val="ka-GE"/>
        </w:rPr>
        <w:t>-ის დაფინანსებით განხორციელდა პროექტი, რომლის ფარგლებშიც შემუშავდა ბაზრის ანალიზის მეთოდოლოგიური წესების სამუშაო დოკუმენტი</w:t>
      </w:r>
      <w:r w:rsidR="00AC04BD">
        <w:rPr>
          <w:rFonts w:ascii="Sylfaen" w:hAnsi="Sylfaen"/>
          <w:lang w:val="ka-GE"/>
        </w:rPr>
        <w:t xml:space="preserve"> (</w:t>
      </w:r>
      <w:r w:rsidR="00580F31" w:rsidRPr="00A33C7B">
        <w:rPr>
          <w:rFonts w:ascii="Sylfaen" w:hAnsi="Sylfaen"/>
          <w:lang w:val="ka-GE"/>
        </w:rPr>
        <w:t xml:space="preserve">რომლის გადახედვა განხორციელდა  ევროკავშირის საჯარო სამსახურების დაძმობილების პროგრამის (Twinning) შემფასებელo მისიის (Twinning Review Mission) </w:t>
      </w:r>
      <w:r w:rsidR="00AC04BD">
        <w:rPr>
          <w:rFonts w:ascii="Sylfaen" w:hAnsi="Sylfaen"/>
          <w:lang w:val="ka-GE"/>
        </w:rPr>
        <w:t xml:space="preserve">და </w:t>
      </w:r>
      <w:r w:rsidR="00AC04BD" w:rsidRPr="00A33C7B">
        <w:rPr>
          <w:rFonts w:ascii="Sylfaen" w:hAnsi="Sylfaen"/>
          <w:lang w:val="ka-GE"/>
        </w:rPr>
        <w:t xml:space="preserve">TAIEX-ის მისიის </w:t>
      </w:r>
      <w:r w:rsidR="00580F31" w:rsidRPr="00A33C7B">
        <w:rPr>
          <w:rFonts w:ascii="Sylfaen" w:hAnsi="Sylfaen"/>
          <w:lang w:val="ka-GE"/>
        </w:rPr>
        <w:t>ფარგლებში</w:t>
      </w:r>
      <w:r w:rsidR="008B07DE">
        <w:rPr>
          <w:rFonts w:ascii="Sylfaen" w:hAnsi="Sylfaen"/>
          <w:lang w:val="ka-GE"/>
        </w:rPr>
        <w:t>,</w:t>
      </w:r>
      <w:r w:rsidR="006F05AC">
        <w:rPr>
          <w:rFonts w:ascii="Sylfaen" w:hAnsi="Sylfaen"/>
          <w:lang w:val="ka-GE"/>
        </w:rPr>
        <w:t xml:space="preserve"> </w:t>
      </w:r>
      <w:r w:rsidR="008B07DE" w:rsidRPr="00A33C7B">
        <w:rPr>
          <w:rFonts w:ascii="Sylfaen" w:hAnsi="Sylfaen"/>
          <w:lang w:val="ka-GE"/>
        </w:rPr>
        <w:t>2021</w:t>
      </w:r>
      <w:r w:rsidR="008B07DE">
        <w:rPr>
          <w:rFonts w:ascii="Sylfaen" w:hAnsi="Sylfaen"/>
          <w:lang w:val="ka-GE"/>
        </w:rPr>
        <w:t>-2023</w:t>
      </w:r>
      <w:r w:rsidR="008B07DE" w:rsidRPr="00A33C7B">
        <w:rPr>
          <w:rFonts w:ascii="Sylfaen" w:hAnsi="Sylfaen"/>
          <w:lang w:val="ka-GE"/>
        </w:rPr>
        <w:t xml:space="preserve"> წ</w:t>
      </w:r>
      <w:r w:rsidR="008B07DE">
        <w:rPr>
          <w:rFonts w:ascii="Sylfaen" w:hAnsi="Sylfaen"/>
          <w:lang w:val="ka-GE"/>
        </w:rPr>
        <w:t xml:space="preserve">ლებში) </w:t>
      </w:r>
      <w:r w:rsidR="00AC67DF">
        <w:rPr>
          <w:rFonts w:ascii="Sylfaen" w:hAnsi="Sylfaen"/>
          <w:lang w:val="ka-GE"/>
        </w:rPr>
        <w:t>და</w:t>
      </w:r>
      <w:r w:rsidR="00B9637C">
        <w:rPr>
          <w:rFonts w:ascii="Sylfaen" w:hAnsi="Sylfaen"/>
          <w:lang w:val="ka-GE"/>
        </w:rPr>
        <w:t xml:space="preserve"> ექსპერტებთან კონსულტაციების შედეგად,</w:t>
      </w:r>
      <w:r w:rsidR="008837EA">
        <w:rPr>
          <w:rFonts w:ascii="Sylfaen" w:hAnsi="Sylfaen"/>
          <w:lang w:val="ka-GE"/>
        </w:rPr>
        <w:t xml:space="preserve"> კომისიის მიერ მიღებულ იქნა გადაწყვეტილება საკანონმდებლო ცვლილებების განხორციელებამდე</w:t>
      </w:r>
      <w:r w:rsidR="00ED17D1">
        <w:rPr>
          <w:rFonts w:ascii="Sylfaen" w:hAnsi="Sylfaen"/>
          <w:lang w:val="ka-GE"/>
        </w:rPr>
        <w:t xml:space="preserve">, </w:t>
      </w:r>
      <w:r w:rsidR="006E6093">
        <w:rPr>
          <w:rFonts w:ascii="Sylfaen" w:hAnsi="Sylfaen"/>
          <w:lang w:val="ka-GE"/>
        </w:rPr>
        <w:t xml:space="preserve">ევროკავშირის სამართლის და საუკეთესო პრაქტიკის ძირითადი </w:t>
      </w:r>
      <w:r w:rsidR="00760011">
        <w:rPr>
          <w:rFonts w:ascii="Sylfaen" w:hAnsi="Sylfaen"/>
          <w:lang w:val="ka-GE"/>
        </w:rPr>
        <w:t>პრინციპების</w:t>
      </w:r>
      <w:r w:rsidR="006E6093">
        <w:rPr>
          <w:rFonts w:ascii="Sylfaen" w:hAnsi="Sylfaen"/>
          <w:lang w:val="ka-GE"/>
        </w:rPr>
        <w:t xml:space="preserve"> ასახვა მომხდარიყო კანონქვემდებარე ნორმატიულ აქტში - იმ მოცულობით და იმ ფარგლებში, რ</w:t>
      </w:r>
      <w:r w:rsidR="009D1287">
        <w:rPr>
          <w:rFonts w:ascii="Sylfaen" w:hAnsi="Sylfaen"/>
          <w:lang w:val="ka-GE"/>
        </w:rPr>
        <w:t>ის საშუალებასაც იძლევა</w:t>
      </w:r>
      <w:r w:rsidR="006E6093">
        <w:rPr>
          <w:rFonts w:ascii="Sylfaen" w:hAnsi="Sylfaen"/>
          <w:lang w:val="ka-GE"/>
        </w:rPr>
        <w:t xml:space="preserve"> მოქმედი „ელექტრონული კომუნიკაციების შესახებ“ საქართველოს კანონი</w:t>
      </w:r>
      <w:r w:rsidR="00753EC0">
        <w:rPr>
          <w:rFonts w:ascii="Sylfaen" w:hAnsi="Sylfaen"/>
          <w:lang w:val="ka-GE"/>
        </w:rPr>
        <w:t xml:space="preserve"> (შემდგომში - კანონი)</w:t>
      </w:r>
      <w:r w:rsidR="00B21215">
        <w:rPr>
          <w:rFonts w:ascii="Sylfaen" w:hAnsi="Sylfaen"/>
          <w:lang w:val="ka-GE"/>
        </w:rPr>
        <w:t xml:space="preserve">. </w:t>
      </w:r>
    </w:p>
    <w:p w14:paraId="1396B9E7" w14:textId="517436F9" w:rsidR="00864600" w:rsidRDefault="00454745" w:rsidP="00580F31">
      <w:pPr>
        <w:jc w:val="both"/>
        <w:rPr>
          <w:rFonts w:ascii="Sylfaen" w:hAnsi="Sylfaen"/>
          <w:lang w:val="ka-GE"/>
        </w:rPr>
      </w:pPr>
      <w:r>
        <w:rPr>
          <w:rFonts w:ascii="Sylfaen" w:hAnsi="Sylfaen"/>
          <w:lang w:val="ka-GE"/>
        </w:rPr>
        <w:t>„ელექტრონული კომუნიკაციების შესახებ“ საქართველოს კანონის 21-ე მუხლის მე-3 პუნქტის თანახმად</w:t>
      </w:r>
      <w:r w:rsidR="00BE61D8">
        <w:rPr>
          <w:rFonts w:ascii="Sylfaen" w:hAnsi="Sylfaen"/>
          <w:lang w:val="ka-GE"/>
        </w:rPr>
        <w:t xml:space="preserve"> </w:t>
      </w:r>
      <w:r>
        <w:rPr>
          <w:rFonts w:ascii="Sylfaen" w:hAnsi="Sylfaen"/>
          <w:lang w:val="ka-GE"/>
        </w:rPr>
        <w:t>„</w:t>
      </w:r>
      <w:r w:rsidRPr="00BE61D8">
        <w:rPr>
          <w:rFonts w:ascii="Sylfaen" w:hAnsi="Sylfaen" w:cs="Sylfaen"/>
          <w:lang w:val="ka-GE"/>
        </w:rPr>
        <w:t>მომსახურების</w:t>
      </w:r>
      <w:r w:rsidRPr="00BE61D8">
        <w:rPr>
          <w:lang w:val="ka-GE"/>
        </w:rPr>
        <w:t xml:space="preserve"> </w:t>
      </w:r>
      <w:r w:rsidRPr="00BE61D8">
        <w:rPr>
          <w:rFonts w:ascii="Sylfaen" w:hAnsi="Sylfaen" w:cs="Sylfaen"/>
          <w:lang w:val="ka-GE"/>
        </w:rPr>
        <w:t>ბაზრის</w:t>
      </w:r>
      <w:r w:rsidRPr="00BE61D8">
        <w:rPr>
          <w:lang w:val="ka-GE"/>
        </w:rPr>
        <w:t xml:space="preserve"> </w:t>
      </w:r>
      <w:r w:rsidRPr="00BE61D8">
        <w:rPr>
          <w:rFonts w:ascii="Sylfaen" w:hAnsi="Sylfaen" w:cs="Sylfaen"/>
          <w:lang w:val="ka-GE"/>
        </w:rPr>
        <w:t>კვლევასა</w:t>
      </w:r>
      <w:r w:rsidRPr="00BE61D8">
        <w:rPr>
          <w:lang w:val="ka-GE"/>
        </w:rPr>
        <w:t xml:space="preserve"> </w:t>
      </w:r>
      <w:r w:rsidRPr="00BE61D8">
        <w:rPr>
          <w:rFonts w:ascii="Sylfaen" w:hAnsi="Sylfaen" w:cs="Sylfaen"/>
          <w:lang w:val="ka-GE"/>
        </w:rPr>
        <w:t>და</w:t>
      </w:r>
      <w:r w:rsidRPr="00BE61D8">
        <w:rPr>
          <w:lang w:val="ka-GE"/>
        </w:rPr>
        <w:t xml:space="preserve"> </w:t>
      </w:r>
      <w:r w:rsidRPr="00BE61D8">
        <w:rPr>
          <w:rFonts w:ascii="Sylfaen" w:hAnsi="Sylfaen" w:cs="Sylfaen"/>
          <w:lang w:val="ka-GE"/>
        </w:rPr>
        <w:t>ანალიზს</w:t>
      </w:r>
      <w:r w:rsidRPr="00BE61D8">
        <w:rPr>
          <w:lang w:val="ka-GE"/>
        </w:rPr>
        <w:t xml:space="preserve">, </w:t>
      </w:r>
      <w:r w:rsidRPr="00BE61D8">
        <w:rPr>
          <w:rFonts w:ascii="Sylfaen" w:hAnsi="Sylfaen" w:cs="Sylfaen"/>
          <w:lang w:val="ka-GE"/>
        </w:rPr>
        <w:t>რომლებიც</w:t>
      </w:r>
      <w:r w:rsidRPr="00BE61D8">
        <w:rPr>
          <w:lang w:val="ka-GE"/>
        </w:rPr>
        <w:t xml:space="preserve"> </w:t>
      </w:r>
      <w:r w:rsidRPr="00BE61D8">
        <w:rPr>
          <w:rFonts w:ascii="Sylfaen" w:hAnsi="Sylfaen" w:cs="Sylfaen"/>
          <w:lang w:val="ka-GE"/>
        </w:rPr>
        <w:t>ხორციელდება</w:t>
      </w:r>
      <w:r w:rsidRPr="00BE61D8">
        <w:rPr>
          <w:lang w:val="ka-GE"/>
        </w:rPr>
        <w:t xml:space="preserve"> </w:t>
      </w:r>
      <w:r w:rsidRPr="00BE61D8">
        <w:rPr>
          <w:rFonts w:ascii="Sylfaen" w:hAnsi="Sylfaen" w:cs="Sylfaen"/>
          <w:lang w:val="ka-GE"/>
        </w:rPr>
        <w:t>ელექტრონული</w:t>
      </w:r>
      <w:r w:rsidRPr="00BE61D8">
        <w:rPr>
          <w:lang w:val="ka-GE"/>
        </w:rPr>
        <w:t xml:space="preserve"> </w:t>
      </w:r>
      <w:r w:rsidRPr="00BE61D8">
        <w:rPr>
          <w:rFonts w:ascii="Sylfaen" w:hAnsi="Sylfaen" w:cs="Sylfaen"/>
          <w:lang w:val="ka-GE"/>
        </w:rPr>
        <w:t>კომუნიკაციების</w:t>
      </w:r>
      <w:r w:rsidRPr="00BE61D8">
        <w:rPr>
          <w:lang w:val="ka-GE"/>
        </w:rPr>
        <w:t xml:space="preserve"> </w:t>
      </w:r>
      <w:r w:rsidRPr="00BE61D8">
        <w:rPr>
          <w:rFonts w:ascii="Sylfaen" w:hAnsi="Sylfaen" w:cs="Sylfaen"/>
          <w:lang w:val="ka-GE"/>
        </w:rPr>
        <w:t>სფეროში</w:t>
      </w:r>
      <w:r w:rsidRPr="00BE61D8">
        <w:rPr>
          <w:lang w:val="ka-GE"/>
        </w:rPr>
        <w:t xml:space="preserve"> </w:t>
      </w:r>
      <w:r w:rsidRPr="00BE61D8">
        <w:rPr>
          <w:rFonts w:ascii="Sylfaen" w:hAnsi="Sylfaen" w:cs="Sylfaen"/>
          <w:lang w:val="ka-GE"/>
        </w:rPr>
        <w:t>ბაზრის</w:t>
      </w:r>
      <w:r w:rsidRPr="00BE61D8">
        <w:rPr>
          <w:lang w:val="ka-GE"/>
        </w:rPr>
        <w:t xml:space="preserve"> </w:t>
      </w:r>
      <w:r w:rsidRPr="00BE61D8">
        <w:rPr>
          <w:rFonts w:ascii="Sylfaen" w:hAnsi="Sylfaen" w:cs="Sylfaen"/>
          <w:lang w:val="ka-GE"/>
        </w:rPr>
        <w:t>შესაბამის</w:t>
      </w:r>
      <w:r w:rsidRPr="00BE61D8">
        <w:rPr>
          <w:lang w:val="ka-GE"/>
        </w:rPr>
        <w:t xml:space="preserve"> </w:t>
      </w:r>
      <w:r w:rsidRPr="00BE61D8">
        <w:rPr>
          <w:rFonts w:ascii="Sylfaen" w:hAnsi="Sylfaen" w:cs="Sylfaen"/>
          <w:lang w:val="ka-GE"/>
        </w:rPr>
        <w:t>სეგმენტზე</w:t>
      </w:r>
      <w:r w:rsidRPr="00BE61D8">
        <w:rPr>
          <w:lang w:val="ka-GE"/>
        </w:rPr>
        <w:t xml:space="preserve"> </w:t>
      </w:r>
      <w:r w:rsidRPr="00BE61D8">
        <w:rPr>
          <w:rFonts w:ascii="Sylfaen" w:hAnsi="Sylfaen" w:cs="Sylfaen"/>
          <w:lang w:val="ka-GE"/>
        </w:rPr>
        <w:t>მნიშვნელოვანი</w:t>
      </w:r>
      <w:r w:rsidRPr="00BE61D8">
        <w:rPr>
          <w:lang w:val="ka-GE"/>
        </w:rPr>
        <w:t xml:space="preserve"> </w:t>
      </w:r>
      <w:r w:rsidRPr="00BE61D8">
        <w:rPr>
          <w:rFonts w:ascii="Sylfaen" w:hAnsi="Sylfaen" w:cs="Sylfaen"/>
          <w:lang w:val="ka-GE"/>
        </w:rPr>
        <w:t>საბაზრო</w:t>
      </w:r>
      <w:r w:rsidRPr="00BE61D8">
        <w:rPr>
          <w:lang w:val="ka-GE"/>
        </w:rPr>
        <w:t xml:space="preserve"> </w:t>
      </w:r>
      <w:r w:rsidRPr="00BE61D8">
        <w:rPr>
          <w:rFonts w:ascii="Sylfaen" w:hAnsi="Sylfaen" w:cs="Sylfaen"/>
          <w:lang w:val="ka-GE"/>
        </w:rPr>
        <w:t>ძალაუფლების</w:t>
      </w:r>
      <w:r w:rsidRPr="00BE61D8">
        <w:rPr>
          <w:lang w:val="ka-GE"/>
        </w:rPr>
        <w:t xml:space="preserve"> </w:t>
      </w:r>
      <w:r w:rsidRPr="00BE61D8">
        <w:rPr>
          <w:rFonts w:ascii="Sylfaen" w:hAnsi="Sylfaen" w:cs="Sylfaen"/>
          <w:lang w:val="ka-GE"/>
        </w:rPr>
        <w:t>მქონე</w:t>
      </w:r>
      <w:r w:rsidRPr="00BE61D8">
        <w:rPr>
          <w:lang w:val="ka-GE"/>
        </w:rPr>
        <w:t xml:space="preserve"> </w:t>
      </w:r>
      <w:r w:rsidRPr="00BE61D8">
        <w:rPr>
          <w:rFonts w:ascii="Sylfaen" w:hAnsi="Sylfaen" w:cs="Sylfaen"/>
          <w:lang w:val="ka-GE"/>
        </w:rPr>
        <w:t>ავტორიზებული</w:t>
      </w:r>
      <w:r w:rsidRPr="00BE61D8">
        <w:rPr>
          <w:lang w:val="ka-GE"/>
        </w:rPr>
        <w:t xml:space="preserve"> </w:t>
      </w:r>
      <w:r w:rsidRPr="00BE61D8">
        <w:rPr>
          <w:rFonts w:ascii="Sylfaen" w:hAnsi="Sylfaen" w:cs="Sylfaen"/>
          <w:lang w:val="ka-GE"/>
        </w:rPr>
        <w:t>პირების</w:t>
      </w:r>
      <w:r w:rsidRPr="00BE61D8">
        <w:rPr>
          <w:lang w:val="ka-GE"/>
        </w:rPr>
        <w:t xml:space="preserve"> </w:t>
      </w:r>
      <w:r w:rsidRPr="00BE61D8">
        <w:rPr>
          <w:rFonts w:ascii="Sylfaen" w:hAnsi="Sylfaen" w:cs="Sylfaen"/>
          <w:lang w:val="ka-GE"/>
        </w:rPr>
        <w:t>დადგენის</w:t>
      </w:r>
      <w:r w:rsidRPr="00BE61D8">
        <w:rPr>
          <w:lang w:val="ka-GE"/>
        </w:rPr>
        <w:t xml:space="preserve"> </w:t>
      </w:r>
      <w:r w:rsidRPr="00BE61D8">
        <w:rPr>
          <w:rFonts w:ascii="Sylfaen" w:hAnsi="Sylfaen" w:cs="Sylfaen"/>
          <w:lang w:val="ka-GE"/>
        </w:rPr>
        <w:t>მიზნით</w:t>
      </w:r>
      <w:r w:rsidRPr="00BE61D8">
        <w:rPr>
          <w:lang w:val="ka-GE"/>
        </w:rPr>
        <w:t xml:space="preserve">, </w:t>
      </w:r>
      <w:r w:rsidRPr="00BE61D8">
        <w:rPr>
          <w:rFonts w:ascii="Sylfaen" w:hAnsi="Sylfaen" w:cs="Sylfaen"/>
          <w:lang w:val="ka-GE"/>
        </w:rPr>
        <w:t>კომისია</w:t>
      </w:r>
      <w:r w:rsidRPr="00BE61D8">
        <w:rPr>
          <w:lang w:val="ka-GE"/>
        </w:rPr>
        <w:t xml:space="preserve"> </w:t>
      </w:r>
      <w:r w:rsidRPr="00BE61D8">
        <w:rPr>
          <w:rFonts w:ascii="Sylfaen" w:hAnsi="Sylfaen" w:cs="Sylfaen"/>
          <w:lang w:val="ka-GE"/>
        </w:rPr>
        <w:t>ატარებს</w:t>
      </w:r>
      <w:r w:rsidRPr="00BE61D8">
        <w:rPr>
          <w:lang w:val="ka-GE"/>
        </w:rPr>
        <w:t xml:space="preserve"> </w:t>
      </w:r>
      <w:r w:rsidRPr="00BE61D8">
        <w:rPr>
          <w:rFonts w:ascii="Sylfaen" w:hAnsi="Sylfaen" w:cs="Sylfaen"/>
          <w:lang w:val="ka-GE"/>
        </w:rPr>
        <w:t>ბაზრის</w:t>
      </w:r>
      <w:r w:rsidRPr="00BE61D8">
        <w:rPr>
          <w:lang w:val="ka-GE"/>
        </w:rPr>
        <w:t xml:space="preserve"> </w:t>
      </w:r>
      <w:r w:rsidRPr="00BE61D8">
        <w:rPr>
          <w:rFonts w:ascii="Sylfaen" w:hAnsi="Sylfaen" w:cs="Sylfaen"/>
          <w:lang w:val="ka-GE"/>
        </w:rPr>
        <w:t>კონკურენტუნარიანობისა</w:t>
      </w:r>
      <w:r w:rsidRPr="00BE61D8">
        <w:rPr>
          <w:lang w:val="ka-GE"/>
        </w:rPr>
        <w:t xml:space="preserve"> </w:t>
      </w:r>
      <w:r w:rsidRPr="00BE61D8">
        <w:rPr>
          <w:rFonts w:ascii="Sylfaen" w:hAnsi="Sylfaen" w:cs="Sylfaen"/>
          <w:lang w:val="ka-GE"/>
        </w:rPr>
        <w:t>და</w:t>
      </w:r>
      <w:r w:rsidRPr="00BE61D8">
        <w:rPr>
          <w:lang w:val="ka-GE"/>
        </w:rPr>
        <w:t xml:space="preserve"> </w:t>
      </w:r>
      <w:r w:rsidRPr="00BE61D8">
        <w:rPr>
          <w:rFonts w:ascii="Sylfaen" w:hAnsi="Sylfaen" w:cs="Sylfaen"/>
          <w:lang w:val="ka-GE"/>
        </w:rPr>
        <w:t>მნიშვნელოვანი</w:t>
      </w:r>
      <w:r w:rsidRPr="00BE61D8">
        <w:rPr>
          <w:lang w:val="ka-GE"/>
        </w:rPr>
        <w:t xml:space="preserve"> </w:t>
      </w:r>
      <w:r w:rsidRPr="00BE61D8">
        <w:rPr>
          <w:rFonts w:ascii="Sylfaen" w:hAnsi="Sylfaen" w:cs="Sylfaen"/>
          <w:lang w:val="ka-GE"/>
        </w:rPr>
        <w:t>საბაზრო</w:t>
      </w:r>
      <w:r w:rsidRPr="00BE61D8">
        <w:rPr>
          <w:lang w:val="ka-GE"/>
        </w:rPr>
        <w:t xml:space="preserve"> </w:t>
      </w:r>
      <w:r w:rsidRPr="00BE61D8">
        <w:rPr>
          <w:rFonts w:ascii="Sylfaen" w:hAnsi="Sylfaen" w:cs="Sylfaen"/>
          <w:lang w:val="ka-GE"/>
        </w:rPr>
        <w:t>ძალაუფლების</w:t>
      </w:r>
      <w:r w:rsidRPr="00BE61D8">
        <w:rPr>
          <w:lang w:val="ka-GE"/>
        </w:rPr>
        <w:t xml:space="preserve"> </w:t>
      </w:r>
      <w:r w:rsidRPr="00BE61D8">
        <w:rPr>
          <w:rFonts w:ascii="Sylfaen" w:hAnsi="Sylfaen" w:cs="Sylfaen"/>
          <w:lang w:val="ka-GE"/>
        </w:rPr>
        <w:t>მქონე</w:t>
      </w:r>
      <w:r w:rsidRPr="00BE61D8">
        <w:rPr>
          <w:lang w:val="ka-GE"/>
        </w:rPr>
        <w:t xml:space="preserve"> </w:t>
      </w:r>
      <w:r w:rsidRPr="00BE61D8">
        <w:rPr>
          <w:rFonts w:ascii="Sylfaen" w:hAnsi="Sylfaen" w:cs="Sylfaen"/>
          <w:lang w:val="ka-GE"/>
        </w:rPr>
        <w:t>ავტორიზებული</w:t>
      </w:r>
      <w:r w:rsidRPr="00BE61D8">
        <w:rPr>
          <w:lang w:val="ka-GE"/>
        </w:rPr>
        <w:t xml:space="preserve"> </w:t>
      </w:r>
      <w:r w:rsidRPr="00BE61D8">
        <w:rPr>
          <w:rFonts w:ascii="Sylfaen" w:hAnsi="Sylfaen" w:cs="Sylfaen"/>
          <w:lang w:val="ka-GE"/>
        </w:rPr>
        <w:t>პირების</w:t>
      </w:r>
      <w:r w:rsidRPr="00BE61D8">
        <w:rPr>
          <w:lang w:val="ka-GE"/>
        </w:rPr>
        <w:t xml:space="preserve"> </w:t>
      </w:r>
      <w:r w:rsidRPr="00BE61D8">
        <w:rPr>
          <w:rFonts w:ascii="Sylfaen" w:hAnsi="Sylfaen" w:cs="Sylfaen"/>
          <w:lang w:val="ka-GE"/>
        </w:rPr>
        <w:t>განსაზღვრის</w:t>
      </w:r>
      <w:r w:rsidRPr="00BE61D8">
        <w:rPr>
          <w:lang w:val="ka-GE"/>
        </w:rPr>
        <w:t xml:space="preserve"> </w:t>
      </w:r>
      <w:r w:rsidRPr="00BE61D8">
        <w:rPr>
          <w:rFonts w:ascii="Sylfaen" w:hAnsi="Sylfaen" w:cs="Sylfaen"/>
          <w:lang w:val="ka-GE"/>
        </w:rPr>
        <w:t>მეთოდოლოგიის</w:t>
      </w:r>
      <w:r w:rsidRPr="00BE61D8">
        <w:rPr>
          <w:lang w:val="ka-GE"/>
        </w:rPr>
        <w:t xml:space="preserve"> </w:t>
      </w:r>
      <w:r w:rsidRPr="00BE61D8">
        <w:rPr>
          <w:rFonts w:ascii="Sylfaen" w:hAnsi="Sylfaen" w:cs="Sylfaen"/>
          <w:lang w:val="ka-GE"/>
        </w:rPr>
        <w:t>და</w:t>
      </w:r>
      <w:r w:rsidRPr="00BE61D8">
        <w:rPr>
          <w:lang w:val="ka-GE"/>
        </w:rPr>
        <w:t xml:space="preserve"> </w:t>
      </w:r>
      <w:r w:rsidRPr="00BE61D8">
        <w:rPr>
          <w:rFonts w:ascii="Sylfaen" w:hAnsi="Sylfaen" w:cs="Sylfaen"/>
          <w:lang w:val="ka-GE"/>
        </w:rPr>
        <w:t>პროცედურების</w:t>
      </w:r>
      <w:r w:rsidRPr="00BE61D8">
        <w:rPr>
          <w:lang w:val="ka-GE"/>
        </w:rPr>
        <w:t xml:space="preserve"> </w:t>
      </w:r>
      <w:r w:rsidRPr="00BE61D8">
        <w:rPr>
          <w:rFonts w:ascii="Sylfaen" w:hAnsi="Sylfaen" w:cs="Sylfaen"/>
          <w:lang w:val="ka-GE"/>
        </w:rPr>
        <w:t>საფუძველზე</w:t>
      </w:r>
      <w:r w:rsidRPr="00BE61D8">
        <w:rPr>
          <w:lang w:val="ka-GE"/>
        </w:rPr>
        <w:t xml:space="preserve">, </w:t>
      </w:r>
      <w:r w:rsidRPr="00BE61D8">
        <w:rPr>
          <w:rFonts w:ascii="Sylfaen" w:hAnsi="Sylfaen" w:cs="Sylfaen"/>
          <w:lang w:val="ka-GE"/>
        </w:rPr>
        <w:t>რომლებიც</w:t>
      </w:r>
      <w:r w:rsidRPr="00BE61D8">
        <w:rPr>
          <w:lang w:val="ka-GE"/>
        </w:rPr>
        <w:t xml:space="preserve"> </w:t>
      </w:r>
      <w:r w:rsidRPr="00BE61D8">
        <w:rPr>
          <w:rFonts w:ascii="Sylfaen" w:hAnsi="Sylfaen" w:cs="Sylfaen"/>
          <w:lang w:val="ka-GE"/>
        </w:rPr>
        <w:t>მტკიცდება</w:t>
      </w:r>
      <w:r w:rsidRPr="00BE61D8">
        <w:rPr>
          <w:lang w:val="ka-GE"/>
        </w:rPr>
        <w:t xml:space="preserve"> </w:t>
      </w:r>
      <w:r w:rsidRPr="00BE61D8">
        <w:rPr>
          <w:rFonts w:ascii="Sylfaen" w:hAnsi="Sylfaen" w:cs="Sylfaen"/>
          <w:lang w:val="ka-GE"/>
        </w:rPr>
        <w:t>კომისიის</w:t>
      </w:r>
      <w:r w:rsidRPr="00BE61D8">
        <w:rPr>
          <w:lang w:val="ka-GE"/>
        </w:rPr>
        <w:t xml:space="preserve"> </w:t>
      </w:r>
      <w:r w:rsidRPr="00BE61D8">
        <w:rPr>
          <w:rFonts w:ascii="Sylfaen" w:hAnsi="Sylfaen" w:cs="Sylfaen"/>
          <w:lang w:val="ka-GE"/>
        </w:rPr>
        <w:t>დადგენილებით</w:t>
      </w:r>
      <w:r w:rsidRPr="00BE61D8">
        <w:rPr>
          <w:lang w:val="ka-GE"/>
        </w:rPr>
        <w:t>.</w:t>
      </w:r>
      <w:r>
        <w:rPr>
          <w:lang w:val="ka-GE"/>
        </w:rPr>
        <w:t>“</w:t>
      </w:r>
      <w:r>
        <w:rPr>
          <w:rFonts w:ascii="Sylfaen" w:hAnsi="Sylfaen"/>
          <w:lang w:val="ka-GE"/>
        </w:rPr>
        <w:t xml:space="preserve"> </w:t>
      </w:r>
      <w:r w:rsidR="00B21215">
        <w:rPr>
          <w:rFonts w:ascii="Sylfaen" w:hAnsi="Sylfaen"/>
          <w:lang w:val="ka-GE"/>
        </w:rPr>
        <w:t xml:space="preserve">შესაბამისად, </w:t>
      </w:r>
      <w:r w:rsidR="00C377C3">
        <w:rPr>
          <w:rFonts w:ascii="Sylfaen" w:hAnsi="Sylfaen"/>
          <w:lang w:val="ka-GE"/>
        </w:rPr>
        <w:t>მომზადებულია</w:t>
      </w:r>
      <w:r w:rsidR="00B21215">
        <w:rPr>
          <w:rFonts w:ascii="Sylfaen" w:hAnsi="Sylfaen"/>
          <w:lang w:val="ka-GE"/>
        </w:rPr>
        <w:t xml:space="preserve"> </w:t>
      </w:r>
      <w:r w:rsidR="00B21215" w:rsidRPr="00B21215">
        <w:rPr>
          <w:rFonts w:ascii="Sylfaen" w:hAnsi="Sylfaen"/>
          <w:lang w:val="ka-GE"/>
        </w:rPr>
        <w:t>„ბაზრის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მეთოდოლოგიისა და პროცედურების დამტკიცების თაობაზე</w:t>
      </w:r>
      <w:r w:rsidR="00F55E45">
        <w:rPr>
          <w:rFonts w:ascii="Sylfaen" w:hAnsi="Sylfaen"/>
          <w:lang w:val="ka-GE"/>
        </w:rPr>
        <w:t>“</w:t>
      </w:r>
      <w:r w:rsidR="00B21215" w:rsidRPr="00B21215">
        <w:rPr>
          <w:rFonts w:ascii="Sylfaen" w:hAnsi="Sylfaen"/>
          <w:lang w:val="ka-GE"/>
        </w:rPr>
        <w:t xml:space="preserve"> საქართველოს კომუნიკაციების ეროვნული კომისიის დადგენილების</w:t>
      </w:r>
      <w:r w:rsidR="00B21215">
        <w:rPr>
          <w:rFonts w:ascii="Sylfaen" w:hAnsi="Sylfaen"/>
          <w:lang w:val="ka-GE"/>
        </w:rPr>
        <w:t xml:space="preserve"> პროექტი</w:t>
      </w:r>
      <w:r w:rsidR="00E14DFC">
        <w:rPr>
          <w:rFonts w:ascii="Sylfaen" w:hAnsi="Sylfaen"/>
          <w:lang w:val="ka-GE"/>
        </w:rPr>
        <w:t xml:space="preserve"> (შემდგომში - დადგენილების პროექტი)</w:t>
      </w:r>
      <w:r w:rsidR="00B21215">
        <w:rPr>
          <w:rFonts w:ascii="Sylfaen" w:hAnsi="Sylfaen"/>
          <w:lang w:val="ka-GE"/>
        </w:rPr>
        <w:t xml:space="preserve">, რომელიც </w:t>
      </w:r>
      <w:r w:rsidR="00961F49">
        <w:rPr>
          <w:rFonts w:ascii="Sylfaen" w:hAnsi="Sylfaen"/>
          <w:lang w:val="ka-GE"/>
        </w:rPr>
        <w:t xml:space="preserve">ახლებურად აყალიბებს </w:t>
      </w:r>
      <w:r w:rsidR="00961F49" w:rsidRPr="00961F49">
        <w:rPr>
          <w:rFonts w:ascii="Sylfaen" w:hAnsi="Sylfaen"/>
          <w:lang w:val="ka-GE"/>
        </w:rPr>
        <w:t>,,მომსახურების ბაზრის შესაბამისი სეგმენტების განსაზღვრისა და კონკურენტუნარიანობის ანალიზის მეთოდოლოგიური წესების დამტკიცების თაობაზე“ საქართველოს კომუნიკაციების ეროვნული კომისიის 2007 წლის 31 აგვისტოს N5 დადგენილებ</w:t>
      </w:r>
      <w:r w:rsidR="00961F49">
        <w:rPr>
          <w:rFonts w:ascii="Sylfaen" w:hAnsi="Sylfaen"/>
          <w:lang w:val="ka-GE"/>
        </w:rPr>
        <w:t xml:space="preserve">ით </w:t>
      </w:r>
      <w:r w:rsidR="00124A64">
        <w:rPr>
          <w:rFonts w:ascii="Sylfaen" w:hAnsi="Sylfaen"/>
          <w:lang w:val="ka-GE"/>
        </w:rPr>
        <w:t xml:space="preserve">დამტკიცებულ </w:t>
      </w:r>
      <w:r w:rsidR="00493C62">
        <w:rPr>
          <w:rFonts w:ascii="Sylfaen" w:hAnsi="Sylfaen"/>
          <w:lang w:val="ka-GE"/>
        </w:rPr>
        <w:t xml:space="preserve">იმ წესებს, რაც უკავშირდება მნიშვნელოვანი საბაზრო ძალაუფლების მქონე </w:t>
      </w:r>
      <w:r w:rsidR="00DD7A80">
        <w:rPr>
          <w:rFonts w:ascii="Sylfaen" w:hAnsi="Sylfaen"/>
          <w:lang w:val="ka-GE"/>
        </w:rPr>
        <w:t xml:space="preserve">ავტორიზებული </w:t>
      </w:r>
      <w:r w:rsidR="00493C62">
        <w:rPr>
          <w:rFonts w:ascii="Sylfaen" w:hAnsi="Sylfaen"/>
          <w:lang w:val="ka-GE"/>
        </w:rPr>
        <w:t>პირის</w:t>
      </w:r>
      <w:r w:rsidR="00DD7A80">
        <w:rPr>
          <w:rFonts w:ascii="Sylfaen" w:hAnsi="Sylfaen"/>
          <w:lang w:val="ka-GE"/>
        </w:rPr>
        <w:t>/პირების</w:t>
      </w:r>
      <w:r w:rsidR="00493C62">
        <w:rPr>
          <w:rFonts w:ascii="Sylfaen" w:hAnsi="Sylfaen"/>
          <w:lang w:val="ka-GE"/>
        </w:rPr>
        <w:t xml:space="preserve"> განსაზღვრას</w:t>
      </w:r>
      <w:r w:rsidR="00124A64">
        <w:rPr>
          <w:rFonts w:ascii="Sylfaen" w:hAnsi="Sylfaen"/>
          <w:lang w:val="ka-GE"/>
        </w:rPr>
        <w:t xml:space="preserve">. </w:t>
      </w:r>
    </w:p>
    <w:p w14:paraId="7BBBB2B3" w14:textId="77777777" w:rsidR="00957E60" w:rsidRDefault="0049623D" w:rsidP="00F55E45">
      <w:pPr>
        <w:jc w:val="both"/>
        <w:rPr>
          <w:rFonts w:ascii="Sylfaen" w:hAnsi="Sylfaen"/>
          <w:lang w:val="ka-GE"/>
        </w:rPr>
      </w:pPr>
      <w:r>
        <w:rPr>
          <w:rFonts w:ascii="Sylfaen" w:hAnsi="Sylfaen"/>
          <w:lang w:val="ka-GE"/>
        </w:rPr>
        <w:t>დადგენილების პროექტი</w:t>
      </w:r>
      <w:r w:rsidR="00920540">
        <w:rPr>
          <w:rFonts w:ascii="Sylfaen" w:hAnsi="Sylfaen"/>
          <w:lang w:val="ka-GE"/>
        </w:rPr>
        <w:t>ს შესაბამისად,</w:t>
      </w:r>
      <w:r w:rsidR="00B36C8D">
        <w:rPr>
          <w:rFonts w:ascii="Sylfaen" w:hAnsi="Sylfaen"/>
          <w:lang w:val="ka-GE"/>
        </w:rPr>
        <w:t xml:space="preserve"> ბაზრის ანალიზი</w:t>
      </w:r>
      <w:r w:rsidR="0064383E">
        <w:rPr>
          <w:rFonts w:ascii="Sylfaen" w:hAnsi="Sylfaen"/>
          <w:lang w:val="ka-GE"/>
        </w:rPr>
        <w:t xml:space="preserve"> </w:t>
      </w:r>
      <w:r w:rsidR="00F55E45">
        <w:rPr>
          <w:rFonts w:ascii="Sylfaen" w:hAnsi="Sylfaen"/>
          <w:lang w:val="ka-GE"/>
        </w:rPr>
        <w:t>გან</w:t>
      </w:r>
      <w:r w:rsidR="0064383E">
        <w:rPr>
          <w:rFonts w:ascii="Sylfaen" w:hAnsi="Sylfaen"/>
          <w:lang w:val="ka-GE"/>
        </w:rPr>
        <w:t>ხორციელდება</w:t>
      </w:r>
      <w:r w:rsidR="003A3BEA">
        <w:rPr>
          <w:rFonts w:ascii="Sylfaen" w:hAnsi="Sylfaen"/>
          <w:lang w:val="ka-GE"/>
        </w:rPr>
        <w:t xml:space="preserve"> ისეთი</w:t>
      </w:r>
      <w:r w:rsidR="0064383E">
        <w:rPr>
          <w:rFonts w:ascii="Sylfaen" w:hAnsi="Sylfaen"/>
          <w:lang w:val="ka-GE"/>
        </w:rPr>
        <w:t xml:space="preserve"> </w:t>
      </w:r>
      <w:r w:rsidR="003A3BEA">
        <w:rPr>
          <w:rFonts w:ascii="Sylfaen" w:hAnsi="Sylfaen"/>
          <w:lang w:val="ka-GE"/>
        </w:rPr>
        <w:t xml:space="preserve">ახალი და </w:t>
      </w:r>
      <w:r w:rsidR="0064383E">
        <w:rPr>
          <w:rFonts w:ascii="Sylfaen" w:hAnsi="Sylfaen"/>
          <w:lang w:val="ka-GE"/>
        </w:rPr>
        <w:t>მნიშვნელოვანი პრინციპების დაცვით</w:t>
      </w:r>
      <w:r w:rsidR="003A3BEA">
        <w:rPr>
          <w:rFonts w:ascii="Sylfaen" w:hAnsi="Sylfaen"/>
          <w:lang w:val="ka-GE"/>
        </w:rPr>
        <w:t>,</w:t>
      </w:r>
      <w:r w:rsidR="0064383E">
        <w:rPr>
          <w:rFonts w:ascii="Sylfaen" w:hAnsi="Sylfaen"/>
          <w:lang w:val="ka-GE"/>
        </w:rPr>
        <w:t xml:space="preserve"> როგორიცაა</w:t>
      </w:r>
      <w:r w:rsidR="009E4741">
        <w:rPr>
          <w:rFonts w:ascii="Sylfaen" w:hAnsi="Sylfaen"/>
          <w:lang w:val="ka-GE"/>
        </w:rPr>
        <w:t xml:space="preserve"> - </w:t>
      </w:r>
      <w:r w:rsidR="00AE0FC8">
        <w:rPr>
          <w:rFonts w:ascii="Sylfaen" w:hAnsi="Sylfaen"/>
          <w:lang w:val="ka-GE"/>
        </w:rPr>
        <w:t xml:space="preserve"> საინვესტიციო კიბის</w:t>
      </w:r>
      <w:r w:rsidR="00F55E45">
        <w:rPr>
          <w:rFonts w:ascii="Sylfaen" w:hAnsi="Sylfaen"/>
          <w:lang w:val="ka-GE"/>
        </w:rPr>
        <w:t xml:space="preserve"> პრინციპი, </w:t>
      </w:r>
      <w:r w:rsidR="009E4741" w:rsidRPr="00710BAA">
        <w:rPr>
          <w:rFonts w:ascii="Sylfaen" w:hAnsi="Sylfaen"/>
          <w:lang w:val="ka-GE"/>
        </w:rPr>
        <w:t xml:space="preserve"> </w:t>
      </w:r>
      <w:r w:rsidR="00351C94" w:rsidRPr="00710BAA">
        <w:rPr>
          <w:rFonts w:ascii="Sylfaen" w:hAnsi="Sylfaen"/>
          <w:lang w:val="ka-GE"/>
        </w:rPr>
        <w:t>მოდიფიცირებული გრინფილდის</w:t>
      </w:r>
      <w:r w:rsidR="00760011">
        <w:rPr>
          <w:rFonts w:ascii="Sylfaen" w:hAnsi="Sylfaen"/>
          <w:lang w:val="ka-GE"/>
        </w:rPr>
        <w:t xml:space="preserve"> პრინციპი, უპირატესად საბითუმო ბაზრის რეგულირების პრინციპი</w:t>
      </w:r>
      <w:r w:rsidR="00351C94" w:rsidRPr="00710BAA">
        <w:rPr>
          <w:rFonts w:ascii="Sylfaen" w:hAnsi="Sylfaen"/>
          <w:lang w:val="ka-GE"/>
        </w:rPr>
        <w:t xml:space="preserve"> </w:t>
      </w:r>
      <w:r w:rsidR="00D3033E">
        <w:rPr>
          <w:rFonts w:ascii="Sylfaen" w:hAnsi="Sylfaen"/>
          <w:lang w:val="ka-GE"/>
        </w:rPr>
        <w:t xml:space="preserve">და </w:t>
      </w:r>
      <w:r w:rsidR="00D3033E" w:rsidRPr="00710BAA">
        <w:rPr>
          <w:rFonts w:ascii="Sylfaen" w:hAnsi="Sylfaen"/>
          <w:lang w:val="ka-GE"/>
        </w:rPr>
        <w:t>სხვ.</w:t>
      </w:r>
      <w:r w:rsidR="00D3033E">
        <w:rPr>
          <w:rFonts w:ascii="Sylfaen" w:hAnsi="Sylfaen"/>
          <w:lang w:val="ka-GE"/>
        </w:rPr>
        <w:t xml:space="preserve"> </w:t>
      </w:r>
    </w:p>
    <w:p w14:paraId="5AD25F04" w14:textId="17EA9ECB" w:rsidR="00946BB6" w:rsidRDefault="001467CA" w:rsidP="00F55E45">
      <w:pPr>
        <w:jc w:val="both"/>
        <w:rPr>
          <w:rFonts w:ascii="Sylfaen" w:hAnsi="Sylfaen"/>
          <w:lang w:val="ka-GE"/>
        </w:rPr>
      </w:pPr>
      <w:r>
        <w:rPr>
          <w:rFonts w:ascii="Sylfaen" w:hAnsi="Sylfaen"/>
          <w:lang w:val="ka-GE"/>
        </w:rPr>
        <w:t xml:space="preserve">დადგენილების პროექტის შესაბამისად, </w:t>
      </w:r>
      <w:r w:rsidR="00F55E45">
        <w:rPr>
          <w:rFonts w:ascii="Sylfaen" w:hAnsi="Sylfaen"/>
          <w:lang w:val="ka-GE"/>
        </w:rPr>
        <w:t>შემოთავაზებულია შესაბამისი ბაზრის განსაზღვრის, ე.წ. სამკრიტერიუმიანი ტესტის მეშვეობით</w:t>
      </w:r>
      <w:r w:rsidR="004268C9">
        <w:rPr>
          <w:rFonts w:ascii="Sylfaen" w:hAnsi="Sylfaen"/>
          <w:lang w:val="ka-GE"/>
        </w:rPr>
        <w:t xml:space="preserve"> პოტენციურად</w:t>
      </w:r>
      <w:r w:rsidR="00F55E45">
        <w:rPr>
          <w:rFonts w:ascii="Sylfaen" w:hAnsi="Sylfaen"/>
          <w:lang w:val="ka-GE"/>
        </w:rPr>
        <w:t xml:space="preserve"> </w:t>
      </w:r>
      <w:r w:rsidR="004268C9">
        <w:rPr>
          <w:rFonts w:ascii="Sylfaen" w:hAnsi="Sylfaen"/>
          <w:lang w:val="ka-GE"/>
        </w:rPr>
        <w:t>რეგულირებას დაქვემდებარებადი</w:t>
      </w:r>
      <w:r w:rsidR="00F55E45">
        <w:rPr>
          <w:rFonts w:ascii="Sylfaen" w:hAnsi="Sylfaen"/>
          <w:lang w:val="ka-GE"/>
        </w:rPr>
        <w:t xml:space="preserve"> ბაზრების გამოვლენის, </w:t>
      </w:r>
      <w:r w:rsidR="00920540">
        <w:rPr>
          <w:rFonts w:ascii="Sylfaen" w:hAnsi="Sylfaen"/>
          <w:lang w:val="ka-GE"/>
        </w:rPr>
        <w:t>მნიშვნელოვანი საბაზრო ძალაუფლების მქონე პირის</w:t>
      </w:r>
      <w:r w:rsidR="00F55E45">
        <w:rPr>
          <w:rFonts w:ascii="Sylfaen" w:hAnsi="Sylfaen"/>
          <w:lang w:val="ka-GE"/>
        </w:rPr>
        <w:t>/ერთბლივი მნიშვნელოვანი ძალაუფლების მქონე პირების</w:t>
      </w:r>
      <w:r w:rsidR="00920540">
        <w:rPr>
          <w:rFonts w:ascii="Sylfaen" w:hAnsi="Sylfaen"/>
          <w:lang w:val="ka-GE"/>
        </w:rPr>
        <w:t xml:space="preserve"> </w:t>
      </w:r>
      <w:r w:rsidR="00F55E45">
        <w:rPr>
          <w:rFonts w:ascii="Sylfaen" w:hAnsi="Sylfaen"/>
          <w:lang w:val="ka-GE"/>
        </w:rPr>
        <w:t>იდენტიფიცირების,</w:t>
      </w:r>
      <w:r w:rsidR="00920540">
        <w:rPr>
          <w:rFonts w:ascii="Sylfaen" w:hAnsi="Sylfaen"/>
          <w:lang w:val="ka-GE"/>
        </w:rPr>
        <w:t xml:space="preserve"> </w:t>
      </w:r>
      <w:r w:rsidR="00F55E45" w:rsidRPr="00F34C1C">
        <w:rPr>
          <w:rFonts w:ascii="Sylfaen" w:hAnsi="Sylfaen"/>
          <w:lang w:val="ka-GE"/>
        </w:rPr>
        <w:t>მნიშვნელოვანი საბაზრო ძალაუფლების მქონე ავტორიზებული პირისთვის/პირებისთვის სპეციფიკური ვალდებულებების დაკისრებ</w:t>
      </w:r>
      <w:r w:rsidR="00F55E45">
        <w:rPr>
          <w:rFonts w:ascii="Sylfaen" w:hAnsi="Sylfaen"/>
          <w:lang w:val="ka-GE"/>
        </w:rPr>
        <w:t xml:space="preserve">ის </w:t>
      </w:r>
      <w:r w:rsidR="00D833C9">
        <w:rPr>
          <w:rFonts w:ascii="Sylfaen" w:hAnsi="Sylfaen"/>
          <w:lang w:val="ka-GE"/>
        </w:rPr>
        <w:t>მარეგულირებელი ნორმები.</w:t>
      </w:r>
    </w:p>
    <w:p w14:paraId="25158C8F" w14:textId="1018E2F8" w:rsidR="001A5C4F" w:rsidRDefault="00356BD5" w:rsidP="00251DC7">
      <w:pPr>
        <w:jc w:val="both"/>
        <w:rPr>
          <w:rFonts w:ascii="Sylfaen" w:hAnsi="Sylfaen"/>
          <w:lang w:val="ka-GE"/>
        </w:rPr>
      </w:pPr>
      <w:r>
        <w:rPr>
          <w:rFonts w:ascii="Sylfaen" w:hAnsi="Sylfaen"/>
          <w:lang w:val="ka-GE"/>
        </w:rPr>
        <w:t xml:space="preserve">ამასთან, საჯარო ადმინისტრაციული წარმოების დაწყება გათვალისწინებულია </w:t>
      </w:r>
      <w:r w:rsidR="003539EB">
        <w:rPr>
          <w:rFonts w:ascii="Sylfaen" w:hAnsi="Sylfaen"/>
          <w:lang w:val="ka-GE"/>
        </w:rPr>
        <w:t>პროექტების პაკეტ</w:t>
      </w:r>
      <w:r w:rsidR="00D23998">
        <w:rPr>
          <w:rFonts w:ascii="Sylfaen" w:hAnsi="Sylfaen"/>
          <w:lang w:val="ka-GE"/>
        </w:rPr>
        <w:t>ზე</w:t>
      </w:r>
      <w:r w:rsidR="003539EB">
        <w:rPr>
          <w:rFonts w:ascii="Sylfaen" w:hAnsi="Sylfaen"/>
          <w:lang w:val="ka-GE"/>
        </w:rPr>
        <w:t xml:space="preserve">. კერძოდ, </w:t>
      </w:r>
      <w:r w:rsidR="003539EB" w:rsidRPr="003539EB">
        <w:rPr>
          <w:rFonts w:ascii="Sylfaen" w:hAnsi="Sylfaen"/>
          <w:lang w:val="ka-GE"/>
        </w:rPr>
        <w:t>„ბაზრის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მეთოდოლოგიისა და პროცედურების დამტკიცების თაობაზე" საქართველოს კომუნიკაციების ეროვნული კომისიის დადგენილების მიღები</w:t>
      </w:r>
      <w:r w:rsidR="003539EB">
        <w:rPr>
          <w:rFonts w:ascii="Sylfaen" w:hAnsi="Sylfaen"/>
          <w:lang w:val="ka-GE"/>
        </w:rPr>
        <w:t xml:space="preserve">ს შემდეგ საჭირო გახდება </w:t>
      </w:r>
      <w:r w:rsidR="003539EB" w:rsidRPr="003539EB">
        <w:rPr>
          <w:rFonts w:ascii="Sylfaen" w:hAnsi="Sylfaen"/>
          <w:lang w:val="ka-GE"/>
        </w:rPr>
        <w:t>,,მომსახურების ბაზრის შესაბამისი სეგმენტების განსაზღვრისა და კონკურენტუნარიანობის ანალიზის მეთოდოლოგიური წესების დამტკიცების თაობაზე“ საქართველოს კომუნიკაციების ეროვნული კომისიის 2007 წლის 31 აგვისტოს N5 დადგენილებაში</w:t>
      </w:r>
      <w:r w:rsidR="003539EB">
        <w:rPr>
          <w:rFonts w:ascii="Sylfaen" w:hAnsi="Sylfaen"/>
          <w:lang w:val="ka-GE"/>
        </w:rPr>
        <w:t xml:space="preserve"> ცვლილების შეტანა</w:t>
      </w:r>
      <w:r w:rsidR="006F7CF3">
        <w:rPr>
          <w:rFonts w:ascii="Sylfaen" w:hAnsi="Sylfaen"/>
          <w:lang w:val="ka-GE"/>
        </w:rPr>
        <w:t xml:space="preserve">, </w:t>
      </w:r>
      <w:r w:rsidR="00200790">
        <w:rPr>
          <w:rFonts w:ascii="Sylfaen" w:hAnsi="Sylfaen"/>
          <w:lang w:val="ka-GE"/>
        </w:rPr>
        <w:t>რათა</w:t>
      </w:r>
      <w:r w:rsidR="006F7CF3">
        <w:rPr>
          <w:rFonts w:ascii="Sylfaen" w:hAnsi="Sylfaen"/>
          <w:lang w:val="ka-GE"/>
        </w:rPr>
        <w:t xml:space="preserve"> ერთი და იგივე საკითხი არ დარეგულირდეს ორი სხვადასხვა ნორმატიული აქტით და არ </w:t>
      </w:r>
      <w:r w:rsidR="006826AF">
        <w:rPr>
          <w:rFonts w:ascii="Sylfaen" w:hAnsi="Sylfaen"/>
          <w:lang w:val="ka-GE"/>
        </w:rPr>
        <w:t>მოხდეს</w:t>
      </w:r>
      <w:r w:rsidR="006F7CF3">
        <w:rPr>
          <w:rFonts w:ascii="Sylfaen" w:hAnsi="Sylfaen"/>
          <w:lang w:val="ka-GE"/>
        </w:rPr>
        <w:t xml:space="preserve"> ნორმების კოლიზია. </w:t>
      </w:r>
    </w:p>
    <w:p w14:paraId="1933BC61" w14:textId="343AA37D" w:rsidR="00C560A6" w:rsidRDefault="006B10DA" w:rsidP="00251DC7">
      <w:pPr>
        <w:jc w:val="both"/>
        <w:rPr>
          <w:rFonts w:ascii="Sylfaen" w:hAnsi="Sylfaen"/>
          <w:lang w:val="ka-GE"/>
        </w:rPr>
      </w:pPr>
      <w:r>
        <w:rPr>
          <w:rFonts w:ascii="Sylfaen" w:hAnsi="Sylfaen"/>
          <w:lang w:val="ka-GE"/>
        </w:rPr>
        <w:t>ამდენად,</w:t>
      </w:r>
      <w:r w:rsidR="00AD33CE">
        <w:rPr>
          <w:rFonts w:ascii="Sylfaen" w:hAnsi="Sylfaen"/>
          <w:lang w:val="ka-GE"/>
        </w:rPr>
        <w:t xml:space="preserve"> </w:t>
      </w:r>
      <w:r w:rsidR="00720F8A">
        <w:rPr>
          <w:rFonts w:ascii="Sylfaen" w:hAnsi="Sylfaen"/>
          <w:lang w:val="ka-GE"/>
        </w:rPr>
        <w:t xml:space="preserve">დადგენილების </w:t>
      </w:r>
      <w:r w:rsidR="00AD33CE">
        <w:rPr>
          <w:rFonts w:ascii="Sylfaen" w:hAnsi="Sylfaen"/>
          <w:lang w:val="ka-GE"/>
        </w:rPr>
        <w:t>პროექტთან ერთად</w:t>
      </w:r>
      <w:r w:rsidR="00541179">
        <w:rPr>
          <w:rFonts w:ascii="Sylfaen" w:hAnsi="Sylfaen"/>
          <w:lang w:val="ka-GE"/>
        </w:rPr>
        <w:t>, ერთიან</w:t>
      </w:r>
      <w:r w:rsidR="001A5C4F">
        <w:rPr>
          <w:rFonts w:ascii="Sylfaen" w:hAnsi="Sylfaen"/>
          <w:lang w:val="ka-GE"/>
        </w:rPr>
        <w:t xml:space="preserve"> პაკეტ</w:t>
      </w:r>
      <w:r w:rsidR="00541179">
        <w:rPr>
          <w:rFonts w:ascii="Sylfaen" w:hAnsi="Sylfaen"/>
          <w:lang w:val="ka-GE"/>
        </w:rPr>
        <w:t>ში</w:t>
      </w:r>
      <w:r w:rsidR="006F7CF3">
        <w:rPr>
          <w:rFonts w:ascii="Sylfaen" w:hAnsi="Sylfaen"/>
          <w:lang w:val="ka-GE"/>
        </w:rPr>
        <w:t xml:space="preserve"> </w:t>
      </w:r>
      <w:r w:rsidR="001A5C4F">
        <w:rPr>
          <w:rFonts w:ascii="Sylfaen" w:hAnsi="Sylfaen"/>
          <w:lang w:val="ka-GE"/>
        </w:rPr>
        <w:t xml:space="preserve">შემოთავაზებულია </w:t>
      </w:r>
      <w:r w:rsidR="001A5C4F" w:rsidRPr="003539EB">
        <w:rPr>
          <w:rFonts w:ascii="Sylfaen" w:hAnsi="Sylfaen"/>
          <w:lang w:val="ka-GE"/>
        </w:rPr>
        <w:t>,,მომსახურების ბაზრის შესაბამისი სეგმენტების განსაზღვრისა და კონკურენტუნარიანობის ანალიზის მეთოდოლოგიური წესების დამტკიცების თაობაზე“ საქართველოს კომუნიკაციების ეროვნული კომისიის 2007 წლის 31 აგვისტოს N5 დადგენილებაში</w:t>
      </w:r>
      <w:r w:rsidR="001A5C4F">
        <w:rPr>
          <w:rFonts w:ascii="Sylfaen" w:hAnsi="Sylfaen"/>
          <w:lang w:val="ka-GE"/>
        </w:rPr>
        <w:t xml:space="preserve"> ცვლილების შეტანის თაობაზე“ </w:t>
      </w:r>
      <w:r w:rsidR="00541179">
        <w:rPr>
          <w:rFonts w:ascii="Sylfaen" w:hAnsi="Sylfaen"/>
          <w:lang w:val="ka-GE"/>
        </w:rPr>
        <w:t xml:space="preserve">საქართველოს კომუნიკაციების ეროვნული კომისიის დადგენილების პროექტი. </w:t>
      </w:r>
    </w:p>
    <w:p w14:paraId="7C7EA621" w14:textId="44465D3A" w:rsidR="00251DC7" w:rsidRPr="001C324C" w:rsidRDefault="00122857" w:rsidP="00251DC7">
      <w:pPr>
        <w:jc w:val="both"/>
        <w:rPr>
          <w:rFonts w:ascii="Sylfaen" w:hAnsi="Sylfaen"/>
          <w:lang w:val="ka-GE"/>
        </w:rPr>
      </w:pPr>
      <w:r>
        <w:rPr>
          <w:rFonts w:ascii="Sylfaen" w:hAnsi="Sylfaen"/>
          <w:lang w:val="ka-GE"/>
        </w:rPr>
        <w:t xml:space="preserve">„ელექტრონული კომუნიკაციების შესახებ“ საქართველოს კანონის მე-10 მუხლის პირველი პუნქტის შესაბამისად, </w:t>
      </w:r>
      <w:r w:rsidR="00246C4A">
        <w:rPr>
          <w:rFonts w:ascii="Sylfaen" w:hAnsi="Sylfaen"/>
          <w:lang w:val="ka-GE"/>
        </w:rPr>
        <w:t xml:space="preserve">კომისიის სამართლებრივი აქტები </w:t>
      </w:r>
      <w:r w:rsidR="00246C4A" w:rsidRPr="00246C4A">
        <w:rPr>
          <w:rFonts w:ascii="Sylfaen" w:hAnsi="Sylfaen"/>
          <w:lang w:val="ka-GE"/>
        </w:rPr>
        <w:t xml:space="preserve"> განისაზღვრება „მაუწყებლობის შესახებ“ საქართველოს კანონით</w:t>
      </w:r>
      <w:r w:rsidR="00246C4A">
        <w:rPr>
          <w:rFonts w:ascii="Sylfaen" w:hAnsi="Sylfaen"/>
          <w:lang w:val="ka-GE"/>
        </w:rPr>
        <w:t xml:space="preserve">. თავის მხრივ, </w:t>
      </w:r>
      <w:r w:rsidR="00251DC7" w:rsidRPr="001C324C">
        <w:rPr>
          <w:rFonts w:ascii="Sylfaen" w:hAnsi="Sylfaen"/>
          <w:lang w:val="ka-GE"/>
        </w:rPr>
        <w:t>„მაუწყებლობის შესახებ“ საქართველოს კანონის მე-8 მუხლის მე-2 პუნქტის თანახმად „კომისიის დადგენილება არის ნორმატიული სამართლებრივი აქტი, რომელიც მიიღება ამ კანონის, „ეროვნული მარეგულირებელი ორგანოების შესახებ“ და „ელექტრონული კომუნიკაციების შესახებ“ საქართველოს კანონებისა და სხვა საკანონმდებლო აქტების საფუძველზე, „ნორმატიული აქტების შესახებ“ საქართველოს კანონით დადგენილი წესით.“</w:t>
      </w:r>
      <w:r w:rsidR="0005251D">
        <w:rPr>
          <w:rFonts w:ascii="Sylfaen" w:hAnsi="Sylfaen"/>
          <w:lang w:val="ka-GE"/>
        </w:rPr>
        <w:t xml:space="preserve"> ხოლო, </w:t>
      </w:r>
      <w:r w:rsidR="00EE656F">
        <w:rPr>
          <w:rFonts w:ascii="Sylfaen" w:hAnsi="Sylfaen"/>
          <w:lang w:val="ka-GE"/>
        </w:rPr>
        <w:t>ამავე მუხლის მე-3 პუ</w:t>
      </w:r>
      <w:r w:rsidR="00721EC2">
        <w:rPr>
          <w:rFonts w:ascii="Sylfaen" w:hAnsi="Sylfaen"/>
          <w:lang w:val="ka-GE"/>
        </w:rPr>
        <w:t>ნ</w:t>
      </w:r>
      <w:r w:rsidR="00EE656F">
        <w:rPr>
          <w:rFonts w:ascii="Sylfaen" w:hAnsi="Sylfaen"/>
          <w:lang w:val="ka-GE"/>
        </w:rPr>
        <w:t>ქტის შესაბამისად, „</w:t>
      </w:r>
      <w:r w:rsidR="00EE656F" w:rsidRPr="00EE656F">
        <w:rPr>
          <w:rFonts w:ascii="Sylfaen" w:hAnsi="Sylfaen"/>
          <w:lang w:val="ka-GE"/>
        </w:rPr>
        <w:t>კომისიის გადაწყვეტილება არის ინდივიდუალური სამართლებრივი აქტი, რომელიც მიიღება კანონმდებლობით კომისიისთვის მინიჭებული უფლებამოსილების ფარგლებში</w:t>
      </w:r>
      <w:r w:rsidR="00F250B0">
        <w:rPr>
          <w:rFonts w:ascii="Sylfaen" w:hAnsi="Sylfaen"/>
          <w:lang w:val="ka-GE"/>
        </w:rPr>
        <w:t>.</w:t>
      </w:r>
      <w:r w:rsidR="00EE656F">
        <w:rPr>
          <w:rFonts w:ascii="Sylfaen" w:hAnsi="Sylfaen"/>
          <w:lang w:val="ka-GE"/>
        </w:rPr>
        <w:t>“</w:t>
      </w:r>
    </w:p>
    <w:p w14:paraId="21B82CB6" w14:textId="5B0C47F7" w:rsidR="00251DC7" w:rsidRDefault="00251DC7" w:rsidP="00251DC7">
      <w:pPr>
        <w:jc w:val="both"/>
        <w:rPr>
          <w:rFonts w:ascii="Sylfaen" w:hAnsi="Sylfaen"/>
          <w:lang w:val="ka-GE"/>
        </w:rPr>
      </w:pPr>
      <w:r w:rsidRPr="001C324C">
        <w:rPr>
          <w:rFonts w:ascii="Sylfaen" w:hAnsi="Sylfaen"/>
          <w:lang w:val="ka-GE"/>
        </w:rPr>
        <w:t xml:space="preserve">„ეროვნული მარეგულირებელი ორგანოების შესახებ“ საქართველოს კანონის მე-9 მუხლის </w:t>
      </w:r>
      <w:r w:rsidR="00791698" w:rsidRPr="001C324C">
        <w:rPr>
          <w:rFonts w:ascii="Sylfaen" w:hAnsi="Sylfaen"/>
          <w:lang w:val="ka-GE"/>
        </w:rPr>
        <w:t xml:space="preserve">   </w:t>
      </w:r>
      <w:r w:rsidRPr="001C324C">
        <w:rPr>
          <w:rFonts w:ascii="Sylfaen" w:hAnsi="Sylfaen"/>
          <w:lang w:val="ka-GE"/>
        </w:rPr>
        <w:t>მე-2 პუნქტის თანახმად</w:t>
      </w:r>
      <w:r w:rsidR="004E1581">
        <w:rPr>
          <w:rFonts w:ascii="Sylfaen" w:hAnsi="Sylfaen"/>
          <w:lang w:val="ka-GE"/>
        </w:rPr>
        <w:t>,</w:t>
      </w:r>
      <w:r w:rsidRPr="001C324C">
        <w:rPr>
          <w:rFonts w:ascii="Sylfaen" w:hAnsi="Sylfaen"/>
          <w:lang w:val="ka-GE"/>
        </w:rPr>
        <w:t xml:space="preserve"> </w:t>
      </w:r>
      <w:r w:rsidR="00C36C23">
        <w:rPr>
          <w:rFonts w:ascii="Sylfaen" w:hAnsi="Sylfaen"/>
          <w:lang w:val="ka-GE"/>
        </w:rPr>
        <w:t>„</w:t>
      </w:r>
      <w:r w:rsidRPr="001C324C">
        <w:rPr>
          <w:rFonts w:ascii="Sylfaen" w:hAnsi="Sylfaen"/>
          <w:lang w:val="ka-GE"/>
        </w:rPr>
        <w:t>ეროვნული მარეგულირებელი ორგანოს ნორმატიული აქტია ეროვნული კომისიის დადგენილება</w:t>
      </w:r>
      <w:r w:rsidR="00C36C23">
        <w:rPr>
          <w:rFonts w:ascii="Sylfaen" w:hAnsi="Sylfaen"/>
          <w:lang w:val="ka-GE"/>
        </w:rPr>
        <w:t>“</w:t>
      </w:r>
      <w:r w:rsidRPr="001C324C">
        <w:rPr>
          <w:rFonts w:ascii="Sylfaen" w:hAnsi="Sylfaen"/>
          <w:lang w:val="ka-GE"/>
        </w:rPr>
        <w:t xml:space="preserve">, ხოლო ამავე მუხლის მე-3 პუნქტის თანახმად კი </w:t>
      </w:r>
      <w:r w:rsidR="009C78B6">
        <w:rPr>
          <w:rFonts w:ascii="Sylfaen" w:hAnsi="Sylfaen"/>
          <w:lang w:val="ka-GE"/>
        </w:rPr>
        <w:t>„</w:t>
      </w:r>
      <w:r w:rsidRPr="001C324C">
        <w:rPr>
          <w:rFonts w:ascii="Sylfaen" w:hAnsi="Sylfaen"/>
          <w:lang w:val="ka-GE"/>
        </w:rPr>
        <w:t xml:space="preserve">ეროვნული მარეგულირებელი ორგანო ნორმატიულ აქტებს იღებს „ნორმატიული აქტების შესახებ“ საქართველოს </w:t>
      </w:r>
      <w:r w:rsidR="00292C56" w:rsidRPr="001C324C">
        <w:rPr>
          <w:rFonts w:ascii="Sylfaen" w:hAnsi="Sylfaen"/>
          <w:lang w:val="ka-GE"/>
        </w:rPr>
        <w:t xml:space="preserve">ორგანული </w:t>
      </w:r>
      <w:r w:rsidRPr="001C324C">
        <w:rPr>
          <w:rFonts w:ascii="Sylfaen" w:hAnsi="Sylfaen"/>
          <w:lang w:val="ka-GE"/>
        </w:rPr>
        <w:t xml:space="preserve">კანონის </w:t>
      </w:r>
      <w:r w:rsidRPr="008C57CE">
        <w:rPr>
          <w:rFonts w:ascii="Sylfaen" w:hAnsi="Sylfaen"/>
          <w:lang w:val="ka-GE"/>
        </w:rPr>
        <w:t>შესაბამისად</w:t>
      </w:r>
      <w:r w:rsidR="009C78B6" w:rsidRPr="008C57CE">
        <w:rPr>
          <w:rFonts w:ascii="Sylfaen" w:hAnsi="Sylfaen"/>
          <w:lang w:val="ka-GE"/>
        </w:rPr>
        <w:t>“</w:t>
      </w:r>
      <w:r w:rsidRPr="008C57CE">
        <w:rPr>
          <w:rFonts w:ascii="Sylfaen" w:hAnsi="Sylfaen"/>
          <w:lang w:val="ka-GE"/>
        </w:rPr>
        <w:t xml:space="preserve">. „ნორმატიული აქტების შესახებ“ საქართველოს </w:t>
      </w:r>
      <w:r w:rsidR="00292C56" w:rsidRPr="008C57CE">
        <w:rPr>
          <w:rFonts w:ascii="Sylfaen" w:hAnsi="Sylfaen"/>
          <w:lang w:val="ka-GE"/>
        </w:rPr>
        <w:t xml:space="preserve">ორგანული </w:t>
      </w:r>
      <w:r w:rsidRPr="008C57CE">
        <w:rPr>
          <w:rFonts w:ascii="Sylfaen" w:hAnsi="Sylfaen"/>
          <w:lang w:val="ka-GE"/>
        </w:rPr>
        <w:t>კანონის მე-20 მუხლი</w:t>
      </w:r>
      <w:r w:rsidR="007862BD" w:rsidRPr="008C57CE">
        <w:rPr>
          <w:rFonts w:ascii="Sylfaen" w:hAnsi="Sylfaen"/>
          <w:lang w:val="ka-GE"/>
        </w:rPr>
        <w:t xml:space="preserve"> ითვალისწინებს ნორმატიული აქტის მიღების წესს. ამასთან, ამავე მუხლის</w:t>
      </w:r>
      <w:r w:rsidRPr="008C57CE">
        <w:rPr>
          <w:rFonts w:ascii="Sylfaen" w:hAnsi="Sylfaen"/>
          <w:lang w:val="ka-GE"/>
        </w:rPr>
        <w:t xml:space="preserve"> მე-4 პუნქტის თანახმად ნორმატიულ აქტში ცვლილების (ცვლილებების) ან/და დამატების (დამატებების) შეტანა ხდება მხოლოდ იმავე სახის ნორმატიული აქტით.</w:t>
      </w:r>
      <w:r w:rsidR="00760011">
        <w:rPr>
          <w:rFonts w:ascii="Sylfaen" w:hAnsi="Sylfaen"/>
          <w:lang w:val="ka-GE"/>
        </w:rPr>
        <w:t xml:space="preserve"> </w:t>
      </w:r>
    </w:p>
    <w:p w14:paraId="3F67260E" w14:textId="77777777" w:rsidR="00F55E45" w:rsidRPr="001C324C" w:rsidRDefault="00F55E45" w:rsidP="00F55E45">
      <w:pPr>
        <w:jc w:val="both"/>
        <w:rPr>
          <w:rFonts w:ascii="Sylfaen" w:hAnsi="Sylfaen"/>
          <w:lang w:val="ka-GE"/>
        </w:rPr>
      </w:pPr>
      <w:r w:rsidRPr="001C324C">
        <w:rPr>
          <w:rFonts w:ascii="Sylfaen" w:hAnsi="Sylfaen"/>
          <w:lang w:val="ka-GE"/>
        </w:rPr>
        <w:t>საქართველოს ზოგადი ადმინისტრაციული კოდექსის 103-ე მუხლის 1</w:t>
      </w:r>
      <w:r w:rsidRPr="001C324C">
        <w:rPr>
          <w:rFonts w:ascii="Sylfaen" w:hAnsi="Sylfaen"/>
          <w:vertAlign w:val="superscript"/>
          <w:lang w:val="ka-GE"/>
        </w:rPr>
        <w:t>1</w:t>
      </w:r>
      <w:r w:rsidRPr="001C324C">
        <w:rPr>
          <w:rFonts w:ascii="Sylfaen" w:hAnsi="Sylfaen"/>
          <w:lang w:val="ka-GE"/>
        </w:rPr>
        <w:t xml:space="preserve"> ნაწილის თანახმად</w:t>
      </w:r>
      <w:r>
        <w:rPr>
          <w:rFonts w:ascii="Sylfaen" w:hAnsi="Sylfaen"/>
          <w:lang w:val="ka-GE"/>
        </w:rPr>
        <w:t>,</w:t>
      </w:r>
      <w:r w:rsidRPr="001C324C">
        <w:rPr>
          <w:rFonts w:ascii="Sylfaen" w:hAnsi="Sylfaen"/>
          <w:lang w:val="ka-GE"/>
        </w:rPr>
        <w:t xml:space="preserve"> „თუ კანონით სხვა რამ არ არის დადგენილი, კოლეგიური ადმინისტრაციული ორგანოს მიერ ნორმატიული ადმინისტრაციულ-სამართლებრივი აქტის მიღებისას გამოიყენება საჯარო ადმინისტრაციული წარმოებისათვის დადგენილი წესები.“ ამავე კოდექსის 106</w:t>
      </w:r>
      <w:r w:rsidRPr="001C324C">
        <w:rPr>
          <w:rFonts w:ascii="Sylfaen" w:hAnsi="Sylfaen"/>
          <w:vertAlign w:val="superscript"/>
          <w:lang w:val="ka-GE"/>
        </w:rPr>
        <w:t xml:space="preserve">1 </w:t>
      </w:r>
      <w:r w:rsidRPr="001C324C">
        <w:rPr>
          <w:rFonts w:ascii="Sylfaen" w:hAnsi="Sylfaen"/>
          <w:lang w:val="ka-GE"/>
        </w:rPr>
        <w:t>მუხლის პირველი ნაწილის თანახმად კი</w:t>
      </w:r>
      <w:r>
        <w:rPr>
          <w:rFonts w:ascii="Sylfaen" w:hAnsi="Sylfaen"/>
          <w:lang w:val="ka-GE"/>
        </w:rPr>
        <w:t>,</w:t>
      </w:r>
      <w:r w:rsidRPr="001C324C">
        <w:rPr>
          <w:rFonts w:ascii="Sylfaen" w:hAnsi="Sylfaen"/>
          <w:lang w:val="ka-GE"/>
        </w:rPr>
        <w:t xml:space="preserve"> „ნორმატიული ადმინისტრაციულ-სამართლებრივი აქტის მიღების უფლების მქონე კოლეგიური ადმინისტრაციული ორგანოს მიერ ნორმატიული ადმინისტრაციულ-სამართლებრივი აქტის მისაღებად ადმინისტრაციული წარმოება დაიწყება ამავე ორგანოს გადაწყვეტილებით.“</w:t>
      </w:r>
    </w:p>
    <w:p w14:paraId="3DFC0746" w14:textId="1BA6776D" w:rsidR="00FA67EA" w:rsidRPr="001C324C" w:rsidRDefault="00261F39" w:rsidP="00FA67EA">
      <w:pPr>
        <w:jc w:val="both"/>
        <w:rPr>
          <w:rFonts w:ascii="Sylfaen" w:hAnsi="Sylfaen"/>
          <w:lang w:val="ka-GE"/>
        </w:rPr>
      </w:pPr>
      <w:r>
        <w:rPr>
          <w:rFonts w:ascii="Sylfaen" w:hAnsi="Sylfaen"/>
          <w:lang w:val="ka-GE"/>
        </w:rPr>
        <w:t>„</w:t>
      </w:r>
      <w:r w:rsidRPr="00261F39">
        <w:rPr>
          <w:rFonts w:ascii="Sylfaen" w:hAnsi="Sylfaen"/>
          <w:lang w:val="ka-GE"/>
        </w:rPr>
        <w:t>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w:t>
      </w:r>
      <w:r>
        <w:rPr>
          <w:rFonts w:ascii="Sylfaen" w:hAnsi="Sylfaen"/>
          <w:lang w:val="ka-GE"/>
        </w:rPr>
        <w:t xml:space="preserve">“ </w:t>
      </w:r>
      <w:r w:rsidR="00FA67EA" w:rsidRPr="001C324C">
        <w:rPr>
          <w:rFonts w:ascii="Sylfaen" w:hAnsi="Sylfaen"/>
          <w:lang w:val="ka-GE"/>
        </w:rPr>
        <w:t>საქართველოს კომუნიკაციების ეროვნული კომისიის 2003 წლის 27 ივნისის №1 დადგენილებით დამტკიცებული „საჯარო კონსულტაციების მარეგულირებელი წესის“</w:t>
      </w:r>
      <w:r w:rsidR="0079414B">
        <w:rPr>
          <w:rFonts w:ascii="Sylfaen" w:hAnsi="Sylfaen"/>
          <w:lang w:val="ka-GE"/>
        </w:rPr>
        <w:t xml:space="preserve"> (დანართი N3)</w:t>
      </w:r>
      <w:r w:rsidR="00FA67EA" w:rsidRPr="001C324C">
        <w:rPr>
          <w:rFonts w:ascii="Sylfaen" w:hAnsi="Sylfaen"/>
          <w:lang w:val="ka-GE"/>
        </w:rPr>
        <w:t xml:space="preserve"> მე-4 მუხლის </w:t>
      </w:r>
      <w:r w:rsidR="00F55E45" w:rsidRPr="001C324C">
        <w:rPr>
          <w:rFonts w:ascii="Sylfaen" w:hAnsi="Sylfaen"/>
          <w:lang w:val="ka-GE"/>
        </w:rPr>
        <w:t>„</w:t>
      </w:r>
      <w:r w:rsidR="00F55E45">
        <w:rPr>
          <w:rFonts w:ascii="Sylfaen" w:hAnsi="Sylfaen"/>
          <w:lang w:val="ka-GE"/>
        </w:rPr>
        <w:t>გ</w:t>
      </w:r>
      <w:r w:rsidR="00F55E45" w:rsidRPr="001C324C">
        <w:rPr>
          <w:rFonts w:ascii="Sylfaen" w:hAnsi="Sylfaen"/>
          <w:lang w:val="ka-GE"/>
        </w:rPr>
        <w:t xml:space="preserve">“ </w:t>
      </w:r>
      <w:r w:rsidR="00FA67EA" w:rsidRPr="001C324C">
        <w:rPr>
          <w:rFonts w:ascii="Sylfaen" w:hAnsi="Sylfaen"/>
          <w:lang w:val="ka-GE"/>
        </w:rPr>
        <w:t xml:space="preserve">ქვეპუნქტის </w:t>
      </w:r>
      <w:r w:rsidR="0017070D">
        <w:rPr>
          <w:rFonts w:ascii="Sylfaen" w:hAnsi="Sylfaen"/>
          <w:lang w:val="ka-GE"/>
        </w:rPr>
        <w:t>შესაბამისად,</w:t>
      </w:r>
      <w:r w:rsidR="00FA67EA" w:rsidRPr="001C324C">
        <w:rPr>
          <w:rFonts w:ascii="Sylfaen" w:hAnsi="Sylfaen"/>
          <w:lang w:val="ka-GE"/>
        </w:rPr>
        <w:t xml:space="preserve"> კომისია ადმინისტრაციულ - სამართლებრივი აქტის მიღებამდე (გამოცემამდე) საჯარო კონსულტაციებს მართავს საჯარო ადმინისტრაციული წარმოების ფარგლებში </w:t>
      </w:r>
      <w:r w:rsidR="00F55E45" w:rsidRPr="00F55E45">
        <w:rPr>
          <w:rFonts w:ascii="Sylfaen" w:hAnsi="Sylfaen"/>
          <w:lang w:val="ka-GE"/>
        </w:rPr>
        <w:t>ელექტრონული კომუნიკაციების სფეროში კანონქვემდებარე ნორმატიული აქტის მიღებისას</w:t>
      </w:r>
      <w:r w:rsidR="00F55E45">
        <w:rPr>
          <w:rFonts w:ascii="Sylfaen" w:hAnsi="Sylfaen"/>
          <w:lang w:val="ka-GE"/>
        </w:rPr>
        <w:t>.</w:t>
      </w:r>
    </w:p>
    <w:p w14:paraId="42C37F40" w14:textId="6017BA90" w:rsidR="00512B2A" w:rsidRPr="001C324C" w:rsidRDefault="009906CE" w:rsidP="00512B2A">
      <w:pPr>
        <w:jc w:val="both"/>
        <w:rPr>
          <w:rFonts w:ascii="Sylfaen" w:hAnsi="Sylfaen"/>
          <w:lang w:val="ka-GE"/>
        </w:rPr>
      </w:pPr>
      <w:r w:rsidRPr="001C324C">
        <w:rPr>
          <w:rFonts w:ascii="Sylfaen" w:hAnsi="Sylfaen"/>
          <w:lang w:val="ka-GE"/>
        </w:rPr>
        <w:t>ყოველივე ზემოაღნიშნულიდან გამომდინარე</w:t>
      </w:r>
      <w:r w:rsidR="003E0212" w:rsidRPr="001C324C">
        <w:rPr>
          <w:rFonts w:ascii="Sylfaen" w:hAnsi="Sylfaen"/>
          <w:lang w:val="ka-GE"/>
        </w:rPr>
        <w:t xml:space="preserve">, </w:t>
      </w:r>
      <w:r w:rsidRPr="001C324C">
        <w:rPr>
          <w:rFonts w:ascii="Sylfaen" w:hAnsi="Sylfaen"/>
          <w:lang w:val="ka-GE"/>
        </w:rPr>
        <w:t xml:space="preserve"> </w:t>
      </w:r>
      <w:r w:rsidR="00512B2A" w:rsidRPr="001C324C">
        <w:rPr>
          <w:rFonts w:ascii="Sylfaen" w:hAnsi="Sylfaen"/>
          <w:lang w:val="ka-GE"/>
        </w:rPr>
        <w:t>საქართველოს ზოგადი ადმინისტრაციული კოდექსის 103-ე, 106</w:t>
      </w:r>
      <w:r w:rsidR="00512B2A" w:rsidRPr="001C324C">
        <w:rPr>
          <w:rFonts w:ascii="Sylfaen" w:hAnsi="Sylfaen"/>
          <w:vertAlign w:val="superscript"/>
          <w:lang w:val="ka-GE"/>
        </w:rPr>
        <w:t>1</w:t>
      </w:r>
      <w:r w:rsidR="00512B2A" w:rsidRPr="001C324C">
        <w:rPr>
          <w:rFonts w:ascii="Sylfaen" w:hAnsi="Sylfaen"/>
          <w:lang w:val="ka-GE"/>
        </w:rPr>
        <w:t xml:space="preserve"> და 106</w:t>
      </w:r>
      <w:r w:rsidR="00512B2A" w:rsidRPr="001C324C">
        <w:rPr>
          <w:rFonts w:ascii="Sylfaen" w:hAnsi="Sylfaen"/>
          <w:vertAlign w:val="superscript"/>
          <w:lang w:val="ka-GE"/>
        </w:rPr>
        <w:t>5</w:t>
      </w:r>
      <w:r w:rsidR="00512B2A" w:rsidRPr="001C324C">
        <w:rPr>
          <w:rFonts w:ascii="Sylfaen" w:hAnsi="Sylfaen"/>
          <w:lang w:val="ka-GE"/>
        </w:rPr>
        <w:t xml:space="preserve"> მუხლების, ამავე კოდექსის VII და IX თავების, 177-ე მუხლის მე-4 ნაწილის</w:t>
      </w:r>
      <w:r w:rsidR="00921633" w:rsidRPr="001C324C">
        <w:rPr>
          <w:rFonts w:ascii="Sylfaen" w:hAnsi="Sylfaen"/>
          <w:lang w:val="ka-GE"/>
        </w:rPr>
        <w:t>,</w:t>
      </w:r>
      <w:r w:rsidR="0077707D">
        <w:rPr>
          <w:rFonts w:ascii="Sylfaen" w:hAnsi="Sylfaen"/>
          <w:lang w:val="ka-GE"/>
        </w:rPr>
        <w:t xml:space="preserve"> „ელექტრონული კომუნიკაციების შესახებ“ </w:t>
      </w:r>
      <w:r w:rsidR="00945A72">
        <w:rPr>
          <w:rFonts w:ascii="Sylfaen" w:hAnsi="Sylfaen"/>
          <w:lang w:val="ka-GE"/>
        </w:rPr>
        <w:t xml:space="preserve">საქართველოს კანონის </w:t>
      </w:r>
      <w:r w:rsidR="00444146">
        <w:rPr>
          <w:rFonts w:ascii="Sylfaen" w:hAnsi="Sylfaen"/>
          <w:lang w:val="ka-GE"/>
        </w:rPr>
        <w:t>2</w:t>
      </w:r>
      <w:r w:rsidR="00B22038">
        <w:rPr>
          <w:rFonts w:ascii="Sylfaen" w:hAnsi="Sylfaen"/>
          <w:lang w:val="ka-GE"/>
        </w:rPr>
        <w:t xml:space="preserve">1-ე მუხლის მე-3 პუნქტის, </w:t>
      </w:r>
      <w:r w:rsidR="00FE3311">
        <w:rPr>
          <w:rFonts w:ascii="Sylfaen" w:hAnsi="Sylfaen"/>
          <w:lang w:val="ka-GE"/>
        </w:rPr>
        <w:t>„მაუ</w:t>
      </w:r>
      <w:r w:rsidR="00EE656F">
        <w:rPr>
          <w:rFonts w:ascii="Sylfaen" w:hAnsi="Sylfaen"/>
          <w:lang w:val="ka-GE"/>
        </w:rPr>
        <w:t xml:space="preserve">წყებლობის შესახებ“ საქართველოს კანონის </w:t>
      </w:r>
      <w:r w:rsidR="00E20B44">
        <w:rPr>
          <w:rFonts w:ascii="Sylfaen" w:hAnsi="Sylfaen"/>
          <w:lang w:val="ka-GE"/>
        </w:rPr>
        <w:t>მე-8 მუხლის</w:t>
      </w:r>
      <w:r w:rsidR="00202641">
        <w:rPr>
          <w:rFonts w:ascii="Sylfaen" w:hAnsi="Sylfaen"/>
          <w:lang w:val="ka-GE"/>
        </w:rPr>
        <w:t xml:space="preserve"> პირველი და</w:t>
      </w:r>
      <w:r w:rsidR="00E20B44">
        <w:rPr>
          <w:rFonts w:ascii="Sylfaen" w:hAnsi="Sylfaen"/>
          <w:lang w:val="ka-GE"/>
        </w:rPr>
        <w:t xml:space="preserve"> მე-3 პუნქტ</w:t>
      </w:r>
      <w:r w:rsidR="00202641">
        <w:rPr>
          <w:rFonts w:ascii="Sylfaen" w:hAnsi="Sylfaen"/>
          <w:lang w:val="ka-GE"/>
        </w:rPr>
        <w:t>ებ</w:t>
      </w:r>
      <w:r w:rsidR="00E20B44">
        <w:rPr>
          <w:rFonts w:ascii="Sylfaen" w:hAnsi="Sylfaen"/>
          <w:lang w:val="ka-GE"/>
        </w:rPr>
        <w:t xml:space="preserve">ის, </w:t>
      </w:r>
      <w:r w:rsidR="00921633" w:rsidRPr="001C324C">
        <w:rPr>
          <w:rFonts w:ascii="Sylfaen" w:hAnsi="Sylfaen"/>
          <w:lang w:val="ka-GE"/>
        </w:rPr>
        <w:t xml:space="preserve">„საქართველოს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დადგენილებით დამტკიცებული </w:t>
      </w:r>
      <w:r w:rsidR="005C1F9D" w:rsidRPr="001C324C">
        <w:rPr>
          <w:rFonts w:ascii="Sylfaen" w:hAnsi="Sylfaen"/>
          <w:lang w:val="ka-GE"/>
        </w:rPr>
        <w:t>„</w:t>
      </w:r>
      <w:r w:rsidR="00921633" w:rsidRPr="001C324C">
        <w:rPr>
          <w:rFonts w:ascii="Sylfaen" w:hAnsi="Sylfaen"/>
          <w:lang w:val="ka-GE"/>
        </w:rPr>
        <w:t>საჯარო კონსულტაციების მარეგულირებელი წესის“</w:t>
      </w:r>
      <w:r w:rsidR="008B41D6">
        <w:rPr>
          <w:rFonts w:ascii="Sylfaen" w:hAnsi="Sylfaen"/>
          <w:lang w:val="ka-GE"/>
        </w:rPr>
        <w:t xml:space="preserve"> (დანართი N3)</w:t>
      </w:r>
      <w:r w:rsidR="00921633" w:rsidRPr="001C324C">
        <w:rPr>
          <w:rFonts w:ascii="Sylfaen" w:hAnsi="Sylfaen"/>
          <w:lang w:val="ka-GE"/>
        </w:rPr>
        <w:t xml:space="preserve"> </w:t>
      </w:r>
      <w:r w:rsidR="000E2FEE" w:rsidRPr="001C324C">
        <w:rPr>
          <w:rFonts w:ascii="Sylfaen" w:hAnsi="Sylfaen"/>
          <w:lang w:val="ka-GE"/>
        </w:rPr>
        <w:t xml:space="preserve">მე-4, </w:t>
      </w:r>
      <w:r w:rsidR="00921633" w:rsidRPr="001C324C">
        <w:rPr>
          <w:rFonts w:ascii="Sylfaen" w:hAnsi="Sylfaen"/>
          <w:lang w:val="ka-GE"/>
        </w:rPr>
        <w:t xml:space="preserve">მე-5, მე-6 და მე-7 </w:t>
      </w:r>
      <w:r w:rsidR="00350458" w:rsidRPr="001C324C">
        <w:rPr>
          <w:rFonts w:ascii="Sylfaen" w:hAnsi="Sylfaen"/>
          <w:lang w:val="ka-GE"/>
        </w:rPr>
        <w:t xml:space="preserve">მუხლების </w:t>
      </w:r>
      <w:r w:rsidR="00512B2A" w:rsidRPr="001C324C">
        <w:rPr>
          <w:rFonts w:ascii="Sylfaen" w:hAnsi="Sylfaen"/>
          <w:lang w:val="ka-GE"/>
        </w:rPr>
        <w:t xml:space="preserve">და „ნორმატიული აქტების შესახებ“ საქართველოს </w:t>
      </w:r>
      <w:r w:rsidR="005C1F9D" w:rsidRPr="001C324C">
        <w:rPr>
          <w:rFonts w:ascii="Sylfaen" w:hAnsi="Sylfaen"/>
          <w:lang w:val="ka-GE"/>
        </w:rPr>
        <w:t xml:space="preserve">ორგანული </w:t>
      </w:r>
      <w:r w:rsidR="00512B2A" w:rsidRPr="001C324C">
        <w:rPr>
          <w:rFonts w:ascii="Sylfaen" w:hAnsi="Sylfaen"/>
          <w:lang w:val="ka-GE"/>
        </w:rPr>
        <w:t>კანონის მე-20 მუხლის  შესაბამისად, კომისიამ, კენჭისყრის შედეგად, ერთხმად</w:t>
      </w:r>
    </w:p>
    <w:p w14:paraId="499238C4" w14:textId="3C30643E" w:rsidR="00512B2A" w:rsidRPr="001C324C" w:rsidRDefault="00512B2A" w:rsidP="00512B2A">
      <w:pPr>
        <w:jc w:val="both"/>
        <w:rPr>
          <w:rFonts w:ascii="Sylfaen" w:hAnsi="Sylfaen"/>
          <w:b/>
          <w:bCs/>
          <w:lang w:val="ka-GE"/>
        </w:rPr>
      </w:pPr>
      <w:r w:rsidRPr="001C324C">
        <w:rPr>
          <w:rFonts w:ascii="Sylfaen" w:hAnsi="Sylfaen"/>
          <w:b/>
          <w:bCs/>
          <w:lang w:val="ka-GE"/>
        </w:rPr>
        <w:t>გადაწყვიტა:</w:t>
      </w:r>
    </w:p>
    <w:p w14:paraId="00D8F1A2" w14:textId="7E62ADEB" w:rsidR="0044646A" w:rsidRPr="001C324C" w:rsidRDefault="0044646A" w:rsidP="003A6623">
      <w:pPr>
        <w:numPr>
          <w:ilvl w:val="0"/>
          <w:numId w:val="2"/>
        </w:numPr>
        <w:tabs>
          <w:tab w:val="left" w:pos="270"/>
        </w:tabs>
        <w:spacing w:before="240" w:after="0"/>
        <w:ind w:left="0" w:firstLine="0"/>
        <w:jc w:val="both"/>
        <w:rPr>
          <w:rFonts w:ascii="Sylfaen" w:hAnsi="Sylfaen"/>
          <w:lang w:val="ka-GE"/>
        </w:rPr>
      </w:pPr>
      <w:r w:rsidRPr="001C324C">
        <w:rPr>
          <w:rFonts w:ascii="Sylfaen" w:hAnsi="Sylfaen"/>
          <w:lang w:val="ka-GE"/>
        </w:rPr>
        <w:t xml:space="preserve">დაიწყოს საჯარო ადმინისტრაციული წარმოება </w:t>
      </w:r>
      <w:r w:rsidR="00B867CE" w:rsidRPr="00B867CE">
        <w:rPr>
          <w:rFonts w:ascii="Sylfaen" w:hAnsi="Sylfaen"/>
          <w:lang w:val="ka-GE"/>
        </w:rPr>
        <w:t>„ბაზრის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მეთოდოლოგიისა და პროცედურების დამტკიცების თაობაზე" საქართველოს კომუნიკაციების ეროვნული კომისიის დადგენილების</w:t>
      </w:r>
      <w:r w:rsidR="00B867CE">
        <w:rPr>
          <w:rFonts w:ascii="Sylfaen" w:hAnsi="Sylfaen"/>
          <w:lang w:val="ka-GE"/>
        </w:rPr>
        <w:t xml:space="preserve">ა </w:t>
      </w:r>
      <w:r w:rsidR="00B867CE" w:rsidRPr="00B867CE">
        <w:rPr>
          <w:rFonts w:ascii="Sylfaen" w:hAnsi="Sylfaen"/>
          <w:lang w:val="ka-GE"/>
        </w:rPr>
        <w:t xml:space="preserve">და ,,მომსახურების ბაზრის შესაბამისი სეგმენტების განსაზღვრისა და კონკურენტუნარიანობის ანალიზის მეთოდოლოგიური წესების დამტკიცების თაობაზე“ საქართველოს კომუნიკაციების ეროვნული კომისიის 2007 წლის 31 აგვისტოს N5 დადგენილებაში ცვლილების </w:t>
      </w:r>
      <w:r w:rsidR="007655FF">
        <w:rPr>
          <w:rFonts w:ascii="Sylfaen" w:hAnsi="Sylfaen"/>
          <w:lang w:val="ka-GE"/>
        </w:rPr>
        <w:t xml:space="preserve">შეტანის თაობაზე“ </w:t>
      </w:r>
      <w:r w:rsidRPr="001C324C">
        <w:rPr>
          <w:rFonts w:ascii="Sylfaen" w:hAnsi="Sylfaen"/>
          <w:lang w:val="ka-GE"/>
        </w:rPr>
        <w:t>საქართველოს კომუნიკაციების ეროვნული კომისიის დადგენილების მიღების მიზნით</w:t>
      </w:r>
      <w:r w:rsidR="006D498E">
        <w:rPr>
          <w:rFonts w:ascii="Sylfaen" w:hAnsi="Sylfaen"/>
          <w:lang w:val="ka-GE"/>
        </w:rPr>
        <w:t>.</w:t>
      </w:r>
    </w:p>
    <w:p w14:paraId="1DBA8468" w14:textId="5A876ED1" w:rsidR="0044646A" w:rsidRPr="001C324C" w:rsidRDefault="0044646A" w:rsidP="003A6623">
      <w:pPr>
        <w:numPr>
          <w:ilvl w:val="0"/>
          <w:numId w:val="2"/>
        </w:numPr>
        <w:tabs>
          <w:tab w:val="left" w:pos="270"/>
        </w:tabs>
        <w:spacing w:before="240" w:after="0"/>
        <w:ind w:left="0" w:firstLine="0"/>
        <w:jc w:val="both"/>
        <w:rPr>
          <w:rFonts w:ascii="Sylfaen" w:hAnsi="Sylfaen"/>
          <w:lang w:val="ka-GE"/>
        </w:rPr>
      </w:pPr>
      <w:r w:rsidRPr="001C324C">
        <w:rPr>
          <w:rFonts w:ascii="Sylfaen" w:hAnsi="Sylfaen"/>
          <w:lang w:val="ka-GE"/>
        </w:rPr>
        <w:t> საჯარო ადმინისტრაციული წარმოების ფარგლებში გაიმართოს საჯარო კონსულტაციები</w:t>
      </w:r>
      <w:r w:rsidR="006D498E">
        <w:rPr>
          <w:rFonts w:ascii="Sylfaen" w:hAnsi="Sylfaen"/>
          <w:lang w:val="ka-GE"/>
        </w:rPr>
        <w:t>.</w:t>
      </w:r>
    </w:p>
    <w:p w14:paraId="1776583C" w14:textId="227256A5" w:rsidR="0044646A" w:rsidRPr="00DB2344" w:rsidRDefault="009825D7" w:rsidP="003A6623">
      <w:pPr>
        <w:numPr>
          <w:ilvl w:val="0"/>
          <w:numId w:val="2"/>
        </w:numPr>
        <w:tabs>
          <w:tab w:val="left" w:pos="270"/>
        </w:tabs>
        <w:spacing w:before="240" w:after="0"/>
        <w:ind w:left="0" w:firstLine="0"/>
        <w:jc w:val="both"/>
        <w:rPr>
          <w:rFonts w:ascii="Sylfaen" w:hAnsi="Sylfaen"/>
          <w:lang w:val="ka-GE"/>
        </w:rPr>
      </w:pPr>
      <w:r>
        <w:rPr>
          <w:rFonts w:ascii="Sylfaen" w:hAnsi="Sylfaen"/>
          <w:lang w:val="ka-GE"/>
        </w:rPr>
        <w:t>ამ გადაწყვეტილების პირველ მუხლში მითითებულ</w:t>
      </w:r>
      <w:r w:rsidR="0044646A" w:rsidRPr="001C324C">
        <w:rPr>
          <w:rFonts w:ascii="Sylfaen" w:hAnsi="Sylfaen"/>
          <w:lang w:val="ka-GE"/>
        </w:rPr>
        <w:t xml:space="preserve"> პროექტ</w:t>
      </w:r>
      <w:r>
        <w:rPr>
          <w:rFonts w:ascii="Sylfaen" w:hAnsi="Sylfaen"/>
          <w:lang w:val="ka-GE"/>
        </w:rPr>
        <w:t>ებ</w:t>
      </w:r>
      <w:r w:rsidR="0044646A" w:rsidRPr="001C324C">
        <w:rPr>
          <w:rFonts w:ascii="Sylfaen" w:hAnsi="Sylfaen"/>
          <w:lang w:val="ka-GE"/>
        </w:rPr>
        <w:t xml:space="preserve">თან დაკავშირებით, </w:t>
      </w:r>
      <w:r w:rsidR="0044646A" w:rsidRPr="00DB2344">
        <w:rPr>
          <w:rFonts w:ascii="Sylfaen" w:hAnsi="Sylfaen"/>
          <w:lang w:val="ka-GE"/>
        </w:rPr>
        <w:t xml:space="preserve">დაინტერესებული მხარეების მიერ კომენტარების წარმოდგენის ვადა განისაზღვროს 2023 წლის </w:t>
      </w:r>
      <w:r w:rsidR="0027112A" w:rsidRPr="00DB2344">
        <w:rPr>
          <w:rFonts w:ascii="Sylfaen" w:hAnsi="Sylfaen"/>
          <w:lang w:val="ka-GE"/>
        </w:rPr>
        <w:t>20</w:t>
      </w:r>
      <w:r w:rsidR="003D6DB7" w:rsidRPr="00DB2344">
        <w:rPr>
          <w:rFonts w:ascii="Sylfaen" w:hAnsi="Sylfaen"/>
          <w:lang w:val="ka-GE"/>
        </w:rPr>
        <w:t xml:space="preserve"> დეკემბრის </w:t>
      </w:r>
      <w:r w:rsidR="0044646A" w:rsidRPr="00DB2344">
        <w:rPr>
          <w:rFonts w:ascii="Sylfaen" w:hAnsi="Sylfaen"/>
          <w:lang w:val="ka-GE"/>
        </w:rPr>
        <w:t>ჩათვლით. კომენტარების კომისიაში წარმოდგენა უნდა განხორციელდეს წერილობი</w:t>
      </w:r>
      <w:r w:rsidR="0074201D" w:rsidRPr="00DB2344">
        <w:rPr>
          <w:rFonts w:ascii="Sylfaen" w:hAnsi="Sylfaen"/>
          <w:lang w:val="ka-GE"/>
        </w:rPr>
        <w:t>თ</w:t>
      </w:r>
      <w:r w:rsidR="0044646A" w:rsidRPr="00DB2344">
        <w:rPr>
          <w:rFonts w:ascii="Sylfaen" w:hAnsi="Sylfaen"/>
          <w:lang w:val="ka-GE"/>
        </w:rPr>
        <w:t>, კომისიის შემდეგ მისამართზე: თბილისი, ქეთევან წამებულის გამზ./ბოჭორმის ქ. N50/18 ან კომისიის ელექტრონულ მისამართზე  </w:t>
      </w:r>
      <w:hyperlink r:id="rId6" w:history="1">
        <w:r w:rsidR="0044646A" w:rsidRPr="00DB2344">
          <w:rPr>
            <w:rStyle w:val="Hyperlink"/>
            <w:rFonts w:ascii="Sylfaen" w:hAnsi="Sylfaen"/>
            <w:lang w:val="ka-GE"/>
          </w:rPr>
          <w:t>post@comcom.ge.</w:t>
        </w:r>
      </w:hyperlink>
    </w:p>
    <w:p w14:paraId="3223BB98" w14:textId="73D5F519" w:rsidR="0044646A" w:rsidRPr="00DB2344" w:rsidRDefault="0044646A" w:rsidP="003A6623">
      <w:pPr>
        <w:numPr>
          <w:ilvl w:val="0"/>
          <w:numId w:val="2"/>
        </w:numPr>
        <w:tabs>
          <w:tab w:val="left" w:pos="270"/>
        </w:tabs>
        <w:spacing w:before="240" w:after="0"/>
        <w:ind w:left="0" w:firstLine="0"/>
        <w:jc w:val="both"/>
        <w:rPr>
          <w:rFonts w:ascii="Sylfaen" w:hAnsi="Sylfaen"/>
          <w:lang w:val="ka-GE"/>
        </w:rPr>
      </w:pPr>
      <w:r w:rsidRPr="00DB2344">
        <w:rPr>
          <w:rFonts w:ascii="Sylfaen" w:hAnsi="Sylfaen"/>
          <w:lang w:val="ka-GE"/>
        </w:rPr>
        <w:t> ზეპირი მოსმენა გაიმართოს 2023 წლის</w:t>
      </w:r>
      <w:r w:rsidR="0027112A" w:rsidRPr="00DB2344">
        <w:rPr>
          <w:rFonts w:ascii="Sylfaen" w:hAnsi="Sylfaen"/>
          <w:lang w:val="ka-GE"/>
        </w:rPr>
        <w:t xml:space="preserve"> 28 დეკემბერს,</w:t>
      </w:r>
      <w:r w:rsidRPr="00DB2344">
        <w:rPr>
          <w:rFonts w:ascii="Sylfaen" w:hAnsi="Sylfaen"/>
          <w:lang w:val="ka-GE"/>
        </w:rPr>
        <w:t xml:space="preserve"> 15:00 საათზე, ხოლო დადგენილება მიღებულ იქნ</w:t>
      </w:r>
      <w:r w:rsidR="006C6476" w:rsidRPr="00DB2344">
        <w:rPr>
          <w:rFonts w:ascii="Sylfaen" w:hAnsi="Sylfaen"/>
          <w:lang w:val="ka-GE"/>
        </w:rPr>
        <w:t>ე</w:t>
      </w:r>
      <w:r w:rsidRPr="00DB2344">
        <w:rPr>
          <w:rFonts w:ascii="Sylfaen" w:hAnsi="Sylfaen"/>
          <w:lang w:val="ka-GE"/>
        </w:rPr>
        <w:t>ს ზეპირი მოსმენის გამართვიდან 10 სამუშაო დღის ვადაში.</w:t>
      </w:r>
    </w:p>
    <w:p w14:paraId="109D20A1" w14:textId="0E8C7E68" w:rsidR="00F2268A" w:rsidRPr="00DB2344" w:rsidRDefault="00E910D2" w:rsidP="003A6623">
      <w:pPr>
        <w:numPr>
          <w:ilvl w:val="0"/>
          <w:numId w:val="2"/>
        </w:numPr>
        <w:tabs>
          <w:tab w:val="left" w:pos="270"/>
        </w:tabs>
        <w:spacing w:before="240" w:after="0"/>
        <w:ind w:left="0" w:firstLine="0"/>
        <w:jc w:val="both"/>
        <w:rPr>
          <w:rFonts w:ascii="Sylfaen" w:hAnsi="Sylfaen"/>
          <w:lang w:val="ka-GE"/>
        </w:rPr>
      </w:pPr>
      <w:r w:rsidRPr="00DB2344">
        <w:rPr>
          <w:rFonts w:ascii="Sylfaen" w:hAnsi="Sylfaen"/>
          <w:lang w:val="ka-GE"/>
        </w:rPr>
        <w:t>საჯარო ადმინისტრაციული წარმოების ვადად განისაზღვროს 3 თვე;</w:t>
      </w:r>
    </w:p>
    <w:p w14:paraId="1FE0847C" w14:textId="77777777" w:rsidR="0044646A" w:rsidRPr="001C324C" w:rsidRDefault="0044646A" w:rsidP="003A6623">
      <w:pPr>
        <w:numPr>
          <w:ilvl w:val="0"/>
          <w:numId w:val="2"/>
        </w:numPr>
        <w:tabs>
          <w:tab w:val="left" w:pos="270"/>
        </w:tabs>
        <w:spacing w:before="240" w:after="0"/>
        <w:ind w:left="0" w:firstLine="0"/>
        <w:jc w:val="both"/>
        <w:rPr>
          <w:rFonts w:ascii="Sylfaen" w:hAnsi="Sylfaen"/>
          <w:lang w:val="ka-GE"/>
        </w:rPr>
      </w:pPr>
      <w:r w:rsidRPr="00DB2344">
        <w:rPr>
          <w:rFonts w:ascii="Sylfaen" w:hAnsi="Sylfaen"/>
          <w:lang w:val="ka-GE"/>
        </w:rPr>
        <w:t>დაევალოს კომისიის აპარატის ადმინისტრაციას (ო.</w:t>
      </w:r>
      <w:r w:rsidRPr="001C324C">
        <w:rPr>
          <w:rFonts w:ascii="Sylfaen" w:hAnsi="Sylfaen"/>
          <w:lang w:val="ka-GE"/>
        </w:rPr>
        <w:t xml:space="preserve"> ვოტ) კომისიის ოფიციალურ ვებგვერდზე   (www.comcom.ge) გამოაქვეყნოს:</w:t>
      </w:r>
    </w:p>
    <w:p w14:paraId="0347451B" w14:textId="08DE9CFE" w:rsidR="0044646A" w:rsidRPr="001C324C" w:rsidRDefault="0044646A" w:rsidP="003A6623">
      <w:pPr>
        <w:tabs>
          <w:tab w:val="left" w:pos="270"/>
        </w:tabs>
        <w:spacing w:before="240" w:after="0"/>
        <w:jc w:val="both"/>
        <w:rPr>
          <w:rFonts w:ascii="Sylfaen" w:hAnsi="Sylfaen"/>
          <w:lang w:val="ka-GE"/>
        </w:rPr>
      </w:pPr>
      <w:r w:rsidRPr="001C324C">
        <w:rPr>
          <w:rFonts w:ascii="Sylfaen" w:hAnsi="Sylfaen"/>
          <w:lang w:val="ka-GE"/>
        </w:rPr>
        <w:t>ა) ცნობა საჯარო ადმინისტრაციული წარმოების დაწყებისა და ადმინისტრაციულ- სამართლებრივი აქტ</w:t>
      </w:r>
      <w:r w:rsidR="00E821BA">
        <w:rPr>
          <w:rFonts w:ascii="Sylfaen" w:hAnsi="Sylfaen"/>
          <w:lang w:val="ka-GE"/>
        </w:rPr>
        <w:t>ებ</w:t>
      </w:r>
      <w:r w:rsidRPr="001C324C">
        <w:rPr>
          <w:rFonts w:ascii="Sylfaen" w:hAnsi="Sylfaen"/>
          <w:lang w:val="ka-GE"/>
        </w:rPr>
        <w:t>ის პროექტ</w:t>
      </w:r>
      <w:r w:rsidR="00E821BA">
        <w:rPr>
          <w:rFonts w:ascii="Sylfaen" w:hAnsi="Sylfaen"/>
          <w:lang w:val="ka-GE"/>
        </w:rPr>
        <w:t>ებ</w:t>
      </w:r>
      <w:r w:rsidRPr="001C324C">
        <w:rPr>
          <w:rFonts w:ascii="Sylfaen" w:hAnsi="Sylfaen"/>
          <w:lang w:val="ka-GE"/>
        </w:rPr>
        <w:t>ის საჯარო კონსულტაციაზე წარდგენის თაობაზე, წინამდებარე გადაწყვეტილება</w:t>
      </w:r>
      <w:r w:rsidR="001563D8">
        <w:rPr>
          <w:rFonts w:ascii="Sylfaen" w:hAnsi="Sylfaen"/>
          <w:lang w:val="ka-GE"/>
        </w:rPr>
        <w:t>,</w:t>
      </w:r>
      <w:r w:rsidRPr="001C324C">
        <w:rPr>
          <w:rFonts w:ascii="Sylfaen" w:hAnsi="Sylfaen"/>
          <w:lang w:val="ka-GE"/>
        </w:rPr>
        <w:t xml:space="preserve"> დადგენილების პროექტი</w:t>
      </w:r>
      <w:r w:rsidR="001563D8">
        <w:rPr>
          <w:rFonts w:ascii="Sylfaen" w:hAnsi="Sylfaen"/>
          <w:lang w:val="ka-GE"/>
        </w:rPr>
        <w:t xml:space="preserve"> და</w:t>
      </w:r>
      <w:r w:rsidRPr="001C324C">
        <w:rPr>
          <w:rFonts w:ascii="Sylfaen" w:hAnsi="Sylfaen"/>
          <w:lang w:val="ka-GE"/>
        </w:rPr>
        <w:t xml:space="preserve"> განმარტებითი ბარათი;</w:t>
      </w:r>
    </w:p>
    <w:p w14:paraId="6032D38B" w14:textId="77777777" w:rsidR="0044646A" w:rsidRPr="001C324C" w:rsidRDefault="0044646A" w:rsidP="003A6623">
      <w:pPr>
        <w:tabs>
          <w:tab w:val="left" w:pos="270"/>
        </w:tabs>
        <w:spacing w:before="240" w:after="0"/>
        <w:jc w:val="both"/>
        <w:rPr>
          <w:rFonts w:ascii="Sylfaen" w:hAnsi="Sylfaen"/>
          <w:lang w:val="ka-GE"/>
        </w:rPr>
      </w:pPr>
      <w:r w:rsidRPr="001C324C">
        <w:rPr>
          <w:rFonts w:ascii="Sylfaen" w:hAnsi="Sylfaen"/>
          <w:lang w:val="ka-GE"/>
        </w:rPr>
        <w:t>ბ)   საჯარო ადმინისტრაციული წარმოების ფარგლებში დაინტერესებული მხარის მიერ კომისიაში წარდგენილი კომენტარები (გარდა საიდუმლო/კონფიდენციალური ინფორმაციისა), კომისიაში რეგისტრაციიდან 3 სამუშაო დღის ვადაში.</w:t>
      </w:r>
    </w:p>
    <w:p w14:paraId="18EA5C92" w14:textId="77777777" w:rsidR="0044646A" w:rsidRPr="001C324C" w:rsidRDefault="0044646A" w:rsidP="003A6623">
      <w:pPr>
        <w:numPr>
          <w:ilvl w:val="0"/>
          <w:numId w:val="2"/>
        </w:numPr>
        <w:tabs>
          <w:tab w:val="left" w:pos="270"/>
        </w:tabs>
        <w:spacing w:before="240" w:after="0"/>
        <w:ind w:left="0" w:firstLine="0"/>
        <w:jc w:val="both"/>
        <w:rPr>
          <w:rFonts w:ascii="Sylfaen" w:hAnsi="Sylfaen"/>
          <w:lang w:val="ka-GE"/>
        </w:rPr>
      </w:pPr>
      <w:r w:rsidRPr="001C324C">
        <w:rPr>
          <w:rFonts w:ascii="Sylfaen" w:hAnsi="Sylfaen"/>
          <w:lang w:val="ka-GE"/>
        </w:rPr>
        <w:t xml:space="preserve"> გადაწყვეტილება ძალაში შევიდეს კომისიის სხდომაზე გამოცხადებისთანავე.</w:t>
      </w:r>
    </w:p>
    <w:p w14:paraId="71EE1066" w14:textId="77777777" w:rsidR="0044646A" w:rsidRPr="001C324C" w:rsidRDefault="0044646A" w:rsidP="003A6623">
      <w:pPr>
        <w:numPr>
          <w:ilvl w:val="0"/>
          <w:numId w:val="2"/>
        </w:numPr>
        <w:tabs>
          <w:tab w:val="left" w:pos="270"/>
        </w:tabs>
        <w:spacing w:before="240" w:after="0"/>
        <w:ind w:left="0" w:firstLine="0"/>
        <w:jc w:val="both"/>
        <w:rPr>
          <w:rFonts w:ascii="Sylfaen" w:hAnsi="Sylfaen"/>
          <w:lang w:val="ka-GE"/>
        </w:rPr>
      </w:pPr>
      <w:r w:rsidRPr="001C324C">
        <w:rPr>
          <w:rFonts w:ascii="Sylfaen" w:hAnsi="Sylfaen"/>
          <w:lang w:val="ka-GE"/>
        </w:rPr>
        <w:t>გადაწყვეტილება ცალკე გასაჩივრებას არ ექვემდებარება.</w:t>
      </w:r>
    </w:p>
    <w:p w14:paraId="54F7FE35" w14:textId="524620E4" w:rsidR="0044646A" w:rsidRPr="001C324C" w:rsidRDefault="0044646A" w:rsidP="003A6623">
      <w:pPr>
        <w:numPr>
          <w:ilvl w:val="0"/>
          <w:numId w:val="2"/>
        </w:numPr>
        <w:tabs>
          <w:tab w:val="left" w:pos="270"/>
        </w:tabs>
        <w:spacing w:before="240" w:after="0"/>
        <w:ind w:left="0" w:firstLine="0"/>
        <w:jc w:val="both"/>
        <w:rPr>
          <w:rFonts w:ascii="Sylfaen" w:hAnsi="Sylfaen"/>
          <w:lang w:val="ka-GE"/>
        </w:rPr>
      </w:pPr>
      <w:r w:rsidRPr="001C324C">
        <w:rPr>
          <w:rFonts w:ascii="Sylfaen" w:hAnsi="Sylfaen"/>
          <w:lang w:val="ka-GE"/>
        </w:rPr>
        <w:t>გადაწყვეტილების  შესრულებაზე  კონტროლი  (გარდა  გადაწყვეტილების სარეზოლუციო ნაწილის მე-</w:t>
      </w:r>
      <w:r w:rsidR="00D24405">
        <w:rPr>
          <w:rFonts w:ascii="Sylfaen" w:hAnsi="Sylfaen"/>
          <w:lang w:val="ka-GE"/>
        </w:rPr>
        <w:t>6</w:t>
      </w:r>
      <w:r w:rsidRPr="001C324C">
        <w:rPr>
          <w:rFonts w:ascii="Sylfaen" w:hAnsi="Sylfaen"/>
          <w:lang w:val="ka-GE"/>
        </w:rPr>
        <w:t xml:space="preserve"> პუნქტისა) დაევალოს კომისიის აპარატის </w:t>
      </w:r>
      <w:r w:rsidR="00D25DB9" w:rsidRPr="00D25DB9">
        <w:rPr>
          <w:rFonts w:ascii="Sylfaen" w:hAnsi="Sylfaen"/>
          <w:lang w:val="ka-GE"/>
        </w:rPr>
        <w:t>კონკურენციის  ხელშეწყობისა  და  ბაზრის რეგულირების დეპარტამენტს (ე. სიჭინავა)</w:t>
      </w:r>
      <w:r w:rsidRPr="001C324C">
        <w:rPr>
          <w:rFonts w:ascii="Sylfaen" w:hAnsi="Sylfaen"/>
          <w:lang w:val="ka-GE"/>
        </w:rPr>
        <w:t>.</w:t>
      </w:r>
    </w:p>
    <w:sectPr w:rsidR="0044646A" w:rsidRPr="001C3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C3"/>
    <w:multiLevelType w:val="hybridMultilevel"/>
    <w:tmpl w:val="9B383AFA"/>
    <w:lvl w:ilvl="0" w:tplc="0437000F">
      <w:start w:val="1"/>
      <w:numFmt w:val="decimal"/>
      <w:lvlText w:val="%1."/>
      <w:lvlJc w:val="left"/>
      <w:pPr>
        <w:ind w:left="360" w:hanging="360"/>
      </w:pPr>
      <w:rPr>
        <w:rFonts w:hint="default"/>
      </w:rPr>
    </w:lvl>
    <w:lvl w:ilvl="1" w:tplc="04370019" w:tentative="1">
      <w:start w:val="1"/>
      <w:numFmt w:val="lowerLetter"/>
      <w:lvlText w:val="%2."/>
      <w:lvlJc w:val="left"/>
      <w:pPr>
        <w:ind w:left="1080" w:hanging="360"/>
      </w:pPr>
    </w:lvl>
    <w:lvl w:ilvl="2" w:tplc="0437001B" w:tentative="1">
      <w:start w:val="1"/>
      <w:numFmt w:val="lowerRoman"/>
      <w:lvlText w:val="%3."/>
      <w:lvlJc w:val="right"/>
      <w:pPr>
        <w:ind w:left="1800" w:hanging="180"/>
      </w:pPr>
    </w:lvl>
    <w:lvl w:ilvl="3" w:tplc="0437000F" w:tentative="1">
      <w:start w:val="1"/>
      <w:numFmt w:val="decimal"/>
      <w:lvlText w:val="%4."/>
      <w:lvlJc w:val="left"/>
      <w:pPr>
        <w:ind w:left="2520" w:hanging="360"/>
      </w:pPr>
    </w:lvl>
    <w:lvl w:ilvl="4" w:tplc="04370019" w:tentative="1">
      <w:start w:val="1"/>
      <w:numFmt w:val="lowerLetter"/>
      <w:lvlText w:val="%5."/>
      <w:lvlJc w:val="left"/>
      <w:pPr>
        <w:ind w:left="3240" w:hanging="360"/>
      </w:pPr>
    </w:lvl>
    <w:lvl w:ilvl="5" w:tplc="0437001B" w:tentative="1">
      <w:start w:val="1"/>
      <w:numFmt w:val="lowerRoman"/>
      <w:lvlText w:val="%6."/>
      <w:lvlJc w:val="right"/>
      <w:pPr>
        <w:ind w:left="3960" w:hanging="180"/>
      </w:pPr>
    </w:lvl>
    <w:lvl w:ilvl="6" w:tplc="0437000F" w:tentative="1">
      <w:start w:val="1"/>
      <w:numFmt w:val="decimal"/>
      <w:lvlText w:val="%7."/>
      <w:lvlJc w:val="left"/>
      <w:pPr>
        <w:ind w:left="4680" w:hanging="360"/>
      </w:pPr>
    </w:lvl>
    <w:lvl w:ilvl="7" w:tplc="04370019" w:tentative="1">
      <w:start w:val="1"/>
      <w:numFmt w:val="lowerLetter"/>
      <w:lvlText w:val="%8."/>
      <w:lvlJc w:val="left"/>
      <w:pPr>
        <w:ind w:left="5400" w:hanging="360"/>
      </w:pPr>
    </w:lvl>
    <w:lvl w:ilvl="8" w:tplc="0437001B" w:tentative="1">
      <w:start w:val="1"/>
      <w:numFmt w:val="lowerRoman"/>
      <w:lvlText w:val="%9."/>
      <w:lvlJc w:val="right"/>
      <w:pPr>
        <w:ind w:left="6120" w:hanging="180"/>
      </w:pPr>
    </w:lvl>
  </w:abstractNum>
  <w:abstractNum w:abstractNumId="1" w15:restartNumberingAfterBreak="0">
    <w:nsid w:val="1081503A"/>
    <w:multiLevelType w:val="hybridMultilevel"/>
    <w:tmpl w:val="F8269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E220E"/>
    <w:multiLevelType w:val="hybridMultilevel"/>
    <w:tmpl w:val="63AC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83101"/>
    <w:multiLevelType w:val="hybridMultilevel"/>
    <w:tmpl w:val="EEDAC402"/>
    <w:lvl w:ilvl="0" w:tplc="2688A462">
      <w:start w:val="1"/>
      <w:numFmt w:val="decimal"/>
      <w:lvlText w:val="%1."/>
      <w:lvlJc w:val="left"/>
      <w:pPr>
        <w:ind w:left="360" w:hanging="360"/>
      </w:pPr>
      <w:rPr>
        <w:rFonts w:hint="default"/>
      </w:rPr>
    </w:lvl>
    <w:lvl w:ilvl="1" w:tplc="04370019" w:tentative="1">
      <w:start w:val="1"/>
      <w:numFmt w:val="lowerLetter"/>
      <w:lvlText w:val="%2."/>
      <w:lvlJc w:val="left"/>
      <w:pPr>
        <w:ind w:left="1080" w:hanging="360"/>
      </w:pPr>
    </w:lvl>
    <w:lvl w:ilvl="2" w:tplc="0437001B" w:tentative="1">
      <w:start w:val="1"/>
      <w:numFmt w:val="lowerRoman"/>
      <w:lvlText w:val="%3."/>
      <w:lvlJc w:val="right"/>
      <w:pPr>
        <w:ind w:left="1800" w:hanging="180"/>
      </w:pPr>
    </w:lvl>
    <w:lvl w:ilvl="3" w:tplc="0437000F" w:tentative="1">
      <w:start w:val="1"/>
      <w:numFmt w:val="decimal"/>
      <w:lvlText w:val="%4."/>
      <w:lvlJc w:val="left"/>
      <w:pPr>
        <w:ind w:left="2520" w:hanging="360"/>
      </w:pPr>
    </w:lvl>
    <w:lvl w:ilvl="4" w:tplc="04370019" w:tentative="1">
      <w:start w:val="1"/>
      <w:numFmt w:val="lowerLetter"/>
      <w:lvlText w:val="%5."/>
      <w:lvlJc w:val="left"/>
      <w:pPr>
        <w:ind w:left="3240" w:hanging="360"/>
      </w:pPr>
    </w:lvl>
    <w:lvl w:ilvl="5" w:tplc="0437001B" w:tentative="1">
      <w:start w:val="1"/>
      <w:numFmt w:val="lowerRoman"/>
      <w:lvlText w:val="%6."/>
      <w:lvlJc w:val="right"/>
      <w:pPr>
        <w:ind w:left="3960" w:hanging="180"/>
      </w:pPr>
    </w:lvl>
    <w:lvl w:ilvl="6" w:tplc="0437000F" w:tentative="1">
      <w:start w:val="1"/>
      <w:numFmt w:val="decimal"/>
      <w:lvlText w:val="%7."/>
      <w:lvlJc w:val="left"/>
      <w:pPr>
        <w:ind w:left="4680" w:hanging="360"/>
      </w:pPr>
    </w:lvl>
    <w:lvl w:ilvl="7" w:tplc="04370019" w:tentative="1">
      <w:start w:val="1"/>
      <w:numFmt w:val="lowerLetter"/>
      <w:lvlText w:val="%8."/>
      <w:lvlJc w:val="left"/>
      <w:pPr>
        <w:ind w:left="5400" w:hanging="360"/>
      </w:pPr>
    </w:lvl>
    <w:lvl w:ilvl="8" w:tplc="0437001B" w:tentative="1">
      <w:start w:val="1"/>
      <w:numFmt w:val="lowerRoman"/>
      <w:lvlText w:val="%9."/>
      <w:lvlJc w:val="right"/>
      <w:pPr>
        <w:ind w:left="6120" w:hanging="180"/>
      </w:pPr>
    </w:lvl>
  </w:abstractNum>
  <w:num w:numId="1" w16cid:durableId="238289122">
    <w:abstractNumId w:val="3"/>
  </w:num>
  <w:num w:numId="2" w16cid:durableId="1768580117">
    <w:abstractNumId w:val="0"/>
  </w:num>
  <w:num w:numId="3" w16cid:durableId="944725231">
    <w:abstractNumId w:val="1"/>
  </w:num>
  <w:num w:numId="4" w16cid:durableId="1968268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7E"/>
    <w:rsid w:val="00013788"/>
    <w:rsid w:val="0001706B"/>
    <w:rsid w:val="0002301C"/>
    <w:rsid w:val="00026681"/>
    <w:rsid w:val="000314E0"/>
    <w:rsid w:val="00031EF4"/>
    <w:rsid w:val="00045BC9"/>
    <w:rsid w:val="0005251D"/>
    <w:rsid w:val="00063FFE"/>
    <w:rsid w:val="00074C44"/>
    <w:rsid w:val="00080DBE"/>
    <w:rsid w:val="00086DB3"/>
    <w:rsid w:val="000A4BC5"/>
    <w:rsid w:val="000A63D2"/>
    <w:rsid w:val="000B52BF"/>
    <w:rsid w:val="000B6557"/>
    <w:rsid w:val="000C2E9C"/>
    <w:rsid w:val="000D7CE4"/>
    <w:rsid w:val="000D7CEA"/>
    <w:rsid w:val="000E2FEE"/>
    <w:rsid w:val="000E7670"/>
    <w:rsid w:val="000F268E"/>
    <w:rsid w:val="000F722A"/>
    <w:rsid w:val="0011156A"/>
    <w:rsid w:val="00111A27"/>
    <w:rsid w:val="00122857"/>
    <w:rsid w:val="00124A64"/>
    <w:rsid w:val="00132DCF"/>
    <w:rsid w:val="00136CDC"/>
    <w:rsid w:val="001404D5"/>
    <w:rsid w:val="001436E4"/>
    <w:rsid w:val="001467CA"/>
    <w:rsid w:val="00153A94"/>
    <w:rsid w:val="001563D8"/>
    <w:rsid w:val="00157BE6"/>
    <w:rsid w:val="0016612E"/>
    <w:rsid w:val="00167779"/>
    <w:rsid w:val="0017070D"/>
    <w:rsid w:val="00171BFE"/>
    <w:rsid w:val="001875A3"/>
    <w:rsid w:val="001A5C4F"/>
    <w:rsid w:val="001A75DD"/>
    <w:rsid w:val="001C19B9"/>
    <w:rsid w:val="001C324C"/>
    <w:rsid w:val="001C62F8"/>
    <w:rsid w:val="001F12A9"/>
    <w:rsid w:val="001F3DC2"/>
    <w:rsid w:val="001F764D"/>
    <w:rsid w:val="00200790"/>
    <w:rsid w:val="00202641"/>
    <w:rsid w:val="00202E35"/>
    <w:rsid w:val="00204E6F"/>
    <w:rsid w:val="00215298"/>
    <w:rsid w:val="00230CB2"/>
    <w:rsid w:val="0023395C"/>
    <w:rsid w:val="00234B59"/>
    <w:rsid w:val="00246C4A"/>
    <w:rsid w:val="002517BF"/>
    <w:rsid w:val="00251DC7"/>
    <w:rsid w:val="002564D4"/>
    <w:rsid w:val="002575CB"/>
    <w:rsid w:val="00261064"/>
    <w:rsid w:val="00261F39"/>
    <w:rsid w:val="00262D90"/>
    <w:rsid w:val="002671C6"/>
    <w:rsid w:val="00267775"/>
    <w:rsid w:val="0027112A"/>
    <w:rsid w:val="00277069"/>
    <w:rsid w:val="0028089C"/>
    <w:rsid w:val="00284613"/>
    <w:rsid w:val="002868E0"/>
    <w:rsid w:val="00287B67"/>
    <w:rsid w:val="00292C56"/>
    <w:rsid w:val="00297C3F"/>
    <w:rsid w:val="002A5FD2"/>
    <w:rsid w:val="002B2F05"/>
    <w:rsid w:val="002B31EC"/>
    <w:rsid w:val="002B3FDE"/>
    <w:rsid w:val="002B43E7"/>
    <w:rsid w:val="002B5388"/>
    <w:rsid w:val="002B56F9"/>
    <w:rsid w:val="002C7B1C"/>
    <w:rsid w:val="002D34AB"/>
    <w:rsid w:val="002E51C8"/>
    <w:rsid w:val="002E558C"/>
    <w:rsid w:val="002E7AEB"/>
    <w:rsid w:val="002F0D24"/>
    <w:rsid w:val="00301A01"/>
    <w:rsid w:val="00301CF1"/>
    <w:rsid w:val="00301D14"/>
    <w:rsid w:val="00316D6C"/>
    <w:rsid w:val="003215BC"/>
    <w:rsid w:val="0032788A"/>
    <w:rsid w:val="00332B3A"/>
    <w:rsid w:val="00336060"/>
    <w:rsid w:val="003423BF"/>
    <w:rsid w:val="00350458"/>
    <w:rsid w:val="00351C94"/>
    <w:rsid w:val="00351E89"/>
    <w:rsid w:val="003539EB"/>
    <w:rsid w:val="00356BD5"/>
    <w:rsid w:val="00365F75"/>
    <w:rsid w:val="00374AD8"/>
    <w:rsid w:val="003771F6"/>
    <w:rsid w:val="00381016"/>
    <w:rsid w:val="0038122D"/>
    <w:rsid w:val="00384DF5"/>
    <w:rsid w:val="00395BDB"/>
    <w:rsid w:val="003A39E2"/>
    <w:rsid w:val="003A3BEA"/>
    <w:rsid w:val="003A6623"/>
    <w:rsid w:val="003B04D1"/>
    <w:rsid w:val="003D6DB7"/>
    <w:rsid w:val="003E0212"/>
    <w:rsid w:val="003F5179"/>
    <w:rsid w:val="003F5395"/>
    <w:rsid w:val="004053B6"/>
    <w:rsid w:val="004100BB"/>
    <w:rsid w:val="0041656A"/>
    <w:rsid w:val="004247CA"/>
    <w:rsid w:val="004268C9"/>
    <w:rsid w:val="00444146"/>
    <w:rsid w:val="0044646A"/>
    <w:rsid w:val="00451DED"/>
    <w:rsid w:val="00454745"/>
    <w:rsid w:val="004571FC"/>
    <w:rsid w:val="004600FF"/>
    <w:rsid w:val="00465B5B"/>
    <w:rsid w:val="004816C6"/>
    <w:rsid w:val="00485BED"/>
    <w:rsid w:val="00493C62"/>
    <w:rsid w:val="00495238"/>
    <w:rsid w:val="0049623D"/>
    <w:rsid w:val="004A151B"/>
    <w:rsid w:val="004A3F7C"/>
    <w:rsid w:val="004B1B48"/>
    <w:rsid w:val="004B1E41"/>
    <w:rsid w:val="004C2F1E"/>
    <w:rsid w:val="004E1581"/>
    <w:rsid w:val="004E4DAA"/>
    <w:rsid w:val="0050579D"/>
    <w:rsid w:val="00511678"/>
    <w:rsid w:val="00512B2A"/>
    <w:rsid w:val="005232A9"/>
    <w:rsid w:val="00527A3B"/>
    <w:rsid w:val="00535B28"/>
    <w:rsid w:val="00541179"/>
    <w:rsid w:val="00555C3E"/>
    <w:rsid w:val="00557D15"/>
    <w:rsid w:val="005663BA"/>
    <w:rsid w:val="00567A2E"/>
    <w:rsid w:val="005721EA"/>
    <w:rsid w:val="00580F31"/>
    <w:rsid w:val="00581B94"/>
    <w:rsid w:val="0058569B"/>
    <w:rsid w:val="0059094B"/>
    <w:rsid w:val="005972D3"/>
    <w:rsid w:val="005A0E16"/>
    <w:rsid w:val="005B31CD"/>
    <w:rsid w:val="005B738A"/>
    <w:rsid w:val="005C1F9D"/>
    <w:rsid w:val="005C3D27"/>
    <w:rsid w:val="005D7010"/>
    <w:rsid w:val="005E071F"/>
    <w:rsid w:val="005E0F0A"/>
    <w:rsid w:val="005F7399"/>
    <w:rsid w:val="00602C16"/>
    <w:rsid w:val="00610184"/>
    <w:rsid w:val="006211BF"/>
    <w:rsid w:val="00623EA9"/>
    <w:rsid w:val="00635013"/>
    <w:rsid w:val="006408A2"/>
    <w:rsid w:val="0064383E"/>
    <w:rsid w:val="00644C86"/>
    <w:rsid w:val="0065783B"/>
    <w:rsid w:val="006623CA"/>
    <w:rsid w:val="00664761"/>
    <w:rsid w:val="00672A57"/>
    <w:rsid w:val="00674AC6"/>
    <w:rsid w:val="006826AF"/>
    <w:rsid w:val="00684D3B"/>
    <w:rsid w:val="0068534A"/>
    <w:rsid w:val="006A2D23"/>
    <w:rsid w:val="006A3AFB"/>
    <w:rsid w:val="006A50B3"/>
    <w:rsid w:val="006A6CAE"/>
    <w:rsid w:val="006B10DA"/>
    <w:rsid w:val="006B6AB3"/>
    <w:rsid w:val="006C4752"/>
    <w:rsid w:val="006C4AD6"/>
    <w:rsid w:val="006C6476"/>
    <w:rsid w:val="006D498E"/>
    <w:rsid w:val="006D57DD"/>
    <w:rsid w:val="006E2DF5"/>
    <w:rsid w:val="006E3FC4"/>
    <w:rsid w:val="006E4974"/>
    <w:rsid w:val="006E6093"/>
    <w:rsid w:val="006E65B7"/>
    <w:rsid w:val="006F05AC"/>
    <w:rsid w:val="006F5E6F"/>
    <w:rsid w:val="006F7CF3"/>
    <w:rsid w:val="00710BAA"/>
    <w:rsid w:val="007168FE"/>
    <w:rsid w:val="0072053C"/>
    <w:rsid w:val="00720F8A"/>
    <w:rsid w:val="00721EC2"/>
    <w:rsid w:val="00727B17"/>
    <w:rsid w:val="0074201D"/>
    <w:rsid w:val="00753EC0"/>
    <w:rsid w:val="007543CF"/>
    <w:rsid w:val="007571E0"/>
    <w:rsid w:val="00760011"/>
    <w:rsid w:val="007655FF"/>
    <w:rsid w:val="00771AE9"/>
    <w:rsid w:val="0077707D"/>
    <w:rsid w:val="00777D59"/>
    <w:rsid w:val="00780769"/>
    <w:rsid w:val="007843BF"/>
    <w:rsid w:val="007862BD"/>
    <w:rsid w:val="00791698"/>
    <w:rsid w:val="0079414B"/>
    <w:rsid w:val="007952AA"/>
    <w:rsid w:val="007959A0"/>
    <w:rsid w:val="007B4FDE"/>
    <w:rsid w:val="007B76D2"/>
    <w:rsid w:val="007C584E"/>
    <w:rsid w:val="007C72E9"/>
    <w:rsid w:val="007C7B2B"/>
    <w:rsid w:val="007E4B4D"/>
    <w:rsid w:val="007F22FD"/>
    <w:rsid w:val="007F500F"/>
    <w:rsid w:val="008019DA"/>
    <w:rsid w:val="00801CC1"/>
    <w:rsid w:val="00801FA5"/>
    <w:rsid w:val="008265C8"/>
    <w:rsid w:val="00826964"/>
    <w:rsid w:val="00832EAA"/>
    <w:rsid w:val="00833BF8"/>
    <w:rsid w:val="00851495"/>
    <w:rsid w:val="00853528"/>
    <w:rsid w:val="008558C4"/>
    <w:rsid w:val="00861D86"/>
    <w:rsid w:val="00862C57"/>
    <w:rsid w:val="00864048"/>
    <w:rsid w:val="00864600"/>
    <w:rsid w:val="00871F9D"/>
    <w:rsid w:val="0087349F"/>
    <w:rsid w:val="00876C91"/>
    <w:rsid w:val="008837EA"/>
    <w:rsid w:val="00883DE6"/>
    <w:rsid w:val="008A1550"/>
    <w:rsid w:val="008A73F1"/>
    <w:rsid w:val="008B07DE"/>
    <w:rsid w:val="008B1BDA"/>
    <w:rsid w:val="008B41D6"/>
    <w:rsid w:val="008B6414"/>
    <w:rsid w:val="008C57CE"/>
    <w:rsid w:val="008D7E4A"/>
    <w:rsid w:val="008E312C"/>
    <w:rsid w:val="008F57BF"/>
    <w:rsid w:val="008F6390"/>
    <w:rsid w:val="009030FC"/>
    <w:rsid w:val="00903F2A"/>
    <w:rsid w:val="00905517"/>
    <w:rsid w:val="00920540"/>
    <w:rsid w:val="00921633"/>
    <w:rsid w:val="00923F5D"/>
    <w:rsid w:val="00925C17"/>
    <w:rsid w:val="00927622"/>
    <w:rsid w:val="00945A72"/>
    <w:rsid w:val="00946BB6"/>
    <w:rsid w:val="00957E60"/>
    <w:rsid w:val="00961F49"/>
    <w:rsid w:val="00966AD2"/>
    <w:rsid w:val="0096798B"/>
    <w:rsid w:val="009719DC"/>
    <w:rsid w:val="0098166B"/>
    <w:rsid w:val="009825D7"/>
    <w:rsid w:val="00983F1A"/>
    <w:rsid w:val="009906CE"/>
    <w:rsid w:val="00994DF6"/>
    <w:rsid w:val="009A0C44"/>
    <w:rsid w:val="009A72EA"/>
    <w:rsid w:val="009B7814"/>
    <w:rsid w:val="009C0829"/>
    <w:rsid w:val="009C158B"/>
    <w:rsid w:val="009C1ED4"/>
    <w:rsid w:val="009C3AD4"/>
    <w:rsid w:val="009C78B6"/>
    <w:rsid w:val="009D0E96"/>
    <w:rsid w:val="009D1287"/>
    <w:rsid w:val="009D2A21"/>
    <w:rsid w:val="009E156C"/>
    <w:rsid w:val="009E4741"/>
    <w:rsid w:val="009E74AE"/>
    <w:rsid w:val="009E7FC1"/>
    <w:rsid w:val="00A15F0B"/>
    <w:rsid w:val="00A32924"/>
    <w:rsid w:val="00A3628B"/>
    <w:rsid w:val="00A41BE1"/>
    <w:rsid w:val="00A50314"/>
    <w:rsid w:val="00A556EF"/>
    <w:rsid w:val="00A56F8E"/>
    <w:rsid w:val="00A6127A"/>
    <w:rsid w:val="00A87273"/>
    <w:rsid w:val="00AA35A9"/>
    <w:rsid w:val="00AA4FFE"/>
    <w:rsid w:val="00AA6F15"/>
    <w:rsid w:val="00AB6654"/>
    <w:rsid w:val="00AC04BD"/>
    <w:rsid w:val="00AC0EFC"/>
    <w:rsid w:val="00AC4367"/>
    <w:rsid w:val="00AC5E74"/>
    <w:rsid w:val="00AC67DF"/>
    <w:rsid w:val="00AD1C97"/>
    <w:rsid w:val="00AD33CE"/>
    <w:rsid w:val="00AE0FC8"/>
    <w:rsid w:val="00AE75F4"/>
    <w:rsid w:val="00AF62DE"/>
    <w:rsid w:val="00B02287"/>
    <w:rsid w:val="00B045A4"/>
    <w:rsid w:val="00B2022A"/>
    <w:rsid w:val="00B21215"/>
    <w:rsid w:val="00B22038"/>
    <w:rsid w:val="00B358BF"/>
    <w:rsid w:val="00B36C8D"/>
    <w:rsid w:val="00B516AE"/>
    <w:rsid w:val="00B53572"/>
    <w:rsid w:val="00B60965"/>
    <w:rsid w:val="00B6118C"/>
    <w:rsid w:val="00B66D31"/>
    <w:rsid w:val="00B72BB1"/>
    <w:rsid w:val="00B7621E"/>
    <w:rsid w:val="00B86335"/>
    <w:rsid w:val="00B867CE"/>
    <w:rsid w:val="00B95B28"/>
    <w:rsid w:val="00B9637C"/>
    <w:rsid w:val="00BA4640"/>
    <w:rsid w:val="00BA5629"/>
    <w:rsid w:val="00BB173F"/>
    <w:rsid w:val="00BB6A03"/>
    <w:rsid w:val="00BC3373"/>
    <w:rsid w:val="00BD668B"/>
    <w:rsid w:val="00BE068C"/>
    <w:rsid w:val="00BE61D8"/>
    <w:rsid w:val="00BF07F6"/>
    <w:rsid w:val="00BF5F9B"/>
    <w:rsid w:val="00C02BB8"/>
    <w:rsid w:val="00C047E7"/>
    <w:rsid w:val="00C1580C"/>
    <w:rsid w:val="00C215D2"/>
    <w:rsid w:val="00C36C23"/>
    <w:rsid w:val="00C377C3"/>
    <w:rsid w:val="00C55796"/>
    <w:rsid w:val="00C560A6"/>
    <w:rsid w:val="00C62D07"/>
    <w:rsid w:val="00C632A3"/>
    <w:rsid w:val="00C7020D"/>
    <w:rsid w:val="00C724A1"/>
    <w:rsid w:val="00C76285"/>
    <w:rsid w:val="00C9198C"/>
    <w:rsid w:val="00C927B5"/>
    <w:rsid w:val="00C93835"/>
    <w:rsid w:val="00C94655"/>
    <w:rsid w:val="00CA4BD4"/>
    <w:rsid w:val="00CA5F1F"/>
    <w:rsid w:val="00CD0B9B"/>
    <w:rsid w:val="00CE5154"/>
    <w:rsid w:val="00D144FF"/>
    <w:rsid w:val="00D21D20"/>
    <w:rsid w:val="00D23998"/>
    <w:rsid w:val="00D24405"/>
    <w:rsid w:val="00D25DB9"/>
    <w:rsid w:val="00D3033E"/>
    <w:rsid w:val="00D3440E"/>
    <w:rsid w:val="00D45F1B"/>
    <w:rsid w:val="00D523B6"/>
    <w:rsid w:val="00D66E5C"/>
    <w:rsid w:val="00D74C34"/>
    <w:rsid w:val="00D76C8A"/>
    <w:rsid w:val="00D833C9"/>
    <w:rsid w:val="00D94D15"/>
    <w:rsid w:val="00D96BF8"/>
    <w:rsid w:val="00DA4D2A"/>
    <w:rsid w:val="00DA55B2"/>
    <w:rsid w:val="00DB0CB8"/>
    <w:rsid w:val="00DB1323"/>
    <w:rsid w:val="00DB2344"/>
    <w:rsid w:val="00DB4DFB"/>
    <w:rsid w:val="00DB7290"/>
    <w:rsid w:val="00DC0BBA"/>
    <w:rsid w:val="00DC1D4D"/>
    <w:rsid w:val="00DD32FB"/>
    <w:rsid w:val="00DD7A80"/>
    <w:rsid w:val="00DF18CB"/>
    <w:rsid w:val="00DF5208"/>
    <w:rsid w:val="00DF7905"/>
    <w:rsid w:val="00E019E8"/>
    <w:rsid w:val="00E13B33"/>
    <w:rsid w:val="00E13E89"/>
    <w:rsid w:val="00E14DFC"/>
    <w:rsid w:val="00E20B44"/>
    <w:rsid w:val="00E320DE"/>
    <w:rsid w:val="00E37291"/>
    <w:rsid w:val="00E54207"/>
    <w:rsid w:val="00E56E7F"/>
    <w:rsid w:val="00E65CE3"/>
    <w:rsid w:val="00E70098"/>
    <w:rsid w:val="00E75758"/>
    <w:rsid w:val="00E75E36"/>
    <w:rsid w:val="00E805AF"/>
    <w:rsid w:val="00E81101"/>
    <w:rsid w:val="00E821BA"/>
    <w:rsid w:val="00E910D2"/>
    <w:rsid w:val="00E9481B"/>
    <w:rsid w:val="00EC2B87"/>
    <w:rsid w:val="00EC5B89"/>
    <w:rsid w:val="00ED17D1"/>
    <w:rsid w:val="00EE0647"/>
    <w:rsid w:val="00EE656F"/>
    <w:rsid w:val="00EF2380"/>
    <w:rsid w:val="00F02C7E"/>
    <w:rsid w:val="00F039F5"/>
    <w:rsid w:val="00F17B4D"/>
    <w:rsid w:val="00F2268A"/>
    <w:rsid w:val="00F250B0"/>
    <w:rsid w:val="00F34C1C"/>
    <w:rsid w:val="00F358FC"/>
    <w:rsid w:val="00F54828"/>
    <w:rsid w:val="00F55E45"/>
    <w:rsid w:val="00F57D1F"/>
    <w:rsid w:val="00F63268"/>
    <w:rsid w:val="00F64879"/>
    <w:rsid w:val="00F70713"/>
    <w:rsid w:val="00F806AC"/>
    <w:rsid w:val="00F82669"/>
    <w:rsid w:val="00F82AF1"/>
    <w:rsid w:val="00F93CFF"/>
    <w:rsid w:val="00FA381E"/>
    <w:rsid w:val="00FA47E9"/>
    <w:rsid w:val="00FA52F5"/>
    <w:rsid w:val="00FA5A0D"/>
    <w:rsid w:val="00FA67EA"/>
    <w:rsid w:val="00FA7358"/>
    <w:rsid w:val="00FA7DEB"/>
    <w:rsid w:val="00FB1779"/>
    <w:rsid w:val="00FD15AE"/>
    <w:rsid w:val="00FD2DD9"/>
    <w:rsid w:val="00FD4E94"/>
    <w:rsid w:val="00FD5992"/>
    <w:rsid w:val="00FE008B"/>
    <w:rsid w:val="00FE3311"/>
    <w:rsid w:val="00FE442B"/>
    <w:rsid w:val="00FF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B3030"/>
  <w15:chartTrackingRefBased/>
  <w15:docId w15:val="{20BF4A04-BAA4-4121-AD64-D59A84D1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DEB"/>
    <w:rPr>
      <w:color w:val="0563C1" w:themeColor="hyperlink"/>
      <w:u w:val="single"/>
    </w:rPr>
  </w:style>
  <w:style w:type="character" w:styleId="UnresolvedMention">
    <w:name w:val="Unresolved Mention"/>
    <w:basedOn w:val="DefaultParagraphFont"/>
    <w:uiPriority w:val="99"/>
    <w:semiHidden/>
    <w:unhideWhenUsed/>
    <w:rsid w:val="00FA7DEB"/>
    <w:rPr>
      <w:color w:val="605E5C"/>
      <w:shd w:val="clear" w:color="auto" w:fill="E1DFDD"/>
    </w:rPr>
  </w:style>
  <w:style w:type="paragraph" w:styleId="ListParagraph">
    <w:name w:val="List Paragraph"/>
    <w:basedOn w:val="Normal"/>
    <w:uiPriority w:val="34"/>
    <w:qFormat/>
    <w:rsid w:val="00801FA5"/>
    <w:pPr>
      <w:ind w:left="720"/>
      <w:contextualSpacing/>
    </w:pPr>
  </w:style>
  <w:style w:type="paragraph" w:styleId="Revision">
    <w:name w:val="Revision"/>
    <w:hidden/>
    <w:uiPriority w:val="99"/>
    <w:semiHidden/>
    <w:rsid w:val="00791698"/>
    <w:pPr>
      <w:spacing w:after="0" w:line="240" w:lineRule="auto"/>
    </w:pPr>
  </w:style>
  <w:style w:type="character" w:styleId="CommentReference">
    <w:name w:val="annotation reference"/>
    <w:basedOn w:val="DefaultParagraphFont"/>
    <w:uiPriority w:val="99"/>
    <w:semiHidden/>
    <w:unhideWhenUsed/>
    <w:rsid w:val="00791698"/>
    <w:rPr>
      <w:sz w:val="16"/>
      <w:szCs w:val="16"/>
    </w:rPr>
  </w:style>
  <w:style w:type="paragraph" w:styleId="CommentText">
    <w:name w:val="annotation text"/>
    <w:basedOn w:val="Normal"/>
    <w:link w:val="CommentTextChar"/>
    <w:uiPriority w:val="99"/>
    <w:unhideWhenUsed/>
    <w:rsid w:val="00791698"/>
    <w:pPr>
      <w:spacing w:line="240" w:lineRule="auto"/>
    </w:pPr>
    <w:rPr>
      <w:sz w:val="20"/>
      <w:szCs w:val="20"/>
    </w:rPr>
  </w:style>
  <w:style w:type="character" w:customStyle="1" w:styleId="CommentTextChar">
    <w:name w:val="Comment Text Char"/>
    <w:basedOn w:val="DefaultParagraphFont"/>
    <w:link w:val="CommentText"/>
    <w:uiPriority w:val="99"/>
    <w:rsid w:val="00791698"/>
    <w:rPr>
      <w:sz w:val="20"/>
      <w:szCs w:val="20"/>
    </w:rPr>
  </w:style>
  <w:style w:type="paragraph" w:styleId="CommentSubject">
    <w:name w:val="annotation subject"/>
    <w:basedOn w:val="CommentText"/>
    <w:next w:val="CommentText"/>
    <w:link w:val="CommentSubjectChar"/>
    <w:uiPriority w:val="99"/>
    <w:semiHidden/>
    <w:unhideWhenUsed/>
    <w:rsid w:val="00791698"/>
    <w:rPr>
      <w:b/>
      <w:bCs/>
    </w:rPr>
  </w:style>
  <w:style w:type="character" w:customStyle="1" w:styleId="CommentSubjectChar">
    <w:name w:val="Comment Subject Char"/>
    <w:basedOn w:val="CommentTextChar"/>
    <w:link w:val="CommentSubject"/>
    <w:uiPriority w:val="99"/>
    <w:semiHidden/>
    <w:rsid w:val="007916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4921">
      <w:bodyDiv w:val="1"/>
      <w:marLeft w:val="0"/>
      <w:marRight w:val="0"/>
      <w:marTop w:val="0"/>
      <w:marBottom w:val="0"/>
      <w:divBdr>
        <w:top w:val="none" w:sz="0" w:space="0" w:color="auto"/>
        <w:left w:val="none" w:sz="0" w:space="0" w:color="auto"/>
        <w:bottom w:val="none" w:sz="0" w:space="0" w:color="auto"/>
        <w:right w:val="none" w:sz="0" w:space="0" w:color="auto"/>
      </w:divBdr>
    </w:div>
    <w:div w:id="758597329">
      <w:bodyDiv w:val="1"/>
      <w:marLeft w:val="0"/>
      <w:marRight w:val="0"/>
      <w:marTop w:val="0"/>
      <w:marBottom w:val="0"/>
      <w:divBdr>
        <w:top w:val="none" w:sz="0" w:space="0" w:color="auto"/>
        <w:left w:val="none" w:sz="0" w:space="0" w:color="auto"/>
        <w:bottom w:val="none" w:sz="0" w:space="0" w:color="auto"/>
        <w:right w:val="none" w:sz="0" w:space="0" w:color="auto"/>
      </w:divBdr>
      <w:divsChild>
        <w:div w:id="688525451">
          <w:marLeft w:val="0"/>
          <w:marRight w:val="0"/>
          <w:marTop w:val="0"/>
          <w:marBottom w:val="0"/>
          <w:divBdr>
            <w:top w:val="none" w:sz="0" w:space="0" w:color="auto"/>
            <w:left w:val="none" w:sz="0" w:space="0" w:color="auto"/>
            <w:bottom w:val="none" w:sz="0" w:space="0" w:color="auto"/>
            <w:right w:val="none" w:sz="0" w:space="0" w:color="auto"/>
          </w:divBdr>
        </w:div>
      </w:divsChild>
    </w:div>
    <w:div w:id="12398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st@comcom.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73711-A960-4D66-83ED-CDFE0C05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Goshua</dc:creator>
  <cp:keywords/>
  <dc:description/>
  <cp:lastModifiedBy>Giorgi Kavtaradze</cp:lastModifiedBy>
  <cp:revision>16</cp:revision>
  <dcterms:created xsi:type="dcterms:W3CDTF">2023-11-06T11:45:00Z</dcterms:created>
  <dcterms:modified xsi:type="dcterms:W3CDTF">2023-11-13T07:38:00Z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fabd2b972d5405f7b17daa337db48a6e061888735df44456a63f366ad776ab16</vt:lpwstr>
  </property>
</Properties>
</file>