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E8F2A" w14:textId="5D86BFCA" w:rsidR="005F38B0" w:rsidRPr="003E5818" w:rsidRDefault="00FF6A58" w:rsidP="003E5818">
      <w:pPr>
        <w:spacing w:before="120" w:after="120" w:line="276" w:lineRule="auto"/>
        <w:jc w:val="right"/>
        <w:rPr>
          <w:rFonts w:ascii="Sylfaen" w:hAnsi="Sylfaen"/>
          <w:b/>
          <w:bCs/>
          <w:i/>
          <w:iCs/>
          <w:u w:val="single"/>
          <w:lang w:val="ka-GE"/>
        </w:rPr>
      </w:pPr>
      <w:r w:rsidRPr="003E5818">
        <w:rPr>
          <w:rFonts w:ascii="Sylfaen" w:hAnsi="Sylfaen"/>
          <w:b/>
          <w:bCs/>
          <w:i/>
          <w:iCs/>
          <w:u w:val="single"/>
          <w:lang w:val="ka-GE"/>
        </w:rPr>
        <w:t>პროექტი</w:t>
      </w:r>
    </w:p>
    <w:p w14:paraId="42AF0DCA" w14:textId="77777777" w:rsidR="005F38B0" w:rsidRPr="003E5818" w:rsidRDefault="005F38B0" w:rsidP="003E5818">
      <w:pPr>
        <w:spacing w:before="120" w:after="120" w:line="276" w:lineRule="auto"/>
        <w:jc w:val="center"/>
        <w:rPr>
          <w:rFonts w:ascii="Sylfaen" w:hAnsi="Sylfaen"/>
          <w:b/>
          <w:lang w:val="ka-GE"/>
        </w:rPr>
      </w:pPr>
      <w:r w:rsidRPr="003E5818">
        <w:rPr>
          <w:rFonts w:ascii="Sylfaen" w:hAnsi="Sylfaen"/>
          <w:b/>
          <w:lang w:val="ka-GE"/>
        </w:rPr>
        <w:t>განმარტებითი ბარათი</w:t>
      </w:r>
    </w:p>
    <w:p w14:paraId="50B0C736" w14:textId="77777777" w:rsidR="005F38B0" w:rsidRPr="003E5818" w:rsidRDefault="005F38B0" w:rsidP="003E5818">
      <w:pPr>
        <w:spacing w:before="120" w:after="120" w:line="276" w:lineRule="auto"/>
        <w:jc w:val="center"/>
        <w:rPr>
          <w:rFonts w:ascii="Sylfaen" w:hAnsi="Sylfaen"/>
          <w:b/>
          <w:lang w:val="ka-GE"/>
        </w:rPr>
      </w:pPr>
    </w:p>
    <w:p w14:paraId="71A7ABE1" w14:textId="5C75273E" w:rsidR="00666CB3" w:rsidRPr="003E5818" w:rsidRDefault="008457DC" w:rsidP="003E5818">
      <w:pPr>
        <w:spacing w:before="120" w:after="120" w:line="276" w:lineRule="auto"/>
        <w:jc w:val="center"/>
        <w:rPr>
          <w:rFonts w:ascii="Sylfaen" w:eastAsia="Times New Roman" w:hAnsi="Sylfaen"/>
          <w:b/>
          <w:bCs/>
          <w:lang w:val="ka-GE"/>
        </w:rPr>
      </w:pPr>
      <w:r w:rsidRPr="00CD7E35">
        <w:rPr>
          <w:rFonts w:ascii="Sylfaen" w:hAnsi="Sylfaen"/>
          <w:b/>
          <w:bCs/>
          <w:lang w:val="ka-GE"/>
        </w:rPr>
        <w:t>„საქართველოს კომუნიკაციების ეროვნული კომისიის საქმიანობის მარეგულირებელი წესების დამტკიცების თაობაზე“ საქართველოს კომუნიკაციების ეროვნული კომისიის 2003 წლის 27 ივნისის №1 დადგენილებაში</w:t>
      </w:r>
      <w:r w:rsidRPr="00CD7E35">
        <w:rPr>
          <w:rFonts w:ascii="Sylfaen" w:eastAsia="Times New Roman" w:hAnsi="Sylfaen"/>
          <w:b/>
          <w:bCs/>
        </w:rPr>
        <w:t xml:space="preserve"> </w:t>
      </w:r>
      <w:r>
        <w:rPr>
          <w:rFonts w:ascii="Sylfaen" w:eastAsia="Times New Roman" w:hAnsi="Sylfaen"/>
          <w:b/>
          <w:bCs/>
          <w:lang w:val="ka-GE"/>
        </w:rPr>
        <w:t xml:space="preserve">ცვლილების შეტანის შესახებ </w:t>
      </w:r>
      <w:r w:rsidR="00666CB3" w:rsidRPr="003E5818">
        <w:rPr>
          <w:rFonts w:ascii="Sylfaen" w:eastAsia="Times New Roman" w:hAnsi="Sylfaen"/>
          <w:b/>
          <w:bCs/>
          <w:lang w:val="ka-GE"/>
        </w:rPr>
        <w:t>საქართველოს კომუნიკაციების ეროვნული კომისიის დადგენილების პროექტზე</w:t>
      </w:r>
    </w:p>
    <w:p w14:paraId="537A2420" w14:textId="77777777" w:rsidR="00FF6A58" w:rsidRPr="003E5818" w:rsidRDefault="00FF6A58" w:rsidP="003E5818">
      <w:pPr>
        <w:spacing w:line="276" w:lineRule="auto"/>
        <w:jc w:val="both"/>
        <w:rPr>
          <w:rFonts w:ascii="Sylfaen" w:hAnsi="Sylfaen" w:cs="Sylfaen"/>
          <w:bCs/>
          <w:lang w:val="ka-GE"/>
        </w:rPr>
      </w:pPr>
    </w:p>
    <w:p w14:paraId="22C7B8AC" w14:textId="77777777" w:rsidR="00FF6A58" w:rsidRPr="003E5818" w:rsidRDefault="00FF6A58" w:rsidP="003E5818">
      <w:pPr>
        <w:spacing w:line="276" w:lineRule="auto"/>
        <w:jc w:val="both"/>
        <w:rPr>
          <w:rFonts w:ascii="Sylfaen" w:hAnsi="Sylfaen" w:cs="Sylfaen"/>
          <w:bCs/>
          <w:lang w:val="ka-GE"/>
        </w:rPr>
      </w:pPr>
    </w:p>
    <w:p w14:paraId="1C709648" w14:textId="30BAB1EA" w:rsidR="008457DC" w:rsidRDefault="008457DC" w:rsidP="008457DC">
      <w:pPr>
        <w:jc w:val="both"/>
        <w:rPr>
          <w:rFonts w:ascii="Sylfaen" w:hAnsi="Sylfaen"/>
          <w:lang w:val="ka-GE"/>
        </w:rPr>
      </w:pPr>
      <w:r>
        <w:rPr>
          <w:rFonts w:ascii="Sylfaen" w:eastAsia="Times New Roman" w:hAnsi="Sylfaen" w:cs="Sylfaen"/>
          <w:lang w:val="ka-GE"/>
        </w:rPr>
        <w:t xml:space="preserve">„ეროვნული მარეგულირებელი ორგანოების შესახებ“ საქართველოს კანონის მე-20 მუხლის პირველი პუნქტის „ა“ ქვეპუნქტი განსაზღვრავს მარეგულირებელი ორგანოების უფლებამოსილებას შეიმუშაონ და მიიღონ კომისიის წევრებისა და აპარატის თანამშრომლების პროფესიული და ეთიკური ქცევის მარეგულირებელი წესები. ხსენებული დანაწესის შესაბამისად, კომუნიკაციების ეროვნული კომისიის (შემდგომში - კომუნიკაციების კომისია) 2003 წლის 27 </w:t>
      </w:r>
      <w:r w:rsidRPr="00CD7E35">
        <w:rPr>
          <w:rFonts w:ascii="Sylfaen" w:eastAsia="Times New Roman" w:hAnsi="Sylfaen" w:cs="Sylfaen"/>
          <w:lang w:val="ka-GE"/>
        </w:rPr>
        <w:t xml:space="preserve">ივნისის </w:t>
      </w:r>
      <w:r w:rsidRPr="00CD7E35">
        <w:rPr>
          <w:rFonts w:ascii="Sylfaen" w:hAnsi="Sylfaen"/>
          <w:lang w:val="ka-GE"/>
        </w:rPr>
        <w:t>№1 დადგე</w:t>
      </w:r>
      <w:r>
        <w:rPr>
          <w:rFonts w:ascii="Sylfaen" w:hAnsi="Sylfaen"/>
          <w:lang w:val="ka-GE"/>
        </w:rPr>
        <w:t xml:space="preserve">ნილებით დამტკიცებული </w:t>
      </w:r>
      <w:r w:rsidRPr="00CD7E35">
        <w:rPr>
          <w:rFonts w:ascii="Sylfaen" w:hAnsi="Sylfaen"/>
          <w:lang w:val="ka-GE"/>
        </w:rPr>
        <w:t>საქართველოს კომუნიკაციების ეროვნული კომისიის საქმიანობის მარეგულირებელი წესების</w:t>
      </w:r>
      <w:r>
        <w:rPr>
          <w:rFonts w:ascii="Sylfaen" w:hAnsi="Sylfaen"/>
          <w:lang w:val="ka-GE"/>
        </w:rPr>
        <w:t xml:space="preserve"> (შემდგომში - მარეგულირებელი წესები) მე-3 მუხლი შეიცავს გარკვეულ ნორმებს, რომლებიც აწესრიგებს კომუნიკაციების კომისიის წევრებისა და აპარატის თანამშრომლების ინტერესთა კონფლიქტთან და სხვა ეთიკურ ნორმებთან დაკავშირებულ საკითხებს. თუმცა, აღნიშნული მუხლი არის ზოგადი და იგი დეტალურად არ აწესრიგებს პროფესიული და ეთიკური ქცევის წესებს და ვერ პასუხობს თანამედროვე მოთხოვნებს. აქვე აღსანიშნავია ისიც, რომ საქართველოს მთავრობის 2017 წლის 20 აპრილის </w:t>
      </w:r>
      <w:r w:rsidRPr="00CD7E35">
        <w:rPr>
          <w:rFonts w:ascii="Sylfaen" w:hAnsi="Sylfaen"/>
          <w:lang w:val="ka-GE"/>
        </w:rPr>
        <w:t>№</w:t>
      </w:r>
      <w:r>
        <w:rPr>
          <w:rFonts w:ascii="Sylfaen" w:hAnsi="Sylfaen"/>
          <w:lang w:val="ka-GE"/>
        </w:rPr>
        <w:t xml:space="preserve">200 დადგენილებით დამტკიცებული „საჯარო დაწესებულებაში ეთიკისა და ქცევის ზოგადი წესები“ არ ვრცელდება კომუნიკაციების კომისიის აპარატზე. </w:t>
      </w:r>
    </w:p>
    <w:p w14:paraId="67FC2B6D" w14:textId="480FE6E2" w:rsidR="008457DC" w:rsidRDefault="00CB4A6F" w:rsidP="008457DC">
      <w:pPr>
        <w:jc w:val="both"/>
        <w:rPr>
          <w:rFonts w:ascii="Sylfaen" w:hAnsi="Sylfaen"/>
          <w:lang w:val="ka-GE"/>
        </w:rPr>
      </w:pPr>
      <w:r>
        <w:rPr>
          <w:rFonts w:ascii="Sylfaen" w:hAnsi="Sylfaen"/>
          <w:lang w:val="ka-GE"/>
        </w:rPr>
        <w:t xml:space="preserve">დეტალური, გამართული და თანამედროვე პროფესიული და ეთიკის წესები და მათი პრაქტიკაში აღსრულება ხელს უწყობს ორგანიზაციაში ჯანსაღი და პროფესიული გარემოს ჩამოყალიბებას, გამჭვირვალობას და ზრდის ორგანიზაციის მიმართ საზოგადოების ნდობას, რაც უაღრესად მნიშვნელოვანია ნებისმიერი ორგანიზაციისთვის, განსაკუთრებით კი მარეგულირებელი ორგანოსთვის. </w:t>
      </w:r>
      <w:r w:rsidR="008457DC">
        <w:rPr>
          <w:rFonts w:ascii="Sylfaen" w:hAnsi="Sylfaen"/>
          <w:lang w:val="ka-GE"/>
        </w:rPr>
        <w:t xml:space="preserve">შესაბამისად, დღის წესრიგში დადგა პროფესიული და ეთიკური ქცევის მარეგულირებელი ახალი წესების მიღების საკითხი, რომელიც უპასუხებს თანამედროვე გამოწვევებს და შესაბამისობაში იქნება საერთაშორისო პრაქტიკასთან. </w:t>
      </w:r>
    </w:p>
    <w:p w14:paraId="680F881E" w14:textId="6A7B1168" w:rsidR="00773495" w:rsidRDefault="00CB4A6F" w:rsidP="008457DC">
      <w:pPr>
        <w:jc w:val="both"/>
        <w:rPr>
          <w:rFonts w:ascii="Sylfaen" w:hAnsi="Sylfaen"/>
          <w:lang w:val="ka-GE"/>
        </w:rPr>
      </w:pPr>
      <w:r>
        <w:rPr>
          <w:rFonts w:ascii="Sylfaen" w:hAnsi="Sylfaen"/>
          <w:lang w:val="ka-GE"/>
        </w:rPr>
        <w:t>კომუნიკაციების კომისია წარმოადგენს კონსტიტუციური სტატუსის მქონე დამოუკიდებელ მარეგულირებელ ორგანოს, რომ</w:t>
      </w:r>
      <w:r w:rsidR="00F87EAD">
        <w:rPr>
          <w:rFonts w:ascii="Sylfaen" w:hAnsi="Sylfaen"/>
          <w:lang w:val="ka-GE"/>
        </w:rPr>
        <w:t>ლ</w:t>
      </w:r>
      <w:r>
        <w:rPr>
          <w:rFonts w:ascii="Sylfaen" w:hAnsi="Sylfaen"/>
          <w:lang w:val="ka-GE"/>
        </w:rPr>
        <w:t xml:space="preserve">ის ფუნქციასაც წარმოადგენს მაუწყებლობისა და სატელეკომუნიკაციო დარგების რეგულირება. </w:t>
      </w:r>
      <w:r w:rsidR="00773495">
        <w:rPr>
          <w:rFonts w:ascii="Sylfaen" w:hAnsi="Sylfaen"/>
          <w:lang w:val="ka-GE"/>
        </w:rPr>
        <w:t xml:space="preserve">მოქმედი კანონმდებლობით შექმნილია მყარი საკანონმდებლო და კონსტიტუციური გარანტიები, რათა უზრუნველყოფილი იყოს კომუნიკაციების კომისიის ინსტიტუციური და ფინანსური დამოუკიდებლობა. </w:t>
      </w:r>
      <w:r w:rsidR="00773495">
        <w:rPr>
          <w:rFonts w:ascii="Sylfaen" w:hAnsi="Sylfaen"/>
          <w:lang w:val="ka-GE"/>
        </w:rPr>
        <w:lastRenderedPageBreak/>
        <w:t xml:space="preserve">კანონმდებლობითვეა გარანტირებული კომუნიკაციების კომისიის მიერ გადაწყვეტილებების მიღების პროცესის გამჭვირვალობა და საჯაროობა. </w:t>
      </w:r>
    </w:p>
    <w:p w14:paraId="38C8506D" w14:textId="6F812E6F" w:rsidR="00A32B9C" w:rsidRDefault="00773495" w:rsidP="008457DC">
      <w:pPr>
        <w:jc w:val="both"/>
        <w:rPr>
          <w:rFonts w:ascii="Sylfaen" w:hAnsi="Sylfaen"/>
          <w:lang w:val="ka-GE"/>
        </w:rPr>
      </w:pPr>
      <w:r>
        <w:rPr>
          <w:rFonts w:ascii="Sylfaen" w:hAnsi="Sylfaen"/>
          <w:lang w:val="ka-GE"/>
        </w:rPr>
        <w:t>კომუნიკაციების კომისია თავის საქმიანობაში ეფუძნება კანონიერების, მიუკერძოებლობის</w:t>
      </w:r>
      <w:r w:rsidR="00A32B9C">
        <w:rPr>
          <w:rFonts w:ascii="Sylfaen" w:hAnsi="Sylfaen"/>
          <w:lang w:val="ka-GE"/>
        </w:rPr>
        <w:t>,</w:t>
      </w:r>
      <w:r>
        <w:rPr>
          <w:rFonts w:ascii="Sylfaen" w:hAnsi="Sylfaen"/>
          <w:lang w:val="ka-GE"/>
        </w:rPr>
        <w:t xml:space="preserve"> კეთილსინდისიერების პრინციპებს</w:t>
      </w:r>
      <w:r w:rsidR="00A32B9C">
        <w:rPr>
          <w:rFonts w:ascii="Sylfaen" w:hAnsi="Sylfaen"/>
          <w:lang w:val="ka-GE"/>
        </w:rPr>
        <w:t xml:space="preserve"> და პროფესიონალიზმს. აღნიშნული პრინციპების სამართლებრივ აქტში დეკლარირების მიზანია საზოგადოებამაც იცოდეს თუ რა პრინციპებს ეფუძნება კომუნიკაციების კომისიის მიერ მიღებული თითოეული გადაწყვეტილება და ესმოდეს თუ რა მოიაზრება თითოეული ამ პრინციპის უკან. </w:t>
      </w:r>
    </w:p>
    <w:p w14:paraId="686863A4" w14:textId="7AEB475A" w:rsidR="00A32B9C" w:rsidRDefault="00A32B9C" w:rsidP="00A32B9C">
      <w:pPr>
        <w:jc w:val="both"/>
        <w:rPr>
          <w:rFonts w:ascii="Sylfaen" w:eastAsia="Times New Roman" w:hAnsi="Sylfaen"/>
          <w:lang w:val="ka-GE"/>
        </w:rPr>
      </w:pPr>
      <w:r w:rsidRPr="00A32B9C">
        <w:rPr>
          <w:rFonts w:ascii="Sylfaen" w:eastAsia="Times New Roman" w:hAnsi="Sylfaen" w:cs="Sylfaen"/>
          <w:lang w:val="ka-GE"/>
        </w:rPr>
        <w:t xml:space="preserve">საქართველოს კომუნიკაციების ეროვნული კომისიის თანამშრომელთა </w:t>
      </w:r>
      <w:r w:rsidRPr="00A32B9C">
        <w:rPr>
          <w:rFonts w:ascii="Sylfaen" w:eastAsia="Times New Roman" w:hAnsi="Sylfaen"/>
          <w:lang w:val="ka-GE"/>
        </w:rPr>
        <w:t>პროფესიული და ეთიკური ქცევის წესები</w:t>
      </w:r>
      <w:r w:rsidR="00007E68">
        <w:rPr>
          <w:rFonts w:ascii="Sylfaen" w:eastAsia="Times New Roman" w:hAnsi="Sylfaen"/>
          <w:lang w:val="ka-GE"/>
        </w:rPr>
        <w:t xml:space="preserve"> (შემდგომში - ეთიკის წესები) აწესრიგებს კომუნიკაციების კომისიის თანამშრომელთა მიერ, მათი კომპეტენციის სფეროში შემავალი საკითხების შესახებ, გადაწყვეტილებების მიღებისას სახელმძღვანელო პრინციპებს, ასევე გარე, მესამე პირებთან, ურთიერთობისა და შიდა, თანამშრომლებს შორის, ურთიერთობის საკითხებს. </w:t>
      </w:r>
    </w:p>
    <w:p w14:paraId="3D3990C4" w14:textId="7A676DEB" w:rsidR="00007E68" w:rsidRDefault="00007E68" w:rsidP="00A32B9C">
      <w:pPr>
        <w:jc w:val="both"/>
        <w:rPr>
          <w:rFonts w:ascii="Sylfaen" w:eastAsia="Times New Roman" w:hAnsi="Sylfaen"/>
          <w:lang w:val="ka-GE"/>
        </w:rPr>
      </w:pPr>
      <w:r>
        <w:rPr>
          <w:rFonts w:ascii="Sylfaen" w:eastAsia="Times New Roman" w:hAnsi="Sylfaen"/>
          <w:lang w:val="ka-GE"/>
        </w:rPr>
        <w:t>ეთიკის წესები მნიშვნელოვანია იმითაც, რომ იგი ვრცელდება როგორც კომუნიკაციების კომისიის წევრებზე (გარდა თავად ეთიკის წესებში განსაზღვრული შემთხვევებისა), ასევე კომუნიკაციების კომისიის აპარატის თანამშრომლებზე. ამ მხრივ საყურადღებოა ის, რომ ამ დრომდე კომუნიკაციების კომისიის აპარატის თანამშრომლებზე არ ვრცელდება საჯარო მოხელეების მიმართ მოქმედი ინტერესთა შეუთავსებლობის, კორუფციისა და ეთიკის მარეგულირებელი სამართლებრივი აქტები. კომუნიკაციების კომისიის აპარატის თანამშრომლებზე ვრცელდება</w:t>
      </w:r>
      <w:r w:rsidR="00FE64A8">
        <w:rPr>
          <w:rFonts w:ascii="Sylfaen" w:eastAsia="Times New Roman" w:hAnsi="Sylfaen"/>
          <w:lang w:val="ka-GE"/>
        </w:rPr>
        <w:t xml:space="preserve"> მხოლოდ შესაბამისი სპეციალური კანონმდებლობით (მაგ. „მაუწყებლობის შესახებ“ საქართველოს კანონი, „ეროვნული მარეგულირებელი ორგანოების შესახებ“ საქართველოს კანონი) დადგენილი მოთხოვნები, რომელიც სრულად ვერ ფარავს ინტერესთა კონფლიქტთან და პროფესიული და ეთიკის წესებთან დაკავშირებულ თანამედროვე საკითხებს.</w:t>
      </w:r>
    </w:p>
    <w:p w14:paraId="69E69288" w14:textId="659F3B52" w:rsidR="00FE64A8" w:rsidRDefault="00FE64A8" w:rsidP="00A32B9C">
      <w:pPr>
        <w:jc w:val="both"/>
        <w:rPr>
          <w:rFonts w:ascii="Sylfaen" w:eastAsia="Times New Roman" w:hAnsi="Sylfaen"/>
          <w:lang w:val="ka-GE"/>
        </w:rPr>
      </w:pPr>
      <w:r>
        <w:rPr>
          <w:rFonts w:ascii="Sylfaen" w:eastAsia="Times New Roman" w:hAnsi="Sylfaen"/>
          <w:lang w:val="ka-GE"/>
        </w:rPr>
        <w:t xml:space="preserve">საყურადღებოა ისიც, რომ </w:t>
      </w:r>
      <w:r w:rsidR="00134F6C">
        <w:rPr>
          <w:rFonts w:ascii="Sylfaen" w:eastAsia="Times New Roman" w:hAnsi="Sylfaen"/>
          <w:lang w:val="ka-GE"/>
        </w:rPr>
        <w:t>დამატებით მოწესრიგებას საჭიროებს</w:t>
      </w:r>
      <w:r>
        <w:rPr>
          <w:rFonts w:ascii="Sylfaen" w:eastAsia="Times New Roman" w:hAnsi="Sylfaen"/>
          <w:lang w:val="ka-GE"/>
        </w:rPr>
        <w:t xml:space="preserve"> კომუნიკაციების კომისიის თანამშრომელთა მიერ საჩუქრის მიღებასთან დაკავშირებ</w:t>
      </w:r>
      <w:r w:rsidR="00134F6C">
        <w:rPr>
          <w:rFonts w:ascii="Sylfaen" w:eastAsia="Times New Roman" w:hAnsi="Sylfaen"/>
          <w:lang w:val="ka-GE"/>
        </w:rPr>
        <w:t>ული პრ</w:t>
      </w:r>
      <w:r w:rsidR="00C47BDC">
        <w:rPr>
          <w:rFonts w:ascii="Sylfaen" w:eastAsia="Times New Roman" w:hAnsi="Sylfaen"/>
          <w:lang w:val="ka-GE"/>
        </w:rPr>
        <w:t>ო</w:t>
      </w:r>
      <w:r w:rsidR="00134F6C">
        <w:rPr>
          <w:rFonts w:ascii="Sylfaen" w:eastAsia="Times New Roman" w:hAnsi="Sylfaen"/>
          <w:lang w:val="ka-GE"/>
        </w:rPr>
        <w:t>ცედურები</w:t>
      </w:r>
      <w:r>
        <w:rPr>
          <w:rFonts w:ascii="Sylfaen" w:eastAsia="Times New Roman" w:hAnsi="Sylfaen"/>
          <w:lang w:val="ka-GE"/>
        </w:rPr>
        <w:t>. ამ მიზნით, გაანალიზებულ იქნა დიდი ბრიტანეთის კომუნიკაციების ოფისის და</w:t>
      </w:r>
      <w:r>
        <w:rPr>
          <w:rFonts w:ascii="Sylfaen" w:eastAsia="Times New Roman" w:hAnsi="Sylfaen"/>
        </w:rPr>
        <w:t xml:space="preserve"> </w:t>
      </w:r>
      <w:r>
        <w:rPr>
          <w:rFonts w:ascii="Sylfaen" w:eastAsia="Times New Roman" w:hAnsi="Sylfaen"/>
          <w:lang w:val="ka-GE"/>
        </w:rPr>
        <w:t>ირლანდიის მაუწყებლობისა და ტელეკომუნიკაციების მარეგულირებელი ორგანოების სამართლებრივი აქტები და პროექტით წარმოდგენილ საჩუქრისადმი ახლებურ მოწესრიგებას საფუძვლად დაედო სწორედ ამ ქვეყნების მიდგომები.</w:t>
      </w:r>
    </w:p>
    <w:p w14:paraId="55C2FF9A" w14:textId="1F78F01C" w:rsidR="0034205C" w:rsidRDefault="00FE64A8" w:rsidP="000455F9">
      <w:pPr>
        <w:jc w:val="both"/>
        <w:rPr>
          <w:rFonts w:ascii="Sylfaen" w:hAnsi="Sylfaen"/>
          <w:lang w:val="ka-GE"/>
        </w:rPr>
      </w:pPr>
      <w:r>
        <w:rPr>
          <w:rFonts w:ascii="Sylfaen" w:eastAsia="Times New Roman" w:hAnsi="Sylfaen"/>
          <w:lang w:val="ka-GE"/>
        </w:rPr>
        <w:t xml:space="preserve">ყოველივე ზემოაღნიშნულიდან გამომდინარე, ეთიკის ახალი წესების მიღება </w:t>
      </w:r>
      <w:r w:rsidR="000455F9">
        <w:rPr>
          <w:rFonts w:ascii="Sylfaen" w:eastAsia="Times New Roman" w:hAnsi="Sylfaen"/>
          <w:lang w:val="ka-GE"/>
        </w:rPr>
        <w:t xml:space="preserve">ხელს შეუწყობს </w:t>
      </w:r>
      <w:r w:rsidR="000455F9" w:rsidRPr="00AF0604">
        <w:rPr>
          <w:rFonts w:ascii="Sylfaen" w:hAnsi="Sylfaen" w:cs="Sylfaen"/>
          <w:lang w:val="ka-GE"/>
        </w:rPr>
        <w:t>ეთიკური</w:t>
      </w:r>
      <w:r w:rsidR="000455F9" w:rsidRPr="00AF0604">
        <w:rPr>
          <w:rFonts w:ascii="Sylfaen" w:hAnsi="Sylfaen"/>
          <w:lang w:val="ka-GE"/>
        </w:rPr>
        <w:t xml:space="preserve"> </w:t>
      </w:r>
      <w:r w:rsidR="000455F9" w:rsidRPr="00AF0604">
        <w:rPr>
          <w:rFonts w:ascii="Sylfaen" w:hAnsi="Sylfaen" w:cs="Sylfaen"/>
          <w:lang w:val="ka-GE"/>
        </w:rPr>
        <w:t>გარემოს</w:t>
      </w:r>
      <w:r w:rsidR="000455F9">
        <w:rPr>
          <w:rFonts w:ascii="Sylfaen" w:hAnsi="Sylfaen" w:cs="Sylfaen"/>
          <w:lang w:val="ka-GE"/>
        </w:rPr>
        <w:t>ა</w:t>
      </w:r>
      <w:r w:rsidR="000455F9" w:rsidRPr="00AF0604">
        <w:rPr>
          <w:rFonts w:ascii="Sylfaen" w:hAnsi="Sylfaen"/>
          <w:lang w:val="ka-GE"/>
        </w:rPr>
        <w:t xml:space="preserve"> </w:t>
      </w:r>
      <w:r w:rsidR="000455F9" w:rsidRPr="00AF0604">
        <w:rPr>
          <w:rFonts w:ascii="Sylfaen" w:hAnsi="Sylfaen" w:cs="Sylfaen"/>
          <w:lang w:val="ka-GE"/>
        </w:rPr>
        <w:t>და</w:t>
      </w:r>
      <w:r w:rsidR="000455F9" w:rsidRPr="00AF0604">
        <w:rPr>
          <w:rFonts w:ascii="Sylfaen" w:hAnsi="Sylfaen"/>
          <w:lang w:val="ka-GE"/>
        </w:rPr>
        <w:t xml:space="preserve"> </w:t>
      </w:r>
      <w:r w:rsidR="000455F9" w:rsidRPr="00AF0604">
        <w:rPr>
          <w:rFonts w:ascii="Sylfaen" w:hAnsi="Sylfaen" w:cs="Sylfaen"/>
          <w:lang w:val="ka-GE"/>
        </w:rPr>
        <w:t>პროფესიული</w:t>
      </w:r>
      <w:r w:rsidR="000455F9" w:rsidRPr="00AF0604">
        <w:rPr>
          <w:rFonts w:ascii="Sylfaen" w:hAnsi="Sylfaen"/>
          <w:lang w:val="ka-GE"/>
        </w:rPr>
        <w:t xml:space="preserve"> </w:t>
      </w:r>
      <w:r w:rsidR="000455F9" w:rsidRPr="00AF0604">
        <w:rPr>
          <w:rFonts w:ascii="Sylfaen" w:hAnsi="Sylfaen" w:cs="Sylfaen"/>
          <w:lang w:val="ka-GE"/>
        </w:rPr>
        <w:t>სტანდარტების</w:t>
      </w:r>
      <w:r w:rsidR="000455F9" w:rsidRPr="00AF0604">
        <w:rPr>
          <w:rFonts w:ascii="Sylfaen" w:hAnsi="Sylfaen"/>
          <w:lang w:val="ka-GE"/>
        </w:rPr>
        <w:t xml:space="preserve"> </w:t>
      </w:r>
      <w:r w:rsidR="000455F9">
        <w:rPr>
          <w:rFonts w:ascii="Sylfaen" w:hAnsi="Sylfaen" w:cs="Sylfaen"/>
          <w:lang w:val="ka-GE"/>
        </w:rPr>
        <w:t>გაძლიერებას</w:t>
      </w:r>
      <w:r w:rsidR="000455F9" w:rsidRPr="00AF0604">
        <w:rPr>
          <w:rFonts w:ascii="Sylfaen" w:hAnsi="Sylfaen"/>
          <w:lang w:val="ka-GE"/>
        </w:rPr>
        <w:t xml:space="preserve">, </w:t>
      </w:r>
      <w:r w:rsidR="000455F9" w:rsidRPr="00AF0604">
        <w:rPr>
          <w:rFonts w:ascii="Sylfaen" w:hAnsi="Sylfaen" w:cs="Sylfaen"/>
          <w:lang w:val="ka-GE"/>
        </w:rPr>
        <w:t>რაც</w:t>
      </w:r>
      <w:r w:rsidR="000455F9" w:rsidRPr="00AF0604">
        <w:rPr>
          <w:rFonts w:ascii="Sylfaen" w:hAnsi="Sylfaen"/>
          <w:lang w:val="ka-GE"/>
        </w:rPr>
        <w:t xml:space="preserve"> </w:t>
      </w:r>
      <w:r w:rsidR="000455F9" w:rsidRPr="00AF0604">
        <w:rPr>
          <w:rFonts w:ascii="Sylfaen" w:hAnsi="Sylfaen" w:cs="Sylfaen"/>
          <w:lang w:val="ka-GE"/>
        </w:rPr>
        <w:t>უზრუნველყოფს</w:t>
      </w:r>
      <w:r w:rsidR="000455F9" w:rsidRPr="00AF0604">
        <w:rPr>
          <w:rFonts w:ascii="Sylfaen" w:hAnsi="Sylfaen"/>
          <w:lang w:val="ka-GE"/>
        </w:rPr>
        <w:t xml:space="preserve"> </w:t>
      </w:r>
      <w:r w:rsidR="000455F9" w:rsidRPr="00AF0604">
        <w:rPr>
          <w:rFonts w:ascii="Sylfaen" w:hAnsi="Sylfaen" w:cs="Sylfaen"/>
          <w:lang w:val="ka-GE"/>
        </w:rPr>
        <w:t>მიუკერძოებელი</w:t>
      </w:r>
      <w:r w:rsidR="000455F9" w:rsidRPr="00AF0604">
        <w:rPr>
          <w:rFonts w:ascii="Sylfaen" w:hAnsi="Sylfaen"/>
          <w:lang w:val="ka-GE"/>
        </w:rPr>
        <w:t xml:space="preserve">, </w:t>
      </w:r>
      <w:r w:rsidR="000455F9" w:rsidRPr="00AF0604">
        <w:rPr>
          <w:rFonts w:ascii="Sylfaen" w:hAnsi="Sylfaen" w:cs="Sylfaen"/>
          <w:lang w:val="ka-GE"/>
        </w:rPr>
        <w:t>ობიექტური</w:t>
      </w:r>
      <w:r w:rsidR="000455F9" w:rsidRPr="00AF0604">
        <w:rPr>
          <w:rFonts w:ascii="Sylfaen" w:hAnsi="Sylfaen"/>
          <w:lang w:val="ka-GE"/>
        </w:rPr>
        <w:t xml:space="preserve"> </w:t>
      </w:r>
      <w:r w:rsidR="000455F9" w:rsidRPr="00AF0604">
        <w:rPr>
          <w:rFonts w:ascii="Sylfaen" w:hAnsi="Sylfaen" w:cs="Sylfaen"/>
          <w:lang w:val="ka-GE"/>
        </w:rPr>
        <w:t>და</w:t>
      </w:r>
      <w:r w:rsidR="000455F9" w:rsidRPr="00AF0604">
        <w:rPr>
          <w:rFonts w:ascii="Sylfaen" w:hAnsi="Sylfaen"/>
          <w:lang w:val="ka-GE"/>
        </w:rPr>
        <w:t xml:space="preserve"> </w:t>
      </w:r>
      <w:r w:rsidR="000455F9" w:rsidRPr="00AF0604">
        <w:rPr>
          <w:rFonts w:ascii="Sylfaen" w:hAnsi="Sylfaen" w:cs="Sylfaen"/>
          <w:lang w:val="ka-GE"/>
        </w:rPr>
        <w:t>კოლეგიალური</w:t>
      </w:r>
      <w:r w:rsidR="000455F9" w:rsidRPr="00AF0604">
        <w:rPr>
          <w:rFonts w:ascii="Sylfaen" w:hAnsi="Sylfaen"/>
          <w:lang w:val="ka-GE"/>
        </w:rPr>
        <w:t xml:space="preserve"> საჯარო დაწესებულის არსებობას, </w:t>
      </w:r>
      <w:r w:rsidR="000455F9" w:rsidRPr="00AF0604">
        <w:rPr>
          <w:rFonts w:ascii="Sylfaen" w:hAnsi="Sylfaen" w:cs="Sylfaen"/>
          <w:lang w:val="ka-GE"/>
        </w:rPr>
        <w:t>ასევე</w:t>
      </w:r>
      <w:r w:rsidR="000455F9" w:rsidRPr="00AF0604">
        <w:rPr>
          <w:rFonts w:ascii="Sylfaen" w:hAnsi="Sylfaen"/>
          <w:lang w:val="ka-GE"/>
        </w:rPr>
        <w:t xml:space="preserve"> </w:t>
      </w:r>
      <w:r w:rsidR="000455F9" w:rsidRPr="00AF0604">
        <w:rPr>
          <w:rFonts w:ascii="Sylfaen" w:hAnsi="Sylfaen" w:cs="Sylfaen"/>
          <w:lang w:val="ka-GE"/>
        </w:rPr>
        <w:t>კომუნიკაციების კომისიის</w:t>
      </w:r>
      <w:r w:rsidR="000455F9" w:rsidRPr="00AF0604">
        <w:rPr>
          <w:rFonts w:ascii="Sylfaen" w:hAnsi="Sylfaen"/>
          <w:lang w:val="ka-GE"/>
        </w:rPr>
        <w:t xml:space="preserve"> </w:t>
      </w:r>
      <w:r w:rsidR="000455F9" w:rsidRPr="00AF0604">
        <w:rPr>
          <w:rFonts w:ascii="Sylfaen" w:hAnsi="Sylfaen" w:cs="Sylfaen"/>
          <w:lang w:val="ka-GE"/>
        </w:rPr>
        <w:t>მიმართ</w:t>
      </w:r>
      <w:r w:rsidR="000455F9" w:rsidRPr="00AF0604">
        <w:rPr>
          <w:rFonts w:ascii="Sylfaen" w:hAnsi="Sylfaen"/>
          <w:lang w:val="ka-GE"/>
        </w:rPr>
        <w:t xml:space="preserve"> </w:t>
      </w:r>
      <w:r w:rsidR="000455F9" w:rsidRPr="00AF0604">
        <w:rPr>
          <w:rFonts w:ascii="Sylfaen" w:hAnsi="Sylfaen" w:cs="Sylfaen"/>
          <w:lang w:val="ka-GE"/>
        </w:rPr>
        <w:t>საზოგადოების</w:t>
      </w:r>
      <w:r w:rsidR="000455F9" w:rsidRPr="00AF0604">
        <w:rPr>
          <w:rFonts w:ascii="Sylfaen" w:hAnsi="Sylfaen"/>
          <w:lang w:val="ka-GE"/>
        </w:rPr>
        <w:t xml:space="preserve"> </w:t>
      </w:r>
      <w:r w:rsidR="000455F9" w:rsidRPr="00AF0604">
        <w:rPr>
          <w:rFonts w:ascii="Sylfaen" w:hAnsi="Sylfaen" w:cs="Sylfaen"/>
          <w:lang w:val="ka-GE"/>
        </w:rPr>
        <w:t>ნდობის</w:t>
      </w:r>
      <w:r w:rsidR="000455F9" w:rsidRPr="00AF0604">
        <w:rPr>
          <w:rFonts w:ascii="Sylfaen" w:hAnsi="Sylfaen"/>
          <w:lang w:val="ka-GE"/>
        </w:rPr>
        <w:t xml:space="preserve"> </w:t>
      </w:r>
      <w:r w:rsidR="000455F9" w:rsidRPr="00AF0604">
        <w:rPr>
          <w:rFonts w:ascii="Sylfaen" w:hAnsi="Sylfaen" w:cs="Sylfaen"/>
          <w:lang w:val="ka-GE"/>
        </w:rPr>
        <w:t>გაზრდას</w:t>
      </w:r>
      <w:r w:rsidR="000455F9" w:rsidRPr="00AF0604">
        <w:rPr>
          <w:rFonts w:ascii="Sylfaen" w:hAnsi="Sylfaen"/>
          <w:lang w:val="ka-GE"/>
        </w:rPr>
        <w:t>. </w:t>
      </w:r>
    </w:p>
    <w:p w14:paraId="48EBD1FE" w14:textId="4CA9D31A" w:rsidR="00C01F78" w:rsidRPr="00C01F78" w:rsidRDefault="00C01F78" w:rsidP="000455F9">
      <w:pPr>
        <w:jc w:val="both"/>
        <w:rPr>
          <w:rFonts w:ascii="Sylfaen" w:eastAsia="Times New Roman" w:hAnsi="Sylfaen" w:cs="Sylfaen"/>
          <w:lang w:val="ka-GE"/>
        </w:rPr>
      </w:pPr>
      <w:r>
        <w:rPr>
          <w:rFonts w:ascii="Sylfaen" w:hAnsi="Sylfaen"/>
          <w:lang w:val="ka-GE"/>
        </w:rPr>
        <w:t>ვინაიდან ეთიკის წესების დამტკიცება მოხდება დანართის სახით, ცვლილება უნდა შევიდეს მარეგულირებელი წესების პირველი მუხლის მე-2 პუნქტის „ა“ ქვეპუნქტში და ამოღებულ იქნას სიტყვები „</w:t>
      </w:r>
      <w:r>
        <w:rPr>
          <w:rFonts w:ascii="Sylfaen" w:hAnsi="Sylfaen" w:cs="Sylfaen"/>
        </w:rPr>
        <w:t>კომისიის</w:t>
      </w:r>
      <w:r>
        <w:t xml:space="preserve"> </w:t>
      </w:r>
      <w:r>
        <w:rPr>
          <w:rFonts w:ascii="Sylfaen" w:hAnsi="Sylfaen" w:cs="Sylfaen"/>
        </w:rPr>
        <w:t>წევრებისა</w:t>
      </w:r>
      <w:r>
        <w:t xml:space="preserve"> </w:t>
      </w:r>
      <w:r>
        <w:rPr>
          <w:rFonts w:ascii="Sylfaen" w:hAnsi="Sylfaen" w:cs="Sylfaen"/>
        </w:rPr>
        <w:t>და</w:t>
      </w:r>
      <w:r>
        <w:t xml:space="preserve"> </w:t>
      </w:r>
      <w:r>
        <w:rPr>
          <w:rFonts w:ascii="Sylfaen" w:hAnsi="Sylfaen" w:cs="Sylfaen"/>
        </w:rPr>
        <w:t>აპარატის</w:t>
      </w:r>
      <w:r>
        <w:t xml:space="preserve"> </w:t>
      </w:r>
      <w:r>
        <w:rPr>
          <w:rFonts w:ascii="Sylfaen" w:hAnsi="Sylfaen" w:cs="Sylfaen"/>
        </w:rPr>
        <w:t>მუშაკების</w:t>
      </w:r>
      <w:r>
        <w:t xml:space="preserve"> </w:t>
      </w:r>
      <w:r>
        <w:rPr>
          <w:rFonts w:ascii="Sylfaen" w:hAnsi="Sylfaen" w:cs="Sylfaen"/>
        </w:rPr>
        <w:t>პროფესიული</w:t>
      </w:r>
      <w:r>
        <w:t xml:space="preserve"> </w:t>
      </w:r>
      <w:r>
        <w:rPr>
          <w:rFonts w:ascii="Sylfaen" w:hAnsi="Sylfaen" w:cs="Sylfaen"/>
        </w:rPr>
        <w:t>და</w:t>
      </w:r>
      <w:r>
        <w:t xml:space="preserve"> </w:t>
      </w:r>
      <w:r>
        <w:rPr>
          <w:rFonts w:ascii="Sylfaen" w:hAnsi="Sylfaen" w:cs="Sylfaen"/>
        </w:rPr>
        <w:t>ეთიკური</w:t>
      </w:r>
      <w:r>
        <w:t xml:space="preserve"> </w:t>
      </w:r>
      <w:r>
        <w:rPr>
          <w:rFonts w:ascii="Sylfaen" w:hAnsi="Sylfaen" w:cs="Sylfaen"/>
        </w:rPr>
        <w:t>ქცევის</w:t>
      </w:r>
      <w:r>
        <w:t xml:space="preserve">, </w:t>
      </w:r>
      <w:r>
        <w:rPr>
          <w:rFonts w:ascii="Sylfaen" w:hAnsi="Sylfaen" w:cs="Sylfaen"/>
        </w:rPr>
        <w:t>კომისიის</w:t>
      </w:r>
      <w:r>
        <w:t xml:space="preserve"> </w:t>
      </w:r>
      <w:r>
        <w:rPr>
          <w:rFonts w:ascii="Sylfaen" w:hAnsi="Sylfaen" w:cs="Sylfaen"/>
        </w:rPr>
        <w:t>ყოფილი</w:t>
      </w:r>
      <w:r>
        <w:t xml:space="preserve"> </w:t>
      </w:r>
      <w:r>
        <w:rPr>
          <w:rFonts w:ascii="Sylfaen" w:hAnsi="Sylfaen" w:cs="Sylfaen"/>
        </w:rPr>
        <w:t>წევრებისა</w:t>
      </w:r>
      <w:r>
        <w:t xml:space="preserve"> </w:t>
      </w:r>
      <w:r>
        <w:rPr>
          <w:rFonts w:ascii="Sylfaen" w:hAnsi="Sylfaen" w:cs="Sylfaen"/>
        </w:rPr>
        <w:t>და</w:t>
      </w:r>
      <w:r>
        <w:t xml:space="preserve"> </w:t>
      </w:r>
      <w:r>
        <w:rPr>
          <w:rFonts w:ascii="Sylfaen" w:hAnsi="Sylfaen" w:cs="Sylfaen"/>
        </w:rPr>
        <w:t>აპარატის</w:t>
      </w:r>
      <w:r>
        <w:t xml:space="preserve"> </w:t>
      </w:r>
      <w:r>
        <w:rPr>
          <w:rFonts w:ascii="Sylfaen" w:hAnsi="Sylfaen" w:cs="Sylfaen"/>
        </w:rPr>
        <w:t>ყოფილი</w:t>
      </w:r>
      <w:r>
        <w:t xml:space="preserve"> </w:t>
      </w:r>
      <w:r>
        <w:rPr>
          <w:rFonts w:ascii="Sylfaen" w:hAnsi="Sylfaen" w:cs="Sylfaen"/>
        </w:rPr>
        <w:t>თანამშრომლების</w:t>
      </w:r>
      <w:r>
        <w:t xml:space="preserve"> </w:t>
      </w:r>
      <w:r>
        <w:rPr>
          <w:rFonts w:ascii="Sylfaen" w:hAnsi="Sylfaen" w:cs="Sylfaen"/>
        </w:rPr>
        <w:t>ქცევის</w:t>
      </w:r>
      <w:r>
        <w:t xml:space="preserve"> </w:t>
      </w:r>
      <w:r>
        <w:rPr>
          <w:rFonts w:ascii="Sylfaen" w:hAnsi="Sylfaen" w:cs="Sylfaen"/>
        </w:rPr>
        <w:t>წესების</w:t>
      </w:r>
      <w:r>
        <w:t xml:space="preserve"> </w:t>
      </w:r>
      <w:r>
        <w:rPr>
          <w:rFonts w:ascii="Sylfaen" w:hAnsi="Sylfaen" w:cs="Sylfaen"/>
        </w:rPr>
        <w:t>შესახებ</w:t>
      </w:r>
      <w:r>
        <w:rPr>
          <w:rFonts w:ascii="Sylfaen" w:hAnsi="Sylfaen" w:cs="Sylfaen"/>
          <w:lang w:val="ka-GE"/>
        </w:rPr>
        <w:t>“, ხოლო მე-3 მუხლი საერთოდ უნდა იქნას ამოღებული.</w:t>
      </w:r>
    </w:p>
    <w:p w14:paraId="72A25FA9" w14:textId="37B7EFC2" w:rsidR="00F03108" w:rsidRPr="003E5818" w:rsidRDefault="00F03108" w:rsidP="003E5818">
      <w:pPr>
        <w:spacing w:before="120" w:after="120" w:line="276" w:lineRule="auto"/>
        <w:jc w:val="both"/>
        <w:rPr>
          <w:rFonts w:ascii="Sylfaen" w:eastAsia="Calibri" w:hAnsi="Sylfaen" w:cs="Times New Roman"/>
          <w:b/>
          <w:lang w:val="ka-GE"/>
        </w:rPr>
      </w:pPr>
      <w:r w:rsidRPr="003E5818">
        <w:rPr>
          <w:rFonts w:ascii="Sylfaen" w:eastAsia="Calibri" w:hAnsi="Sylfaen" w:cs="Times New Roman"/>
          <w:lang w:val="ka-GE"/>
        </w:rPr>
        <w:lastRenderedPageBreak/>
        <w:t xml:space="preserve">დადგენილების პროექტის მიღება გავლენას არ მოახდენს </w:t>
      </w:r>
      <w:r w:rsidR="0034205C" w:rsidRPr="003E5818">
        <w:rPr>
          <w:rFonts w:ascii="Sylfaen" w:eastAsia="Calibri" w:hAnsi="Sylfaen" w:cs="Times New Roman"/>
          <w:lang w:val="ka-GE"/>
        </w:rPr>
        <w:t xml:space="preserve">არც </w:t>
      </w:r>
      <w:r w:rsidRPr="003E5818">
        <w:rPr>
          <w:rFonts w:ascii="Sylfaen" w:eastAsia="Calibri" w:hAnsi="Sylfaen" w:cs="Times New Roman"/>
          <w:lang w:val="ka-GE"/>
        </w:rPr>
        <w:t>სახელმწიფო ბიუჯეტის საშემოსავლო და ხარჯვით ნაწილებზე</w:t>
      </w:r>
      <w:r w:rsidR="0034205C" w:rsidRPr="003E5818">
        <w:rPr>
          <w:rFonts w:ascii="Sylfaen" w:eastAsia="Calibri" w:hAnsi="Sylfaen" w:cs="Times New Roman"/>
          <w:lang w:val="ka-GE"/>
        </w:rPr>
        <w:t xml:space="preserve"> და არც იმ პირთა ფინანსურ მდგომარეობაზე, რომლებზეც გავრცელდება მისი მოქმედება</w:t>
      </w:r>
      <w:r w:rsidRPr="003E5818">
        <w:rPr>
          <w:rFonts w:ascii="Sylfaen" w:eastAsia="Calibri" w:hAnsi="Sylfaen" w:cs="Times New Roman"/>
          <w:lang w:val="ka-GE"/>
        </w:rPr>
        <w:t>.</w:t>
      </w:r>
    </w:p>
    <w:p w14:paraId="0EDA9942" w14:textId="5595A99A" w:rsidR="00AF71F6" w:rsidRPr="00C47BDC" w:rsidRDefault="00F03108" w:rsidP="003E5818">
      <w:pPr>
        <w:spacing w:before="120" w:after="120" w:line="276" w:lineRule="auto"/>
        <w:jc w:val="both"/>
        <w:rPr>
          <w:rFonts w:ascii="Sylfaen" w:eastAsia="Calibri" w:hAnsi="Sylfaen" w:cs="Times New Roman"/>
          <w:lang w:val="ka-GE"/>
        </w:rPr>
      </w:pPr>
      <w:r w:rsidRPr="003E5818">
        <w:rPr>
          <w:rFonts w:ascii="Sylfaen" w:eastAsia="Calibri" w:hAnsi="Sylfaen" w:cs="Times New Roman"/>
          <w:lang w:val="ka-GE"/>
        </w:rPr>
        <w:t>დადგენილების პროექტის ავტორია საქართველოს კომუნიკაციების ეროვნული კომისია.</w:t>
      </w:r>
    </w:p>
    <w:sectPr w:rsidR="00AF71F6" w:rsidRPr="00C47B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C01B0"/>
    <w:multiLevelType w:val="hybridMultilevel"/>
    <w:tmpl w:val="C8DE8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05B24"/>
    <w:multiLevelType w:val="hybridMultilevel"/>
    <w:tmpl w:val="7836427E"/>
    <w:lvl w:ilvl="0" w:tplc="282EE922">
      <w:start w:val="1"/>
      <w:numFmt w:val="bullet"/>
      <w:lvlText w:val="•"/>
      <w:lvlJc w:val="left"/>
      <w:pPr>
        <w:tabs>
          <w:tab w:val="num" w:pos="720"/>
        </w:tabs>
        <w:ind w:left="720" w:hanging="360"/>
      </w:pPr>
      <w:rPr>
        <w:rFonts w:ascii="Arial" w:hAnsi="Arial" w:hint="default"/>
      </w:rPr>
    </w:lvl>
    <w:lvl w:ilvl="1" w:tplc="3B82717E" w:tentative="1">
      <w:start w:val="1"/>
      <w:numFmt w:val="bullet"/>
      <w:lvlText w:val="•"/>
      <w:lvlJc w:val="left"/>
      <w:pPr>
        <w:tabs>
          <w:tab w:val="num" w:pos="1440"/>
        </w:tabs>
        <w:ind w:left="1440" w:hanging="360"/>
      </w:pPr>
      <w:rPr>
        <w:rFonts w:ascii="Arial" w:hAnsi="Arial" w:hint="default"/>
      </w:rPr>
    </w:lvl>
    <w:lvl w:ilvl="2" w:tplc="89261F58" w:tentative="1">
      <w:start w:val="1"/>
      <w:numFmt w:val="bullet"/>
      <w:lvlText w:val="•"/>
      <w:lvlJc w:val="left"/>
      <w:pPr>
        <w:tabs>
          <w:tab w:val="num" w:pos="2160"/>
        </w:tabs>
        <w:ind w:left="2160" w:hanging="360"/>
      </w:pPr>
      <w:rPr>
        <w:rFonts w:ascii="Arial" w:hAnsi="Arial" w:hint="default"/>
      </w:rPr>
    </w:lvl>
    <w:lvl w:ilvl="3" w:tplc="F6D29170" w:tentative="1">
      <w:start w:val="1"/>
      <w:numFmt w:val="bullet"/>
      <w:lvlText w:val="•"/>
      <w:lvlJc w:val="left"/>
      <w:pPr>
        <w:tabs>
          <w:tab w:val="num" w:pos="2880"/>
        </w:tabs>
        <w:ind w:left="2880" w:hanging="360"/>
      </w:pPr>
      <w:rPr>
        <w:rFonts w:ascii="Arial" w:hAnsi="Arial" w:hint="default"/>
      </w:rPr>
    </w:lvl>
    <w:lvl w:ilvl="4" w:tplc="16620B36" w:tentative="1">
      <w:start w:val="1"/>
      <w:numFmt w:val="bullet"/>
      <w:lvlText w:val="•"/>
      <w:lvlJc w:val="left"/>
      <w:pPr>
        <w:tabs>
          <w:tab w:val="num" w:pos="3600"/>
        </w:tabs>
        <w:ind w:left="3600" w:hanging="360"/>
      </w:pPr>
      <w:rPr>
        <w:rFonts w:ascii="Arial" w:hAnsi="Arial" w:hint="default"/>
      </w:rPr>
    </w:lvl>
    <w:lvl w:ilvl="5" w:tplc="85CA208A" w:tentative="1">
      <w:start w:val="1"/>
      <w:numFmt w:val="bullet"/>
      <w:lvlText w:val="•"/>
      <w:lvlJc w:val="left"/>
      <w:pPr>
        <w:tabs>
          <w:tab w:val="num" w:pos="4320"/>
        </w:tabs>
        <w:ind w:left="4320" w:hanging="360"/>
      </w:pPr>
      <w:rPr>
        <w:rFonts w:ascii="Arial" w:hAnsi="Arial" w:hint="default"/>
      </w:rPr>
    </w:lvl>
    <w:lvl w:ilvl="6" w:tplc="B06E15E6" w:tentative="1">
      <w:start w:val="1"/>
      <w:numFmt w:val="bullet"/>
      <w:lvlText w:val="•"/>
      <w:lvlJc w:val="left"/>
      <w:pPr>
        <w:tabs>
          <w:tab w:val="num" w:pos="5040"/>
        </w:tabs>
        <w:ind w:left="5040" w:hanging="360"/>
      </w:pPr>
      <w:rPr>
        <w:rFonts w:ascii="Arial" w:hAnsi="Arial" w:hint="default"/>
      </w:rPr>
    </w:lvl>
    <w:lvl w:ilvl="7" w:tplc="9F52968E" w:tentative="1">
      <w:start w:val="1"/>
      <w:numFmt w:val="bullet"/>
      <w:lvlText w:val="•"/>
      <w:lvlJc w:val="left"/>
      <w:pPr>
        <w:tabs>
          <w:tab w:val="num" w:pos="5760"/>
        </w:tabs>
        <w:ind w:left="5760" w:hanging="360"/>
      </w:pPr>
      <w:rPr>
        <w:rFonts w:ascii="Arial" w:hAnsi="Arial" w:hint="default"/>
      </w:rPr>
    </w:lvl>
    <w:lvl w:ilvl="8" w:tplc="74D44B8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A7F3AD4"/>
    <w:multiLevelType w:val="hybridMultilevel"/>
    <w:tmpl w:val="09EAD4C2"/>
    <w:lvl w:ilvl="0" w:tplc="DA7C7A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0F4461"/>
    <w:multiLevelType w:val="hybridMultilevel"/>
    <w:tmpl w:val="F9DE4B50"/>
    <w:lvl w:ilvl="0" w:tplc="FD821A5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8F0C24"/>
    <w:multiLevelType w:val="hybridMultilevel"/>
    <w:tmpl w:val="79647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F5731B"/>
    <w:multiLevelType w:val="hybridMultilevel"/>
    <w:tmpl w:val="DFDECF40"/>
    <w:lvl w:ilvl="0" w:tplc="392A73D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DB7318"/>
    <w:multiLevelType w:val="hybridMultilevel"/>
    <w:tmpl w:val="6C848C9A"/>
    <w:lvl w:ilvl="0" w:tplc="BB9AA5A0">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0020827">
    <w:abstractNumId w:val="1"/>
  </w:num>
  <w:num w:numId="2" w16cid:durableId="969360632">
    <w:abstractNumId w:val="3"/>
  </w:num>
  <w:num w:numId="3" w16cid:durableId="276451025">
    <w:abstractNumId w:val="0"/>
  </w:num>
  <w:num w:numId="4" w16cid:durableId="2094082701">
    <w:abstractNumId w:val="6"/>
  </w:num>
  <w:num w:numId="5" w16cid:durableId="498616521">
    <w:abstractNumId w:val="2"/>
  </w:num>
  <w:num w:numId="6" w16cid:durableId="492526271">
    <w:abstractNumId w:val="4"/>
  </w:num>
  <w:num w:numId="7" w16cid:durableId="3465207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168"/>
    <w:rsid w:val="00007E68"/>
    <w:rsid w:val="00011BBB"/>
    <w:rsid w:val="00021A5F"/>
    <w:rsid w:val="000455F9"/>
    <w:rsid w:val="000A74EF"/>
    <w:rsid w:val="00101CE8"/>
    <w:rsid w:val="00121164"/>
    <w:rsid w:val="00134F6C"/>
    <w:rsid w:val="001404BF"/>
    <w:rsid w:val="00177EE9"/>
    <w:rsid w:val="001C1C19"/>
    <w:rsid w:val="00223936"/>
    <w:rsid w:val="00294981"/>
    <w:rsid w:val="002E7342"/>
    <w:rsid w:val="002E7430"/>
    <w:rsid w:val="0034205C"/>
    <w:rsid w:val="00350168"/>
    <w:rsid w:val="003A3AA1"/>
    <w:rsid w:val="003E5818"/>
    <w:rsid w:val="003F0A03"/>
    <w:rsid w:val="004217AC"/>
    <w:rsid w:val="00424611"/>
    <w:rsid w:val="00500AF9"/>
    <w:rsid w:val="00515CDC"/>
    <w:rsid w:val="00543A88"/>
    <w:rsid w:val="00584183"/>
    <w:rsid w:val="005C16A4"/>
    <w:rsid w:val="005D29B6"/>
    <w:rsid w:val="005F38B0"/>
    <w:rsid w:val="006250B7"/>
    <w:rsid w:val="006509D0"/>
    <w:rsid w:val="00666CB3"/>
    <w:rsid w:val="006B080D"/>
    <w:rsid w:val="006D45DD"/>
    <w:rsid w:val="006E1F0A"/>
    <w:rsid w:val="007666B9"/>
    <w:rsid w:val="00773495"/>
    <w:rsid w:val="0079107D"/>
    <w:rsid w:val="007B296B"/>
    <w:rsid w:val="007C554A"/>
    <w:rsid w:val="007F302D"/>
    <w:rsid w:val="008457DC"/>
    <w:rsid w:val="008853E6"/>
    <w:rsid w:val="008C0C39"/>
    <w:rsid w:val="009E7101"/>
    <w:rsid w:val="00A01375"/>
    <w:rsid w:val="00A26106"/>
    <w:rsid w:val="00A32B9C"/>
    <w:rsid w:val="00A41BCB"/>
    <w:rsid w:val="00A73330"/>
    <w:rsid w:val="00AF71F6"/>
    <w:rsid w:val="00B94DCA"/>
    <w:rsid w:val="00C01F78"/>
    <w:rsid w:val="00C16A70"/>
    <w:rsid w:val="00C26072"/>
    <w:rsid w:val="00C3049D"/>
    <w:rsid w:val="00C47BDC"/>
    <w:rsid w:val="00CA2168"/>
    <w:rsid w:val="00CB4A6F"/>
    <w:rsid w:val="00D36A3F"/>
    <w:rsid w:val="00D65755"/>
    <w:rsid w:val="00DB3E3C"/>
    <w:rsid w:val="00DC7F07"/>
    <w:rsid w:val="00DD75B3"/>
    <w:rsid w:val="00DE7A11"/>
    <w:rsid w:val="00ED2002"/>
    <w:rsid w:val="00F00037"/>
    <w:rsid w:val="00F03108"/>
    <w:rsid w:val="00F17556"/>
    <w:rsid w:val="00F74C72"/>
    <w:rsid w:val="00F87EAD"/>
    <w:rsid w:val="00F9398E"/>
    <w:rsid w:val="00FC39C4"/>
    <w:rsid w:val="00FD2F39"/>
    <w:rsid w:val="00FE0D54"/>
    <w:rsid w:val="00FE64A8"/>
    <w:rsid w:val="00FF6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CA0FB"/>
  <w15:chartTrackingRefBased/>
  <w15:docId w15:val="{95FF2FB8-60AC-4E0A-8035-012603E2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183"/>
    <w:pPr>
      <w:spacing w:after="0" w:line="240" w:lineRule="auto"/>
      <w:ind w:left="720"/>
      <w:contextualSpacing/>
    </w:pPr>
    <w:rPr>
      <w:rFonts w:ascii="Times New Roman" w:eastAsia="Times New Roman" w:hAnsi="Times New Roman" w:cs="Times New Roman"/>
      <w:sz w:val="24"/>
      <w:szCs w:val="24"/>
    </w:rPr>
  </w:style>
  <w:style w:type="paragraph" w:styleId="Revision">
    <w:name w:val="Revision"/>
    <w:hidden/>
    <w:uiPriority w:val="99"/>
    <w:semiHidden/>
    <w:rsid w:val="00DC7F07"/>
    <w:pPr>
      <w:spacing w:after="0" w:line="240" w:lineRule="auto"/>
    </w:pPr>
  </w:style>
  <w:style w:type="character" w:styleId="CommentReference">
    <w:name w:val="annotation reference"/>
    <w:basedOn w:val="DefaultParagraphFont"/>
    <w:uiPriority w:val="99"/>
    <w:semiHidden/>
    <w:unhideWhenUsed/>
    <w:rsid w:val="00666CB3"/>
    <w:rPr>
      <w:sz w:val="16"/>
      <w:szCs w:val="16"/>
    </w:rPr>
  </w:style>
  <w:style w:type="paragraph" w:styleId="CommentText">
    <w:name w:val="annotation text"/>
    <w:basedOn w:val="Normal"/>
    <w:link w:val="CommentTextChar"/>
    <w:uiPriority w:val="99"/>
    <w:unhideWhenUsed/>
    <w:rsid w:val="00666CB3"/>
    <w:pPr>
      <w:spacing w:line="240" w:lineRule="auto"/>
    </w:pPr>
    <w:rPr>
      <w:sz w:val="20"/>
      <w:szCs w:val="20"/>
    </w:rPr>
  </w:style>
  <w:style w:type="character" w:customStyle="1" w:styleId="CommentTextChar">
    <w:name w:val="Comment Text Char"/>
    <w:basedOn w:val="DefaultParagraphFont"/>
    <w:link w:val="CommentText"/>
    <w:uiPriority w:val="99"/>
    <w:rsid w:val="00666CB3"/>
    <w:rPr>
      <w:sz w:val="20"/>
      <w:szCs w:val="20"/>
    </w:rPr>
  </w:style>
  <w:style w:type="character" w:styleId="Hyperlink">
    <w:name w:val="Hyperlink"/>
    <w:basedOn w:val="DefaultParagraphFont"/>
    <w:uiPriority w:val="99"/>
    <w:semiHidden/>
    <w:unhideWhenUsed/>
    <w:rsid w:val="00666CB3"/>
    <w:rPr>
      <w:color w:val="0000FF"/>
      <w:u w:val="single"/>
    </w:rPr>
  </w:style>
  <w:style w:type="paragraph" w:customStyle="1" w:styleId="abzacixml">
    <w:name w:val="abzacixml"/>
    <w:basedOn w:val="Normal"/>
    <w:rsid w:val="00D36A3F"/>
    <w:pPr>
      <w:spacing w:after="0" w:line="240" w:lineRule="auto"/>
      <w:ind w:firstLine="283"/>
      <w:jc w:val="both"/>
    </w:pPr>
    <w:rPr>
      <w:rFonts w:ascii="Times New Roman" w:eastAsiaTheme="minorEastAsia" w:hAnsi="Times New Roman" w:cs="Times New Roman"/>
    </w:rPr>
  </w:style>
  <w:style w:type="character" w:customStyle="1" w:styleId="cf01">
    <w:name w:val="cf01"/>
    <w:basedOn w:val="DefaultParagraphFont"/>
    <w:rsid w:val="00011BBB"/>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A01375"/>
    <w:rPr>
      <w:b/>
      <w:bCs/>
    </w:rPr>
  </w:style>
  <w:style w:type="character" w:customStyle="1" w:styleId="CommentSubjectChar">
    <w:name w:val="Comment Subject Char"/>
    <w:basedOn w:val="CommentTextChar"/>
    <w:link w:val="CommentSubject"/>
    <w:uiPriority w:val="99"/>
    <w:semiHidden/>
    <w:rsid w:val="00A013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5953">
      <w:bodyDiv w:val="1"/>
      <w:marLeft w:val="0"/>
      <w:marRight w:val="0"/>
      <w:marTop w:val="0"/>
      <w:marBottom w:val="0"/>
      <w:divBdr>
        <w:top w:val="none" w:sz="0" w:space="0" w:color="auto"/>
        <w:left w:val="none" w:sz="0" w:space="0" w:color="auto"/>
        <w:bottom w:val="none" w:sz="0" w:space="0" w:color="auto"/>
        <w:right w:val="none" w:sz="0" w:space="0" w:color="auto"/>
      </w:divBdr>
    </w:div>
    <w:div w:id="1079332270">
      <w:bodyDiv w:val="1"/>
      <w:marLeft w:val="0"/>
      <w:marRight w:val="0"/>
      <w:marTop w:val="0"/>
      <w:marBottom w:val="0"/>
      <w:divBdr>
        <w:top w:val="none" w:sz="0" w:space="0" w:color="auto"/>
        <w:left w:val="none" w:sz="0" w:space="0" w:color="auto"/>
        <w:bottom w:val="none" w:sz="0" w:space="0" w:color="auto"/>
        <w:right w:val="none" w:sz="0" w:space="0" w:color="auto"/>
      </w:divBdr>
    </w:div>
    <w:div w:id="1526674384">
      <w:bodyDiv w:val="1"/>
      <w:marLeft w:val="0"/>
      <w:marRight w:val="0"/>
      <w:marTop w:val="0"/>
      <w:marBottom w:val="0"/>
      <w:divBdr>
        <w:top w:val="none" w:sz="0" w:space="0" w:color="auto"/>
        <w:left w:val="none" w:sz="0" w:space="0" w:color="auto"/>
        <w:bottom w:val="none" w:sz="0" w:space="0" w:color="auto"/>
        <w:right w:val="none" w:sz="0" w:space="0" w:color="auto"/>
      </w:divBdr>
      <w:divsChild>
        <w:div w:id="121746981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46198-BDAD-4BEC-A4F1-93BF9172A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Khukhunaishvili</dc:creator>
  <cp:keywords/>
  <dc:description/>
  <cp:lastModifiedBy>I.B.</cp:lastModifiedBy>
  <cp:revision>10</cp:revision>
  <dcterms:created xsi:type="dcterms:W3CDTF">2023-05-08T15:38:00Z</dcterms:created>
  <dcterms:modified xsi:type="dcterms:W3CDTF">2023-06-08T14:09:00Z</dcterms:modified>
</cp:coreProperties>
</file>