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543B7" w14:textId="520CFC37" w:rsidR="00DF4D75" w:rsidRPr="00050507" w:rsidRDefault="00DF4D75" w:rsidP="00050507">
      <w:pPr>
        <w:shd w:val="clear" w:color="auto" w:fill="FFFFFF"/>
        <w:spacing w:before="300" w:after="120"/>
        <w:jc w:val="right"/>
        <w:rPr>
          <w:rFonts w:ascii="Sylfaen" w:hAnsi="Sylfaen"/>
          <w:b/>
          <w:bCs/>
          <w:lang w:val="ka-GE"/>
        </w:rPr>
      </w:pPr>
      <w:bookmarkStart w:id="0" w:name="_Hlk120290893"/>
      <w:r>
        <w:rPr>
          <w:rFonts w:ascii="Sylfaen" w:hAnsi="Sylfaen"/>
          <w:b/>
          <w:bCs/>
          <w:lang w:val="ka-GE"/>
        </w:rPr>
        <w:t>პროექტი</w:t>
      </w:r>
    </w:p>
    <w:p w14:paraId="3283CDB5" w14:textId="6ABB7F08" w:rsidR="00F02C4A" w:rsidRPr="00AB5D48" w:rsidRDefault="00F02C4A" w:rsidP="00CD4EED">
      <w:pPr>
        <w:shd w:val="clear" w:color="auto" w:fill="FFFFFF"/>
        <w:spacing w:before="300" w:after="120"/>
        <w:jc w:val="center"/>
        <w:rPr>
          <w:rFonts w:ascii="Sylfaen" w:hAnsi="Sylfaen"/>
          <w:b/>
          <w:bCs/>
          <w:lang w:val="ka-GE"/>
        </w:rPr>
      </w:pPr>
      <w:r w:rsidRPr="00AB5D48">
        <w:rPr>
          <w:rFonts w:ascii="Sylfaen" w:hAnsi="Sylfaen"/>
          <w:b/>
          <w:bCs/>
        </w:rPr>
        <w:t>“</w:t>
      </w:r>
      <w:r w:rsidRPr="00AB5D48">
        <w:rPr>
          <w:rFonts w:ascii="Sylfaen" w:hAnsi="Sylfaen"/>
          <w:b/>
          <w:bCs/>
          <w:lang w:val="ka-GE"/>
        </w:rPr>
        <w:t>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w:t>
      </w:r>
      <w:r w:rsidRPr="00AB5D48">
        <w:rPr>
          <w:rFonts w:ascii="Sylfaen" w:hAnsi="Sylfaen"/>
          <w:b/>
          <w:bCs/>
        </w:rPr>
        <w:t>”</w:t>
      </w:r>
      <w:r w:rsidRPr="00AB5D48">
        <w:rPr>
          <w:rFonts w:ascii="Sylfaen" w:hAnsi="Sylfaen"/>
          <w:b/>
          <w:bCs/>
          <w:lang w:val="ka-GE"/>
        </w:rPr>
        <w:t xml:space="preserve"> კომისიის 2019 წლის </w:t>
      </w:r>
      <w:r w:rsidRPr="00AB5D48">
        <w:rPr>
          <w:rFonts w:ascii="Sylfaen" w:hAnsi="Sylfaen"/>
          <w:b/>
          <w:bCs/>
        </w:rPr>
        <w:t>31</w:t>
      </w:r>
      <w:r w:rsidRPr="00AB5D48">
        <w:rPr>
          <w:rFonts w:ascii="Sylfaen" w:hAnsi="Sylfaen"/>
          <w:b/>
          <w:bCs/>
          <w:lang w:val="ka-GE"/>
        </w:rPr>
        <w:t xml:space="preserve"> </w:t>
      </w:r>
      <w:r w:rsidRPr="00AB5D48">
        <w:rPr>
          <w:rFonts w:ascii="Sylfaen" w:hAnsi="Sylfaen"/>
          <w:b/>
          <w:bCs/>
        </w:rPr>
        <w:t>დეკემბრის N გ-20-9/156</w:t>
      </w:r>
      <w:r w:rsidRPr="00AB5D48">
        <w:rPr>
          <w:rFonts w:ascii="Sylfaen" w:hAnsi="Sylfaen"/>
          <w:b/>
          <w:bCs/>
          <w:shd w:val="clear" w:color="auto" w:fill="FFFFFF"/>
        </w:rPr>
        <w:t xml:space="preserve"> </w:t>
      </w:r>
      <w:r w:rsidRPr="00AB5D48">
        <w:rPr>
          <w:rFonts w:ascii="Sylfaen" w:hAnsi="Sylfaen"/>
          <w:b/>
          <w:bCs/>
          <w:lang w:val="ka-GE"/>
        </w:rPr>
        <w:t xml:space="preserve">გადაწყვეტილებაში ცვლილების შეტანის თაობაზე </w:t>
      </w:r>
    </w:p>
    <w:p w14:paraId="00A5B32F" w14:textId="56D726BA" w:rsidR="00CD4EED" w:rsidRPr="00965DCA" w:rsidRDefault="000451F8" w:rsidP="00CD4EED">
      <w:pPr>
        <w:shd w:val="clear" w:color="auto" w:fill="FFFFFF"/>
        <w:spacing w:before="300" w:after="120"/>
        <w:jc w:val="both"/>
        <w:rPr>
          <w:rFonts w:ascii="Sylfaen" w:hAnsi="Sylfaen"/>
          <w:lang w:val="ka-GE"/>
        </w:rPr>
      </w:pPr>
      <w:bookmarkStart w:id="1" w:name="_Hlk120290876"/>
      <w:bookmarkEnd w:id="0"/>
      <w:r w:rsidRPr="00C12EAD">
        <w:rPr>
          <w:rFonts w:ascii="Sylfaen" w:hAnsi="Sylfaen" w:cs="Sylfaen"/>
          <w:shd w:val="clear" w:color="auto" w:fill="FFFFFF"/>
          <w:lang w:val="ka-GE"/>
        </w:rPr>
        <w:t>საქართველოს</w:t>
      </w:r>
      <w:r w:rsidRPr="00C12EAD">
        <w:rPr>
          <w:rFonts w:ascii="Sylfaen" w:hAnsi="Sylfaen" w:cs="Helvetica"/>
          <w:shd w:val="clear" w:color="auto" w:fill="FFFFFF"/>
          <w:lang w:val="ka-GE"/>
        </w:rPr>
        <w:t xml:space="preserve"> </w:t>
      </w:r>
      <w:r w:rsidRPr="00C12EAD">
        <w:rPr>
          <w:rFonts w:ascii="Sylfaen" w:hAnsi="Sylfaen" w:cs="Sylfaen"/>
          <w:shd w:val="clear" w:color="auto" w:fill="FFFFFF"/>
          <w:lang w:val="ka-GE"/>
        </w:rPr>
        <w:t>კომუნიკაციების</w:t>
      </w:r>
      <w:r w:rsidRPr="00C12EAD">
        <w:rPr>
          <w:rFonts w:ascii="Sylfaen" w:hAnsi="Sylfaen" w:cs="Helvetica"/>
          <w:shd w:val="clear" w:color="auto" w:fill="FFFFFF"/>
          <w:lang w:val="ka-GE"/>
        </w:rPr>
        <w:t xml:space="preserve"> </w:t>
      </w:r>
      <w:r w:rsidRPr="00C12EAD">
        <w:rPr>
          <w:rFonts w:ascii="Sylfaen" w:hAnsi="Sylfaen" w:cs="Sylfaen"/>
          <w:shd w:val="clear" w:color="auto" w:fill="FFFFFF"/>
          <w:lang w:val="ka-GE"/>
        </w:rPr>
        <w:t>ეროვნულ</w:t>
      </w:r>
      <w:r w:rsidR="00802E81" w:rsidRPr="00C12EAD">
        <w:rPr>
          <w:rFonts w:ascii="Sylfaen" w:hAnsi="Sylfaen" w:cs="Sylfaen"/>
          <w:shd w:val="clear" w:color="auto" w:fill="FFFFFF"/>
          <w:lang w:val="ka-GE"/>
        </w:rPr>
        <w:t>ი</w:t>
      </w:r>
      <w:r w:rsidRPr="00C12EAD">
        <w:rPr>
          <w:rFonts w:ascii="Sylfaen" w:hAnsi="Sylfaen" w:cs="Sylfaen"/>
          <w:shd w:val="clear" w:color="auto" w:fill="FFFFFF"/>
          <w:lang w:val="ka-GE"/>
        </w:rPr>
        <w:t xml:space="preserve"> კომისიის (შემდეგში „კომისია“) </w:t>
      </w:r>
      <w:r w:rsidR="0041484E" w:rsidRPr="00C12EAD">
        <w:rPr>
          <w:rFonts w:ascii="Sylfaen" w:hAnsi="Sylfaen" w:cs="Sylfaen"/>
          <w:shd w:val="clear" w:color="auto" w:fill="FFFFFF"/>
          <w:lang w:val="ka-GE"/>
        </w:rPr>
        <w:t xml:space="preserve">მიერ </w:t>
      </w:r>
      <w:r w:rsidR="0029341A" w:rsidRPr="004D2B94">
        <w:rPr>
          <w:rFonts w:ascii="Sylfaen" w:hAnsi="Sylfaen"/>
          <w:lang w:val="ka-GE"/>
        </w:rPr>
        <w:t>202</w:t>
      </w:r>
      <w:r w:rsidR="0029341A">
        <w:rPr>
          <w:rFonts w:ascii="Sylfaen" w:hAnsi="Sylfaen"/>
          <w:lang w:val="ka-GE"/>
        </w:rPr>
        <w:t>3</w:t>
      </w:r>
      <w:r w:rsidR="0029341A" w:rsidRPr="00194FF6">
        <w:rPr>
          <w:rFonts w:ascii="Sylfaen" w:hAnsi="Sylfaen"/>
          <w:lang w:val="ka-GE"/>
        </w:rPr>
        <w:t xml:space="preserve"> წლის </w:t>
      </w:r>
      <w:r w:rsidR="0029341A">
        <w:rPr>
          <w:rFonts w:ascii="Sylfaen" w:hAnsi="Sylfaen"/>
          <w:lang w:val="ka-GE"/>
        </w:rPr>
        <w:t>18 მაისს</w:t>
      </w:r>
      <w:r w:rsidR="0029341A" w:rsidRPr="00C12EAD">
        <w:rPr>
          <w:rFonts w:ascii="Sylfaen" w:hAnsi="Sylfaen"/>
          <w:lang w:val="ka-GE"/>
        </w:rPr>
        <w:t xml:space="preserve"> </w:t>
      </w:r>
      <w:r w:rsidR="00CD4EED" w:rsidRPr="00C12EAD">
        <w:rPr>
          <w:rFonts w:ascii="Sylfaen" w:hAnsi="Sylfaen"/>
          <w:lang w:val="ka-GE"/>
        </w:rPr>
        <w:t>მიღებულ იქნა გადაწყვეტილება</w:t>
      </w:r>
      <w:r w:rsidR="00F358E8">
        <w:rPr>
          <w:rFonts w:ascii="Sylfaen" w:hAnsi="Sylfaen"/>
          <w:lang w:val="ka-GE"/>
        </w:rPr>
        <w:t xml:space="preserve"> </w:t>
      </w:r>
      <w:r w:rsidR="00F358E8" w:rsidRPr="006B10CD">
        <w:rPr>
          <w:rFonts w:ascii="Sylfaen" w:hAnsi="Sylfaen"/>
          <w:lang w:val="ka-GE"/>
        </w:rPr>
        <w:t xml:space="preserve">N </w:t>
      </w:r>
      <w:r w:rsidR="00F66212">
        <w:rPr>
          <w:rFonts w:ascii="Sylfaen" w:hAnsi="Sylfaen"/>
        </w:rPr>
        <w:t xml:space="preserve">__ </w:t>
      </w:r>
      <w:r w:rsidR="00F548CB">
        <w:rPr>
          <w:rFonts w:ascii="Sylfaen" w:hAnsi="Sylfaen"/>
          <w:lang w:val="ka-GE"/>
        </w:rPr>
        <w:t>„</w:t>
      </w:r>
      <w:r w:rsidR="00CD4EED" w:rsidRPr="00965DCA">
        <w:rPr>
          <w:rFonts w:ascii="Sylfaen" w:hAnsi="Sylfaen"/>
          <w:lang w:val="ka-GE"/>
        </w:rPr>
        <w:t>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w:t>
      </w:r>
      <w:r w:rsidR="00CD4EED" w:rsidRPr="00C12EAD">
        <w:rPr>
          <w:rFonts w:ascii="Sylfaen" w:hAnsi="Sylfaen"/>
          <w:lang w:val="ka-GE"/>
        </w:rPr>
        <w:t>”</w:t>
      </w:r>
      <w:r w:rsidR="00CD4EED" w:rsidRPr="00965DCA">
        <w:rPr>
          <w:rFonts w:ascii="Sylfaen" w:hAnsi="Sylfaen"/>
          <w:lang w:val="ka-GE"/>
        </w:rPr>
        <w:t xml:space="preserve"> კომისიის 2019 წლის </w:t>
      </w:r>
      <w:r w:rsidR="00CD4EED" w:rsidRPr="00C12EAD">
        <w:rPr>
          <w:rFonts w:ascii="Sylfaen" w:hAnsi="Sylfaen"/>
          <w:lang w:val="ka-GE"/>
        </w:rPr>
        <w:t>31</w:t>
      </w:r>
      <w:r w:rsidR="00CD4EED" w:rsidRPr="00965DCA">
        <w:rPr>
          <w:rFonts w:ascii="Sylfaen" w:hAnsi="Sylfaen"/>
          <w:lang w:val="ka-GE"/>
        </w:rPr>
        <w:t xml:space="preserve"> </w:t>
      </w:r>
      <w:r w:rsidR="00CD4EED" w:rsidRPr="00C12EAD">
        <w:rPr>
          <w:rFonts w:ascii="Sylfaen" w:hAnsi="Sylfaen"/>
          <w:lang w:val="ka-GE"/>
        </w:rPr>
        <w:t>დეკემბრის N გ-20-9/156</w:t>
      </w:r>
      <w:r w:rsidR="00CD4EED" w:rsidRPr="00C12EAD">
        <w:rPr>
          <w:rFonts w:ascii="Sylfaen" w:hAnsi="Sylfaen"/>
          <w:shd w:val="clear" w:color="auto" w:fill="FFFFFF"/>
          <w:lang w:val="ka-GE"/>
        </w:rPr>
        <w:t xml:space="preserve"> </w:t>
      </w:r>
      <w:r w:rsidR="00CD4EED" w:rsidRPr="00965DCA">
        <w:rPr>
          <w:rFonts w:ascii="Sylfaen" w:hAnsi="Sylfaen"/>
          <w:lang w:val="ka-GE"/>
        </w:rPr>
        <w:t xml:space="preserve">გადაწყვეტილებაში ცვლილების შეტანის თაობაზე საჯარო ადმინისტრაციული წარმოების დაწყების შესახებ“. </w:t>
      </w:r>
    </w:p>
    <w:bookmarkEnd w:id="1"/>
    <w:p w14:paraId="117A9DB0" w14:textId="02544304" w:rsidR="00CD4EED" w:rsidRPr="00965DCA" w:rsidRDefault="00CD4EED" w:rsidP="00CD4EED">
      <w:pPr>
        <w:shd w:val="clear" w:color="auto" w:fill="FFFFFF"/>
        <w:spacing w:before="300" w:after="120"/>
        <w:jc w:val="both"/>
        <w:rPr>
          <w:rFonts w:ascii="Sylfaen" w:hAnsi="Sylfaen"/>
          <w:lang w:val="ka-GE"/>
        </w:rPr>
      </w:pPr>
      <w:r w:rsidRPr="00C12EAD">
        <w:rPr>
          <w:rFonts w:ascii="Sylfaen" w:hAnsi="Sylfaen"/>
          <w:lang w:val="ka-GE"/>
        </w:rPr>
        <w:t xml:space="preserve">აღნიშნული საჯარო ადმინისტრაციული წარმოების </w:t>
      </w:r>
      <w:r w:rsidR="0029341A">
        <w:rPr>
          <w:rFonts w:ascii="Sylfaen" w:hAnsi="Sylfaen"/>
          <w:lang w:val="ka-GE"/>
        </w:rPr>
        <w:t>ფარგლებში გასამართი</w:t>
      </w:r>
      <w:r w:rsidRPr="00C12EAD">
        <w:rPr>
          <w:rFonts w:ascii="Sylfaen" w:hAnsi="Sylfaen"/>
          <w:lang w:val="ka-GE"/>
        </w:rPr>
        <w:t xml:space="preserve"> ზეპირი მოსმენის თარიღად </w:t>
      </w:r>
      <w:r w:rsidR="0029341A" w:rsidRPr="00C12EAD">
        <w:rPr>
          <w:rFonts w:ascii="Sylfaen" w:hAnsi="Sylfaen"/>
          <w:lang w:val="ka-GE"/>
        </w:rPr>
        <w:t>202</w:t>
      </w:r>
      <w:r w:rsidR="0029341A">
        <w:rPr>
          <w:rFonts w:ascii="Sylfaen" w:hAnsi="Sylfaen"/>
          <w:lang w:val="ka-GE"/>
        </w:rPr>
        <w:t>3</w:t>
      </w:r>
      <w:r w:rsidR="0029341A" w:rsidRPr="00C12EAD">
        <w:rPr>
          <w:rFonts w:ascii="Sylfaen" w:hAnsi="Sylfaen"/>
          <w:lang w:val="ka-GE"/>
        </w:rPr>
        <w:t xml:space="preserve"> </w:t>
      </w:r>
      <w:r w:rsidRPr="00C12EAD">
        <w:rPr>
          <w:rFonts w:ascii="Sylfaen" w:hAnsi="Sylfaen"/>
          <w:lang w:val="ka-GE"/>
        </w:rPr>
        <w:t xml:space="preserve">წლის </w:t>
      </w:r>
      <w:r w:rsidR="0029341A" w:rsidRPr="00050507">
        <w:rPr>
          <w:rFonts w:ascii="Sylfaen" w:hAnsi="Sylfaen"/>
          <w:lang w:val="ka-GE"/>
        </w:rPr>
        <w:t>22</w:t>
      </w:r>
      <w:r w:rsidR="0029341A">
        <w:rPr>
          <w:rFonts w:ascii="Sylfaen" w:hAnsi="Sylfaen"/>
          <w:lang w:val="ka-GE"/>
        </w:rPr>
        <w:t xml:space="preserve"> ივნისი</w:t>
      </w:r>
      <w:r w:rsidR="00196326">
        <w:rPr>
          <w:rFonts w:ascii="Sylfaen" w:hAnsi="Sylfaen"/>
          <w:lang w:val="ka-GE"/>
        </w:rPr>
        <w:t xml:space="preserve"> განისაზღვრა</w:t>
      </w:r>
      <w:r w:rsidR="0029341A">
        <w:rPr>
          <w:rFonts w:ascii="Sylfaen" w:hAnsi="Sylfaen"/>
          <w:lang w:val="ka-GE"/>
        </w:rPr>
        <w:t>.</w:t>
      </w:r>
      <w:r w:rsidR="0029341A" w:rsidRPr="00C12EAD">
        <w:rPr>
          <w:rFonts w:ascii="Sylfaen" w:hAnsi="Sylfaen"/>
          <w:lang w:val="ka-GE"/>
        </w:rPr>
        <w:t xml:space="preserve"> </w:t>
      </w:r>
    </w:p>
    <w:p w14:paraId="034E7DB2" w14:textId="24D73837" w:rsidR="0041484E" w:rsidRPr="00965DCA" w:rsidRDefault="00A56B69" w:rsidP="00CD4EED">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C12EAD">
        <w:rPr>
          <w:rFonts w:ascii="Sylfaen" w:hAnsi="Sylfaen" w:cs="Sylfaen"/>
          <w:sz w:val="22"/>
          <w:szCs w:val="22"/>
          <w:shd w:val="clear" w:color="auto" w:fill="FFFFFF"/>
          <w:lang w:val="ka-GE"/>
        </w:rPr>
        <w:t>2019 წლის 31 დეკემბ</w:t>
      </w:r>
      <w:r w:rsidR="0041484E" w:rsidRPr="00C12EAD">
        <w:rPr>
          <w:rFonts w:ascii="Sylfaen" w:hAnsi="Sylfaen" w:cs="Sylfaen"/>
          <w:sz w:val="22"/>
          <w:szCs w:val="22"/>
          <w:shd w:val="clear" w:color="auto" w:fill="FFFFFF"/>
          <w:lang w:val="ka-GE"/>
        </w:rPr>
        <w:t>ე</w:t>
      </w:r>
      <w:r w:rsidRPr="00C12EAD">
        <w:rPr>
          <w:rFonts w:ascii="Sylfaen" w:hAnsi="Sylfaen" w:cs="Sylfaen"/>
          <w:sz w:val="22"/>
          <w:szCs w:val="22"/>
          <w:shd w:val="clear" w:color="auto" w:fill="FFFFFF"/>
          <w:lang w:val="ka-GE"/>
        </w:rPr>
        <w:t>რს</w:t>
      </w:r>
      <w:r w:rsidR="0041484E" w:rsidRPr="00C12EAD">
        <w:rPr>
          <w:rFonts w:ascii="Sylfaen" w:hAnsi="Sylfaen" w:cs="Sylfaen"/>
          <w:sz w:val="22"/>
          <w:szCs w:val="22"/>
          <w:shd w:val="clear" w:color="auto" w:fill="FFFFFF"/>
          <w:lang w:val="ka-GE"/>
        </w:rPr>
        <w:t xml:space="preserve"> </w:t>
      </w:r>
      <w:r w:rsidR="009F0B09" w:rsidRPr="00965DCA">
        <w:rPr>
          <w:rFonts w:ascii="Sylfaen" w:hAnsi="Sylfaen" w:cs="Sylfaen"/>
          <w:sz w:val="22"/>
          <w:szCs w:val="22"/>
          <w:shd w:val="clear" w:color="auto" w:fill="FFFFFF"/>
          <w:lang w:val="ka-GE"/>
        </w:rPr>
        <w:t xml:space="preserve">კომისიის მიერ </w:t>
      </w:r>
      <w:r w:rsidR="0041484E" w:rsidRPr="00C12EAD">
        <w:rPr>
          <w:rFonts w:ascii="Sylfaen" w:hAnsi="Sylfaen" w:cs="Sylfaen"/>
          <w:sz w:val="22"/>
          <w:szCs w:val="22"/>
          <w:shd w:val="clear" w:color="auto" w:fill="FFFFFF"/>
          <w:lang w:val="ka-GE"/>
        </w:rPr>
        <w:t>მიღებულ იქნა</w:t>
      </w:r>
      <w:r w:rsidRPr="00C12EAD">
        <w:rPr>
          <w:rFonts w:ascii="Sylfaen" w:hAnsi="Sylfaen" w:cs="Sylfaen"/>
          <w:sz w:val="22"/>
          <w:szCs w:val="22"/>
          <w:shd w:val="clear" w:color="auto" w:fill="FFFFFF"/>
          <w:lang w:val="ka-GE"/>
        </w:rPr>
        <w:t xml:space="preserve"> </w:t>
      </w:r>
      <w:r w:rsidR="00A868ED" w:rsidRPr="00C12EAD">
        <w:rPr>
          <w:rFonts w:ascii="Sylfaen" w:hAnsi="Sylfaen" w:cs="Sylfaen"/>
          <w:sz w:val="22"/>
          <w:szCs w:val="22"/>
          <w:shd w:val="clear" w:color="auto" w:fill="FFFFFF"/>
          <w:lang w:val="ka-GE"/>
        </w:rPr>
        <w:t>N</w:t>
      </w:r>
      <w:r w:rsidRPr="00C12EAD">
        <w:rPr>
          <w:rFonts w:ascii="Sylfaen" w:hAnsi="Sylfaen" w:cs="Sylfaen"/>
          <w:sz w:val="22"/>
          <w:szCs w:val="22"/>
          <w:shd w:val="clear" w:color="auto" w:fill="FFFFFF"/>
          <w:lang w:val="ka-GE"/>
        </w:rPr>
        <w:t>გ-20-9/156 გადაწყვეტილებ</w:t>
      </w:r>
      <w:r w:rsidR="0041484E" w:rsidRPr="00C12EAD">
        <w:rPr>
          <w:rFonts w:ascii="Sylfaen" w:hAnsi="Sylfaen" w:cs="Sylfaen"/>
          <w:sz w:val="22"/>
          <w:szCs w:val="22"/>
          <w:shd w:val="clear" w:color="auto" w:fill="FFFFFF"/>
          <w:lang w:val="ka-GE"/>
        </w:rPr>
        <w:t>ა “მობილური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 აღნიშნული გადაწყვეტილებ</w:t>
      </w:r>
      <w:r w:rsidRPr="00C12EAD">
        <w:rPr>
          <w:rFonts w:ascii="Sylfaen" w:hAnsi="Sylfaen" w:cs="Sylfaen"/>
          <w:sz w:val="22"/>
          <w:szCs w:val="22"/>
          <w:shd w:val="clear" w:color="auto" w:fill="FFFFFF"/>
          <w:lang w:val="ka-GE"/>
        </w:rPr>
        <w:t>ით მობილური ქსელით მომსახურების (ხმოვანი, ინტერნეტი, მოკლე ტექსტური შეტყობინებები „SMS“) საბითუმო ბაზრის შესაბამის სეგმენტზე</w:t>
      </w:r>
      <w:r w:rsidR="0044596C" w:rsidRPr="00C12EAD">
        <w:rPr>
          <w:rFonts w:ascii="Sylfaen" w:hAnsi="Sylfaen" w:cs="Sylfaen"/>
          <w:sz w:val="22"/>
          <w:szCs w:val="22"/>
          <w:shd w:val="clear" w:color="auto" w:fill="FFFFFF"/>
          <w:lang w:val="ka-GE"/>
        </w:rPr>
        <w:t xml:space="preserve"> </w:t>
      </w:r>
      <w:r w:rsidR="0041484E" w:rsidRPr="00C12EAD">
        <w:rPr>
          <w:rFonts w:ascii="Sylfaen" w:hAnsi="Sylfaen" w:cs="Sylfaen"/>
          <w:sz w:val="22"/>
          <w:szCs w:val="22"/>
          <w:shd w:val="clear" w:color="auto" w:fill="FFFFFF"/>
          <w:lang w:val="ka-GE"/>
        </w:rPr>
        <w:t xml:space="preserve">განისაზღვრა 3 (სამი) </w:t>
      </w:r>
      <w:r w:rsidRPr="00C12EAD">
        <w:rPr>
          <w:rFonts w:ascii="Sylfaen" w:hAnsi="Sylfaen" w:cs="Sylfaen"/>
          <w:sz w:val="22"/>
          <w:szCs w:val="22"/>
          <w:shd w:val="clear" w:color="auto" w:fill="FFFFFF"/>
          <w:lang w:val="ka-GE"/>
        </w:rPr>
        <w:t xml:space="preserve"> მნიშვნელოვანი საბაზრო ძალაუფლების მქონე ავტორიზებულ</w:t>
      </w:r>
      <w:r w:rsidR="0041484E" w:rsidRPr="00C12EAD">
        <w:rPr>
          <w:rFonts w:ascii="Sylfaen" w:hAnsi="Sylfaen" w:cs="Sylfaen"/>
          <w:sz w:val="22"/>
          <w:szCs w:val="22"/>
          <w:shd w:val="clear" w:color="auto" w:fill="FFFFFF"/>
          <w:lang w:val="ka-GE"/>
        </w:rPr>
        <w:t>ი პირი</w:t>
      </w:r>
      <w:r w:rsidRPr="00C12EAD">
        <w:rPr>
          <w:rFonts w:ascii="Sylfaen" w:hAnsi="Sylfaen" w:cs="Sylfaen"/>
          <w:sz w:val="22"/>
          <w:szCs w:val="22"/>
          <w:shd w:val="clear" w:color="auto" w:fill="FFFFFF"/>
          <w:lang w:val="ka-GE"/>
        </w:rPr>
        <w:t>: შპს „მაგთიკომ</w:t>
      </w:r>
      <w:r w:rsidR="0041484E" w:rsidRPr="00C12EAD">
        <w:rPr>
          <w:rFonts w:ascii="Sylfaen" w:hAnsi="Sylfaen" w:cs="Sylfaen"/>
          <w:sz w:val="22"/>
          <w:szCs w:val="22"/>
          <w:shd w:val="clear" w:color="auto" w:fill="FFFFFF"/>
          <w:lang w:val="ka-GE"/>
        </w:rPr>
        <w:t>ი</w:t>
      </w:r>
      <w:r w:rsidRPr="00C12EAD">
        <w:rPr>
          <w:rFonts w:ascii="Sylfaen" w:hAnsi="Sylfaen" w:cs="Sylfaen"/>
          <w:sz w:val="22"/>
          <w:szCs w:val="22"/>
          <w:shd w:val="clear" w:color="auto" w:fill="FFFFFF"/>
          <w:lang w:val="ka-GE"/>
        </w:rPr>
        <w:t>”, სს „სილქნეტ</w:t>
      </w:r>
      <w:r w:rsidR="0041484E" w:rsidRPr="00C12EAD">
        <w:rPr>
          <w:rFonts w:ascii="Sylfaen" w:hAnsi="Sylfaen" w:cs="Sylfaen"/>
          <w:sz w:val="22"/>
          <w:szCs w:val="22"/>
          <w:shd w:val="clear" w:color="auto" w:fill="FFFFFF"/>
          <w:lang w:val="ka-GE"/>
        </w:rPr>
        <w:t>ი</w:t>
      </w:r>
      <w:r w:rsidRPr="00C12EAD">
        <w:rPr>
          <w:rFonts w:ascii="Sylfaen" w:hAnsi="Sylfaen" w:cs="Sylfaen"/>
          <w:sz w:val="22"/>
          <w:szCs w:val="22"/>
          <w:shd w:val="clear" w:color="auto" w:fill="FFFFFF"/>
          <w:lang w:val="ka-GE"/>
        </w:rPr>
        <w:t>“</w:t>
      </w:r>
      <w:r w:rsidR="0041484E" w:rsidRPr="00C12EAD">
        <w:rPr>
          <w:rFonts w:ascii="Sylfaen" w:hAnsi="Sylfaen" w:cs="Sylfaen"/>
          <w:sz w:val="22"/>
          <w:szCs w:val="22"/>
          <w:shd w:val="clear" w:color="auto" w:fill="FFFFFF"/>
          <w:lang w:val="ka-GE"/>
        </w:rPr>
        <w:t xml:space="preserve"> და</w:t>
      </w:r>
      <w:r w:rsidRPr="00C12EAD">
        <w:rPr>
          <w:rFonts w:ascii="Sylfaen" w:hAnsi="Sylfaen" w:cs="Sylfaen"/>
          <w:sz w:val="22"/>
          <w:szCs w:val="22"/>
          <w:shd w:val="clear" w:color="auto" w:fill="FFFFFF"/>
          <w:lang w:val="ka-GE"/>
        </w:rPr>
        <w:t xml:space="preserve"> შპს „ვიონი საქართველო”</w:t>
      </w:r>
      <w:r w:rsidR="009171F4">
        <w:rPr>
          <w:rFonts w:ascii="Sylfaen" w:hAnsi="Sylfaen" w:cs="Sylfaen"/>
          <w:sz w:val="22"/>
          <w:szCs w:val="22"/>
          <w:shd w:val="clear" w:color="auto" w:fill="FFFFFF"/>
        </w:rPr>
        <w:t>(</w:t>
      </w:r>
      <w:r w:rsidR="009171F4">
        <w:rPr>
          <w:rFonts w:ascii="Sylfaen" w:hAnsi="Sylfaen" w:cs="Sylfaen"/>
          <w:sz w:val="22"/>
          <w:szCs w:val="22"/>
          <w:shd w:val="clear" w:color="auto" w:fill="FFFFFF"/>
          <w:lang w:val="ka-GE"/>
        </w:rPr>
        <w:t>ამჟამად სახელწოდებით „სელფი მობაილი“)</w:t>
      </w:r>
      <w:r w:rsidR="0041484E" w:rsidRPr="00C12EAD">
        <w:rPr>
          <w:rFonts w:ascii="Sylfaen" w:hAnsi="Sylfaen" w:cs="Sylfaen"/>
          <w:sz w:val="22"/>
          <w:szCs w:val="22"/>
          <w:shd w:val="clear" w:color="auto" w:fill="FFFFFF"/>
          <w:lang w:val="ka-GE"/>
        </w:rPr>
        <w:t>.</w:t>
      </w:r>
      <w:r w:rsidR="0041484E" w:rsidRPr="00965DCA">
        <w:rPr>
          <w:rFonts w:ascii="Sylfaen" w:hAnsi="Sylfaen" w:cs="Sylfaen"/>
          <w:sz w:val="22"/>
          <w:szCs w:val="22"/>
          <w:lang w:val="ka-GE"/>
        </w:rPr>
        <w:t xml:space="preserve"> </w:t>
      </w:r>
    </w:p>
    <w:p w14:paraId="7538C47E" w14:textId="5E2DBD4D"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Sylfaen"/>
          <w:sz w:val="22"/>
          <w:szCs w:val="22"/>
          <w:shd w:val="clear" w:color="auto" w:fill="FFFFFF"/>
          <w:lang w:val="ka-GE"/>
        </w:rPr>
        <w:t>კომისიის</w:t>
      </w:r>
      <w:r w:rsidRPr="00C12EAD">
        <w:rPr>
          <w:rFonts w:ascii="Sylfaen" w:hAnsi="Sylfaen" w:cs="Helvetica"/>
          <w:sz w:val="22"/>
          <w:szCs w:val="22"/>
          <w:shd w:val="clear" w:color="auto" w:fill="FFFFFF"/>
          <w:lang w:val="ka-GE"/>
        </w:rPr>
        <w:t xml:space="preserve"> 2019 </w:t>
      </w:r>
      <w:r w:rsidRPr="00C12EAD">
        <w:rPr>
          <w:rFonts w:ascii="Sylfaen" w:hAnsi="Sylfaen" w:cs="Sylfaen"/>
          <w:sz w:val="22"/>
          <w:szCs w:val="22"/>
          <w:shd w:val="clear" w:color="auto" w:fill="FFFFFF"/>
          <w:lang w:val="ka-GE"/>
        </w:rPr>
        <w:t>წლის</w:t>
      </w:r>
      <w:r w:rsidRPr="00C12EAD">
        <w:rPr>
          <w:rFonts w:ascii="Sylfaen" w:hAnsi="Sylfaen" w:cs="Helvetica"/>
          <w:sz w:val="22"/>
          <w:szCs w:val="22"/>
          <w:shd w:val="clear" w:color="auto" w:fill="FFFFFF"/>
          <w:lang w:val="ka-GE"/>
        </w:rPr>
        <w:t xml:space="preserve"> 31 </w:t>
      </w:r>
      <w:r w:rsidRPr="00C12EAD">
        <w:rPr>
          <w:rFonts w:ascii="Sylfaen" w:hAnsi="Sylfaen" w:cs="Sylfaen"/>
          <w:sz w:val="22"/>
          <w:szCs w:val="22"/>
          <w:shd w:val="clear" w:color="auto" w:fill="FFFFFF"/>
          <w:lang w:val="ka-GE"/>
        </w:rPr>
        <w:t>დეკემბრის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გ</w:t>
      </w:r>
      <w:r w:rsidRPr="00C12EAD">
        <w:rPr>
          <w:rFonts w:ascii="Sylfaen" w:hAnsi="Sylfaen" w:cs="Helvetica"/>
          <w:sz w:val="22"/>
          <w:szCs w:val="22"/>
          <w:shd w:val="clear" w:color="auto" w:fill="FFFFFF"/>
          <w:lang w:val="ka-GE"/>
        </w:rPr>
        <w:t>-20-</w:t>
      </w:r>
      <w:r w:rsidRPr="00C12EAD">
        <w:rPr>
          <w:rFonts w:ascii="Sylfaen" w:hAnsi="Sylfaen"/>
          <w:sz w:val="22"/>
          <w:szCs w:val="22"/>
          <w:lang w:val="ka-GE"/>
        </w:rPr>
        <w:t>9/156</w:t>
      </w:r>
      <w:r w:rsidRPr="00C12EAD">
        <w:rPr>
          <w:rFonts w:ascii="Sylfaen" w:hAnsi="Sylfaen" w:cs="Helvetica"/>
          <w:sz w:val="22"/>
          <w:szCs w:val="22"/>
          <w:shd w:val="clear" w:color="auto" w:fill="FFFFFF"/>
          <w:lang w:val="ka-GE"/>
        </w:rPr>
        <w:t> </w:t>
      </w:r>
      <w:r w:rsidRPr="00C12EAD">
        <w:rPr>
          <w:rFonts w:ascii="Sylfaen" w:hAnsi="Sylfaen" w:cs="Sylfaen"/>
          <w:sz w:val="22"/>
          <w:szCs w:val="22"/>
          <w:shd w:val="clear" w:color="auto" w:fill="FFFFFF"/>
          <w:lang w:val="ka-GE"/>
        </w:rPr>
        <w:t>გადაწყვეტილებით</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მობილური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ქსელით</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მომსახურების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ხმოვანი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ინტერნეტი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მოკლე</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ტექსტური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შეტყობინებები</w:t>
      </w:r>
      <w:r w:rsidRPr="00C12EAD">
        <w:rPr>
          <w:rFonts w:ascii="Sylfaen" w:hAnsi="Sylfaen" w:cs="Helvetica"/>
          <w:sz w:val="22"/>
          <w:szCs w:val="22"/>
          <w:shd w:val="clear" w:color="auto" w:fill="FFFFFF"/>
          <w:lang w:val="ka-GE"/>
        </w:rPr>
        <w:t xml:space="preserve"> „SMS“) </w:t>
      </w:r>
      <w:r w:rsidRPr="00C12EAD">
        <w:rPr>
          <w:rFonts w:ascii="Sylfaen" w:hAnsi="Sylfaen" w:cs="Sylfaen"/>
          <w:sz w:val="22"/>
          <w:szCs w:val="22"/>
          <w:shd w:val="clear" w:color="auto" w:fill="FFFFFF"/>
          <w:lang w:val="ka-GE"/>
        </w:rPr>
        <w:t>საბითუმო</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ბაზრის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შესაბამის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სეგმენტზე</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განსაზღვრულ</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მნიშვნელოვანი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საბაზრო</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ძალაუფლების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მქონე</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ავტორიზებულ</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პირებს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შპს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მაგთიკომი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სს</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სილქნეტი</w:t>
      </w:r>
      <w:r w:rsidRPr="00C12EAD">
        <w:rPr>
          <w:rFonts w:ascii="Sylfaen" w:hAnsi="Sylfaen" w:cs="Helvetica"/>
          <w:sz w:val="22"/>
          <w:szCs w:val="22"/>
          <w:shd w:val="clear" w:color="auto" w:fill="FFFFFF"/>
          <w:lang w:val="ka-GE"/>
        </w:rPr>
        <w:t xml:space="preserve">“, </w:t>
      </w:r>
      <w:r w:rsidRPr="00C12EAD">
        <w:rPr>
          <w:rFonts w:ascii="Sylfaen" w:hAnsi="Sylfaen" w:cs="Sylfaen"/>
          <w:sz w:val="22"/>
          <w:szCs w:val="22"/>
          <w:shd w:val="clear" w:color="auto" w:fill="FFFFFF"/>
          <w:lang w:val="ka-GE"/>
        </w:rPr>
        <w:t>შპს</w:t>
      </w:r>
      <w:r w:rsidRPr="00C12EAD">
        <w:rPr>
          <w:rFonts w:ascii="Sylfaen" w:hAnsi="Sylfaen" w:cs="Helvetica"/>
          <w:sz w:val="22"/>
          <w:szCs w:val="22"/>
          <w:shd w:val="clear" w:color="auto" w:fill="FFFFFF"/>
          <w:lang w:val="ka-GE"/>
        </w:rPr>
        <w:t> </w:t>
      </w:r>
      <w:r w:rsidRPr="00965DCA">
        <w:rPr>
          <w:rFonts w:ascii="Sylfaen" w:hAnsi="Sylfaen" w:cs="Helvetica"/>
          <w:sz w:val="22"/>
          <w:szCs w:val="22"/>
          <w:shd w:val="clear" w:color="auto" w:fill="FFFFFF"/>
          <w:lang w:val="ka-GE"/>
        </w:rPr>
        <w:t>„</w:t>
      </w:r>
      <w:r w:rsidRPr="00C12EAD">
        <w:rPr>
          <w:rFonts w:ascii="Sylfaen" w:hAnsi="Sylfaen" w:cs="Sylfaen"/>
          <w:sz w:val="22"/>
          <w:szCs w:val="22"/>
          <w:lang w:val="ka-GE"/>
        </w:rPr>
        <w:t>ვიონი</w:t>
      </w:r>
      <w:r w:rsidRPr="00C12EAD">
        <w:rPr>
          <w:rFonts w:ascii="Sylfaen" w:hAnsi="Sylfaen" w:cs="Helvetica"/>
          <w:sz w:val="22"/>
          <w:szCs w:val="22"/>
          <w:lang w:val="ka-GE"/>
        </w:rPr>
        <w:t xml:space="preserve"> </w:t>
      </w:r>
      <w:r w:rsidRPr="00C12EAD">
        <w:rPr>
          <w:rFonts w:ascii="Sylfaen" w:hAnsi="Sylfaen" w:cs="Sylfaen"/>
          <w:sz w:val="22"/>
          <w:szCs w:val="22"/>
          <w:lang w:val="ka-GE"/>
        </w:rPr>
        <w:t>საქართველო</w:t>
      </w:r>
      <w:r w:rsidRPr="00C12EAD">
        <w:rPr>
          <w:rFonts w:ascii="Sylfaen" w:hAnsi="Sylfaen" w:cs="Helvetica"/>
          <w:sz w:val="22"/>
          <w:szCs w:val="22"/>
          <w:lang w:val="ka-GE"/>
        </w:rPr>
        <w:t xml:space="preserve">” - </w:t>
      </w:r>
      <w:r w:rsidRPr="00C12EAD">
        <w:rPr>
          <w:rFonts w:ascii="Sylfaen" w:hAnsi="Sylfaen" w:cs="Sylfaen"/>
          <w:sz w:val="22"/>
          <w:szCs w:val="22"/>
          <w:lang w:val="ka-GE"/>
        </w:rPr>
        <w:t>ამავე</w:t>
      </w:r>
      <w:r w:rsidRPr="00C12EAD">
        <w:rPr>
          <w:rFonts w:ascii="Sylfaen" w:hAnsi="Sylfaen" w:cs="Helvetica"/>
          <w:sz w:val="22"/>
          <w:szCs w:val="22"/>
          <w:lang w:val="ka-GE"/>
        </w:rPr>
        <w:t xml:space="preserve"> </w:t>
      </w:r>
      <w:r w:rsidRPr="00C12EAD">
        <w:rPr>
          <w:rFonts w:ascii="Sylfaen" w:hAnsi="Sylfaen" w:cs="Sylfaen"/>
          <w:sz w:val="22"/>
          <w:szCs w:val="22"/>
          <w:lang w:val="ka-GE"/>
        </w:rPr>
        <w:t>გადაწყვეტილებით</w:t>
      </w:r>
      <w:r w:rsidRPr="00C12EAD">
        <w:rPr>
          <w:rFonts w:ascii="Sylfaen" w:hAnsi="Sylfaen" w:cs="Helvetica"/>
          <w:sz w:val="22"/>
          <w:szCs w:val="22"/>
          <w:lang w:val="ka-GE"/>
        </w:rPr>
        <w:t xml:space="preserve"> </w:t>
      </w:r>
      <w:r w:rsidRPr="00C12EAD">
        <w:rPr>
          <w:rFonts w:ascii="Sylfaen" w:hAnsi="Sylfaen" w:cs="Sylfaen"/>
          <w:sz w:val="22"/>
          <w:szCs w:val="22"/>
          <w:lang w:val="ka-GE"/>
        </w:rPr>
        <w:t>განსაზღვრულ</w:t>
      </w:r>
      <w:r w:rsidRPr="00C12EAD">
        <w:rPr>
          <w:rFonts w:ascii="Sylfaen" w:hAnsi="Sylfaen" w:cs="Helvetica"/>
          <w:sz w:val="22"/>
          <w:szCs w:val="22"/>
          <w:lang w:val="ka-GE"/>
        </w:rPr>
        <w:t xml:space="preserve"> </w:t>
      </w:r>
      <w:r w:rsidRPr="00C12EAD">
        <w:rPr>
          <w:rFonts w:ascii="Sylfaen" w:hAnsi="Sylfaen" w:cs="Sylfaen"/>
          <w:sz w:val="22"/>
          <w:szCs w:val="22"/>
          <w:lang w:val="ka-GE"/>
        </w:rPr>
        <w:t>გეოგრაფიულ</w:t>
      </w:r>
      <w:r w:rsidRPr="00C12EAD">
        <w:rPr>
          <w:rFonts w:ascii="Sylfaen" w:hAnsi="Sylfaen" w:cs="Helvetica"/>
          <w:sz w:val="22"/>
          <w:szCs w:val="22"/>
          <w:lang w:val="ka-GE"/>
        </w:rPr>
        <w:t xml:space="preserve"> </w:t>
      </w:r>
      <w:r w:rsidRPr="00C12EAD">
        <w:rPr>
          <w:rFonts w:ascii="Sylfaen" w:hAnsi="Sylfaen" w:cs="Sylfaen"/>
          <w:sz w:val="22"/>
          <w:szCs w:val="22"/>
          <w:lang w:val="ka-GE"/>
        </w:rPr>
        <w:t>საზღვრებში</w:t>
      </w:r>
      <w:r w:rsidRPr="00C12EAD">
        <w:rPr>
          <w:rFonts w:ascii="Sylfaen" w:hAnsi="Sylfaen" w:cs="Helvetica"/>
          <w:sz w:val="22"/>
          <w:szCs w:val="22"/>
          <w:lang w:val="ka-GE"/>
        </w:rPr>
        <w:t xml:space="preserve">, </w:t>
      </w:r>
      <w:r w:rsidRPr="00C12EAD">
        <w:rPr>
          <w:rFonts w:ascii="Sylfaen" w:hAnsi="Sylfaen" w:cs="Sylfaen"/>
          <w:sz w:val="22"/>
          <w:szCs w:val="22"/>
          <w:lang w:val="ka-GE"/>
        </w:rPr>
        <w:t>დაეკის</w:t>
      </w:r>
      <w:r w:rsidR="00194FF6">
        <w:rPr>
          <w:rFonts w:ascii="Sylfaen" w:hAnsi="Sylfaen" w:cs="Sylfaen"/>
          <w:sz w:val="22"/>
          <w:szCs w:val="22"/>
          <w:lang w:val="ka-GE"/>
        </w:rPr>
        <w:t>რ</w:t>
      </w:r>
      <w:r w:rsidRPr="00C12EAD">
        <w:rPr>
          <w:rFonts w:ascii="Sylfaen" w:hAnsi="Sylfaen" w:cs="Sylfaen"/>
          <w:sz w:val="22"/>
          <w:szCs w:val="22"/>
          <w:lang w:val="ka-GE"/>
        </w:rPr>
        <w:t>ათ</w:t>
      </w:r>
      <w:r w:rsidRPr="00C12EAD">
        <w:rPr>
          <w:rFonts w:ascii="Sylfaen" w:hAnsi="Sylfaen" w:cs="Helvetica"/>
          <w:sz w:val="22"/>
          <w:szCs w:val="22"/>
          <w:lang w:val="ka-GE"/>
        </w:rPr>
        <w:t xml:space="preserve"> </w:t>
      </w:r>
      <w:r w:rsidRPr="00C12EAD">
        <w:rPr>
          <w:rFonts w:ascii="Sylfaen" w:hAnsi="Sylfaen" w:cs="Sylfaen"/>
          <w:sz w:val="22"/>
          <w:szCs w:val="22"/>
          <w:lang w:val="ka-GE"/>
        </w:rPr>
        <w:t>მობილური</w:t>
      </w:r>
      <w:r w:rsidRPr="00C12EAD">
        <w:rPr>
          <w:rFonts w:ascii="Sylfaen" w:hAnsi="Sylfaen" w:cs="Helvetica"/>
          <w:sz w:val="22"/>
          <w:szCs w:val="22"/>
          <w:lang w:val="ka-GE"/>
        </w:rPr>
        <w:t xml:space="preserve"> </w:t>
      </w:r>
      <w:r w:rsidRPr="00C12EAD">
        <w:rPr>
          <w:rFonts w:ascii="Sylfaen" w:hAnsi="Sylfaen" w:cs="Sylfaen"/>
          <w:sz w:val="22"/>
          <w:szCs w:val="22"/>
          <w:lang w:val="ka-GE"/>
        </w:rPr>
        <w:t>ვირტუალური</w:t>
      </w:r>
      <w:r w:rsidRPr="00C12EAD">
        <w:rPr>
          <w:rFonts w:ascii="Sylfaen" w:hAnsi="Sylfaen" w:cs="Helvetica"/>
          <w:sz w:val="22"/>
          <w:szCs w:val="22"/>
          <w:lang w:val="ka-GE"/>
        </w:rPr>
        <w:t xml:space="preserve"> </w:t>
      </w:r>
      <w:r w:rsidRPr="00C12EAD">
        <w:rPr>
          <w:rFonts w:ascii="Sylfaen" w:hAnsi="Sylfaen" w:cs="Sylfaen"/>
          <w:sz w:val="22"/>
          <w:szCs w:val="22"/>
          <w:lang w:val="ka-GE"/>
        </w:rPr>
        <w:t>ქსელის</w:t>
      </w:r>
      <w:r w:rsidRPr="00C12EAD">
        <w:rPr>
          <w:rFonts w:ascii="Sylfaen" w:hAnsi="Sylfaen" w:cs="Helvetica"/>
          <w:sz w:val="22"/>
          <w:szCs w:val="22"/>
          <w:lang w:val="ka-GE"/>
        </w:rPr>
        <w:t xml:space="preserve"> </w:t>
      </w:r>
      <w:r w:rsidRPr="00C12EAD">
        <w:rPr>
          <w:rFonts w:ascii="Sylfaen" w:hAnsi="Sylfaen" w:cs="Sylfaen"/>
          <w:sz w:val="22"/>
          <w:szCs w:val="22"/>
          <w:lang w:val="ka-GE"/>
        </w:rPr>
        <w:t>ოპერატორის</w:t>
      </w:r>
      <w:r w:rsidRPr="00C12EAD">
        <w:rPr>
          <w:rFonts w:ascii="Sylfaen" w:hAnsi="Sylfaen" w:cs="Helvetica"/>
          <w:sz w:val="22"/>
          <w:szCs w:val="22"/>
          <w:lang w:val="ka-GE"/>
        </w:rPr>
        <w:t xml:space="preserve"> (MVNO) </w:t>
      </w:r>
      <w:r w:rsidRPr="00C12EAD">
        <w:rPr>
          <w:rFonts w:ascii="Sylfaen" w:hAnsi="Sylfaen" w:cs="Sylfaen"/>
          <w:sz w:val="22"/>
          <w:szCs w:val="22"/>
          <w:lang w:val="ka-GE"/>
        </w:rPr>
        <w:t>ქსელთან</w:t>
      </w:r>
      <w:r w:rsidRPr="00C12EAD">
        <w:rPr>
          <w:rFonts w:ascii="Sylfaen" w:hAnsi="Sylfaen" w:cs="Helvetica"/>
          <w:sz w:val="22"/>
          <w:szCs w:val="22"/>
          <w:lang w:val="ka-GE"/>
        </w:rPr>
        <w:t xml:space="preserve"> </w:t>
      </w:r>
      <w:r w:rsidRPr="00C12EAD">
        <w:rPr>
          <w:rFonts w:ascii="Sylfaen" w:hAnsi="Sylfaen" w:cs="Sylfaen"/>
          <w:sz w:val="22"/>
          <w:szCs w:val="22"/>
          <w:lang w:val="ka-GE"/>
        </w:rPr>
        <w:t>დაშვების</w:t>
      </w:r>
      <w:r w:rsidRPr="00C12EAD">
        <w:rPr>
          <w:rFonts w:ascii="Sylfaen" w:hAnsi="Sylfaen" w:cs="Helvetica"/>
          <w:sz w:val="22"/>
          <w:szCs w:val="22"/>
          <w:lang w:val="ka-GE"/>
        </w:rPr>
        <w:t xml:space="preserve"> </w:t>
      </w:r>
      <w:r w:rsidRPr="00C12EAD">
        <w:rPr>
          <w:rFonts w:ascii="Sylfaen" w:hAnsi="Sylfaen" w:cs="Sylfaen"/>
          <w:sz w:val="22"/>
          <w:szCs w:val="22"/>
          <w:lang w:val="ka-GE"/>
        </w:rPr>
        <w:t>უზრუნველყოფის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r w:rsidRPr="00C12EAD">
        <w:rPr>
          <w:rFonts w:ascii="Sylfaen" w:hAnsi="Sylfaen" w:cs="Helvetica"/>
          <w:sz w:val="22"/>
          <w:szCs w:val="22"/>
          <w:lang w:val="ka-GE"/>
        </w:rPr>
        <w:t xml:space="preserve">, </w:t>
      </w:r>
      <w:r w:rsidRPr="00C12EAD">
        <w:rPr>
          <w:rFonts w:ascii="Sylfaen" w:hAnsi="Sylfaen" w:cs="Sylfaen"/>
          <w:sz w:val="22"/>
          <w:szCs w:val="22"/>
          <w:lang w:val="ka-GE"/>
        </w:rPr>
        <w:t>შემდეგი</w:t>
      </w:r>
      <w:r w:rsidRPr="00C12EAD">
        <w:rPr>
          <w:rFonts w:ascii="Sylfaen" w:hAnsi="Sylfaen" w:cs="Helvetica"/>
          <w:sz w:val="22"/>
          <w:szCs w:val="22"/>
          <w:lang w:val="ka-GE"/>
        </w:rPr>
        <w:t xml:space="preserve"> </w:t>
      </w:r>
      <w:r w:rsidRPr="00C12EAD">
        <w:rPr>
          <w:rFonts w:ascii="Sylfaen" w:hAnsi="Sylfaen" w:cs="Sylfaen"/>
          <w:sz w:val="22"/>
          <w:szCs w:val="22"/>
          <w:lang w:val="ka-GE"/>
        </w:rPr>
        <w:t>სპეციფიკური</w:t>
      </w:r>
      <w:r w:rsidRPr="00C12EAD">
        <w:rPr>
          <w:rFonts w:ascii="Sylfaen" w:hAnsi="Sylfaen" w:cs="Helvetica"/>
          <w:sz w:val="22"/>
          <w:szCs w:val="22"/>
          <w:lang w:val="ka-GE"/>
        </w:rPr>
        <w:t xml:space="preserve"> </w:t>
      </w:r>
      <w:r w:rsidRPr="00C12EAD">
        <w:rPr>
          <w:rFonts w:ascii="Sylfaen" w:hAnsi="Sylfaen" w:cs="Sylfaen"/>
          <w:sz w:val="22"/>
          <w:szCs w:val="22"/>
          <w:lang w:val="ka-GE"/>
        </w:rPr>
        <w:t>პირობების</w:t>
      </w:r>
      <w:r w:rsidRPr="00C12EAD">
        <w:rPr>
          <w:rFonts w:ascii="Sylfaen" w:hAnsi="Sylfaen" w:cs="Helvetica"/>
          <w:sz w:val="22"/>
          <w:szCs w:val="22"/>
          <w:lang w:val="ka-GE"/>
        </w:rPr>
        <w:t xml:space="preserve"> </w:t>
      </w:r>
      <w:r w:rsidRPr="00C12EAD">
        <w:rPr>
          <w:rFonts w:ascii="Sylfaen" w:hAnsi="Sylfaen" w:cs="Sylfaen"/>
          <w:sz w:val="22"/>
          <w:szCs w:val="22"/>
          <w:lang w:val="ka-GE"/>
        </w:rPr>
        <w:t>გათვალისწინებით</w:t>
      </w:r>
      <w:r w:rsidRPr="00C12EAD">
        <w:rPr>
          <w:rFonts w:ascii="Sylfaen" w:hAnsi="Sylfaen" w:cs="Helvetica"/>
          <w:sz w:val="22"/>
          <w:szCs w:val="22"/>
          <w:lang w:val="ka-GE"/>
        </w:rPr>
        <w:t>:</w:t>
      </w:r>
    </w:p>
    <w:p w14:paraId="1DD703C6" w14:textId="16A6BB1C"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1</w:t>
      </w:r>
      <w:r w:rsidR="002D7640" w:rsidRPr="00C12EAD">
        <w:rPr>
          <w:rFonts w:ascii="Sylfaen" w:hAnsi="Sylfaen" w:cs="Helvetica"/>
          <w:sz w:val="22"/>
          <w:szCs w:val="22"/>
          <w:lang w:val="ka-GE"/>
        </w:rPr>
        <w:t>.</w:t>
      </w:r>
      <w:r w:rsidRPr="00C12EAD">
        <w:rPr>
          <w:rFonts w:ascii="Sylfaen" w:hAnsi="Sylfaen" w:cs="Helvetica"/>
          <w:sz w:val="22"/>
          <w:szCs w:val="22"/>
          <w:lang w:val="ka-GE"/>
        </w:rPr>
        <w:t xml:space="preserve"> </w:t>
      </w:r>
      <w:r w:rsidRPr="00C12EAD">
        <w:rPr>
          <w:rFonts w:ascii="Sylfaen" w:hAnsi="Sylfaen" w:cs="Sylfaen"/>
          <w:sz w:val="22"/>
          <w:szCs w:val="22"/>
          <w:lang w:val="ka-GE"/>
        </w:rPr>
        <w:t>ინფორმაციის</w:t>
      </w:r>
      <w:r w:rsidRPr="00C12EAD">
        <w:rPr>
          <w:rFonts w:ascii="Sylfaen" w:hAnsi="Sylfaen" w:cs="Helvetica"/>
          <w:sz w:val="22"/>
          <w:szCs w:val="22"/>
          <w:lang w:val="ka-GE"/>
        </w:rPr>
        <w:t xml:space="preserve"> </w:t>
      </w:r>
      <w:r w:rsidRPr="00C12EAD">
        <w:rPr>
          <w:rFonts w:ascii="Sylfaen" w:hAnsi="Sylfaen" w:cs="Sylfaen"/>
          <w:sz w:val="22"/>
          <w:szCs w:val="22"/>
          <w:lang w:val="ka-GE"/>
        </w:rPr>
        <w:t>გამჭვირვალობის</w:t>
      </w:r>
      <w:r w:rsidRPr="00C12EAD">
        <w:rPr>
          <w:rFonts w:ascii="Sylfaen" w:hAnsi="Sylfaen" w:cs="Helvetica"/>
          <w:sz w:val="22"/>
          <w:szCs w:val="22"/>
          <w:lang w:val="ka-GE"/>
        </w:rPr>
        <w:t xml:space="preserve"> </w:t>
      </w:r>
      <w:r w:rsidRPr="00C12EAD">
        <w:rPr>
          <w:rFonts w:ascii="Sylfaen" w:hAnsi="Sylfaen" w:cs="Sylfaen"/>
          <w:sz w:val="22"/>
          <w:szCs w:val="22"/>
          <w:lang w:val="ka-GE"/>
        </w:rPr>
        <w:t>უზრუნველყოფის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p>
    <w:p w14:paraId="5CB87FFF" w14:textId="21329933"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2</w:t>
      </w:r>
      <w:r w:rsidR="002D7640" w:rsidRPr="00C12EAD">
        <w:rPr>
          <w:rFonts w:ascii="Sylfaen" w:hAnsi="Sylfaen" w:cs="Helvetica"/>
          <w:sz w:val="22"/>
          <w:szCs w:val="22"/>
          <w:lang w:val="ka-GE"/>
        </w:rPr>
        <w:t>.</w:t>
      </w:r>
      <w:r w:rsidRPr="00C12EAD">
        <w:rPr>
          <w:rFonts w:ascii="Sylfaen" w:hAnsi="Sylfaen" w:cs="Helvetica"/>
          <w:sz w:val="22"/>
          <w:szCs w:val="22"/>
          <w:lang w:val="ka-GE"/>
        </w:rPr>
        <w:t xml:space="preserve"> </w:t>
      </w:r>
      <w:r w:rsidRPr="00C12EAD">
        <w:rPr>
          <w:rFonts w:ascii="Sylfaen" w:hAnsi="Sylfaen" w:cs="Sylfaen"/>
          <w:sz w:val="22"/>
          <w:szCs w:val="22"/>
          <w:lang w:val="ka-GE"/>
        </w:rPr>
        <w:t>ქსელის</w:t>
      </w:r>
      <w:r w:rsidRPr="00C12EAD">
        <w:rPr>
          <w:rFonts w:ascii="Sylfaen" w:hAnsi="Sylfaen" w:cs="Helvetica"/>
          <w:sz w:val="22"/>
          <w:szCs w:val="22"/>
          <w:lang w:val="ka-GE"/>
        </w:rPr>
        <w:t xml:space="preserve"> </w:t>
      </w:r>
      <w:r w:rsidRPr="00C12EAD">
        <w:rPr>
          <w:rFonts w:ascii="Sylfaen" w:hAnsi="Sylfaen" w:cs="Sylfaen"/>
          <w:sz w:val="22"/>
          <w:szCs w:val="22"/>
          <w:lang w:val="ka-GE"/>
        </w:rPr>
        <w:t>შესაბამის</w:t>
      </w:r>
      <w:r w:rsidRPr="00C12EAD">
        <w:rPr>
          <w:rFonts w:ascii="Sylfaen" w:hAnsi="Sylfaen" w:cs="Helvetica"/>
          <w:sz w:val="22"/>
          <w:szCs w:val="22"/>
          <w:lang w:val="ka-GE"/>
        </w:rPr>
        <w:t xml:space="preserve"> </w:t>
      </w:r>
      <w:r w:rsidRPr="00C12EAD">
        <w:rPr>
          <w:rFonts w:ascii="Sylfaen" w:hAnsi="Sylfaen" w:cs="Sylfaen"/>
          <w:sz w:val="22"/>
          <w:szCs w:val="22"/>
          <w:lang w:val="ka-GE"/>
        </w:rPr>
        <w:t>ელემენტებთან</w:t>
      </w:r>
      <w:r w:rsidRPr="00C12EAD">
        <w:rPr>
          <w:rFonts w:ascii="Sylfaen" w:hAnsi="Sylfaen" w:cs="Helvetica"/>
          <w:sz w:val="22"/>
          <w:szCs w:val="22"/>
          <w:lang w:val="ka-GE"/>
        </w:rPr>
        <w:t xml:space="preserve"> </w:t>
      </w:r>
      <w:r w:rsidRPr="00C12EAD">
        <w:rPr>
          <w:rFonts w:ascii="Sylfaen" w:hAnsi="Sylfaen" w:cs="Sylfaen"/>
          <w:sz w:val="22"/>
          <w:szCs w:val="22"/>
          <w:lang w:val="ka-GE"/>
        </w:rPr>
        <w:t>დაშვების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p>
    <w:p w14:paraId="2D1334E7" w14:textId="0FAC4123"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3</w:t>
      </w:r>
      <w:r w:rsidR="002D7640" w:rsidRPr="00C12EAD">
        <w:rPr>
          <w:rFonts w:ascii="Sylfaen" w:hAnsi="Sylfaen" w:cs="Helvetica"/>
          <w:sz w:val="22"/>
          <w:szCs w:val="22"/>
          <w:lang w:val="ka-GE"/>
        </w:rPr>
        <w:t>.</w:t>
      </w:r>
      <w:r w:rsidRPr="00C12EAD">
        <w:rPr>
          <w:rFonts w:ascii="Sylfaen" w:hAnsi="Sylfaen" w:cs="Helvetica"/>
          <w:sz w:val="22"/>
          <w:szCs w:val="22"/>
          <w:lang w:val="ka-GE"/>
        </w:rPr>
        <w:t xml:space="preserve"> </w:t>
      </w:r>
      <w:r w:rsidRPr="00C12EAD">
        <w:rPr>
          <w:rFonts w:ascii="Sylfaen" w:hAnsi="Sylfaen" w:cs="Sylfaen"/>
          <w:sz w:val="22"/>
          <w:szCs w:val="22"/>
          <w:lang w:val="ka-GE"/>
        </w:rPr>
        <w:t>დანახარჯებისა</w:t>
      </w:r>
      <w:r w:rsidRPr="00C12EAD">
        <w:rPr>
          <w:rFonts w:ascii="Sylfaen" w:hAnsi="Sylfaen" w:cs="Helvetica"/>
          <w:sz w:val="22"/>
          <w:szCs w:val="22"/>
          <w:lang w:val="ka-GE"/>
        </w:rPr>
        <w:t xml:space="preserve"> </w:t>
      </w:r>
      <w:r w:rsidRPr="00C12EAD">
        <w:rPr>
          <w:rFonts w:ascii="Sylfaen" w:hAnsi="Sylfaen" w:cs="Sylfaen"/>
          <w:sz w:val="22"/>
          <w:szCs w:val="22"/>
          <w:lang w:val="ka-GE"/>
        </w:rPr>
        <w:t>და</w:t>
      </w:r>
      <w:r w:rsidRPr="00C12EAD">
        <w:rPr>
          <w:rFonts w:ascii="Sylfaen" w:hAnsi="Sylfaen" w:cs="Helvetica"/>
          <w:sz w:val="22"/>
          <w:szCs w:val="22"/>
          <w:lang w:val="ka-GE"/>
        </w:rPr>
        <w:t xml:space="preserve"> </w:t>
      </w:r>
      <w:r w:rsidRPr="00C12EAD">
        <w:rPr>
          <w:rFonts w:ascii="Sylfaen" w:hAnsi="Sylfaen" w:cs="Sylfaen"/>
          <w:sz w:val="22"/>
          <w:szCs w:val="22"/>
          <w:lang w:val="ka-GE"/>
        </w:rPr>
        <w:t>შემოსავლების</w:t>
      </w:r>
      <w:r w:rsidRPr="00C12EAD">
        <w:rPr>
          <w:rFonts w:ascii="Sylfaen" w:hAnsi="Sylfaen" w:cs="Helvetica"/>
          <w:sz w:val="22"/>
          <w:szCs w:val="22"/>
          <w:lang w:val="ka-GE"/>
        </w:rPr>
        <w:t xml:space="preserve"> </w:t>
      </w:r>
      <w:r w:rsidRPr="00C12EAD">
        <w:rPr>
          <w:rFonts w:ascii="Sylfaen" w:hAnsi="Sylfaen" w:cs="Sylfaen"/>
          <w:sz w:val="22"/>
          <w:szCs w:val="22"/>
          <w:lang w:val="ka-GE"/>
        </w:rPr>
        <w:t>განცალკევებულად</w:t>
      </w:r>
      <w:r w:rsidRPr="00C12EAD">
        <w:rPr>
          <w:rFonts w:ascii="Sylfaen" w:hAnsi="Sylfaen" w:cs="Helvetica"/>
          <w:sz w:val="22"/>
          <w:szCs w:val="22"/>
          <w:lang w:val="ka-GE"/>
        </w:rPr>
        <w:t xml:space="preserve"> </w:t>
      </w:r>
      <w:r w:rsidRPr="00C12EAD">
        <w:rPr>
          <w:rFonts w:ascii="Sylfaen" w:hAnsi="Sylfaen" w:cs="Sylfaen"/>
          <w:sz w:val="22"/>
          <w:szCs w:val="22"/>
          <w:lang w:val="ka-GE"/>
        </w:rPr>
        <w:t>აღრიცხვის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p>
    <w:p w14:paraId="54E13E89" w14:textId="3BC50060" w:rsidR="0041484E" w:rsidRPr="00C12EAD" w:rsidRDefault="0041484E" w:rsidP="0041484E">
      <w:pPr>
        <w:pStyle w:val="NormalWeb"/>
        <w:shd w:val="clear" w:color="auto" w:fill="FFFFFF"/>
        <w:spacing w:before="0" w:beforeAutospacing="0" w:after="120" w:afterAutospacing="0" w:line="340" w:lineRule="atLeast"/>
        <w:jc w:val="both"/>
        <w:rPr>
          <w:rFonts w:ascii="Sylfaen" w:hAnsi="Sylfaen" w:cs="Helvetica"/>
          <w:sz w:val="22"/>
          <w:szCs w:val="22"/>
          <w:lang w:val="ka-GE"/>
        </w:rPr>
      </w:pPr>
      <w:r w:rsidRPr="00C12EAD">
        <w:rPr>
          <w:rFonts w:ascii="Sylfaen" w:hAnsi="Sylfaen" w:cs="Helvetica"/>
          <w:sz w:val="22"/>
          <w:szCs w:val="22"/>
          <w:lang w:val="ka-GE"/>
        </w:rPr>
        <w:t>4</w:t>
      </w:r>
      <w:r w:rsidR="002D7640" w:rsidRPr="00C12EAD">
        <w:rPr>
          <w:rFonts w:ascii="Sylfaen" w:hAnsi="Sylfaen" w:cs="Helvetica"/>
          <w:sz w:val="22"/>
          <w:szCs w:val="22"/>
          <w:lang w:val="ka-GE"/>
        </w:rPr>
        <w:t>.</w:t>
      </w:r>
      <w:r w:rsidRPr="00C12EAD">
        <w:rPr>
          <w:rFonts w:ascii="Sylfaen" w:hAnsi="Sylfaen" w:cs="Helvetica"/>
          <w:sz w:val="22"/>
          <w:szCs w:val="22"/>
          <w:lang w:val="ka-GE"/>
        </w:rPr>
        <w:t xml:space="preserve"> </w:t>
      </w:r>
      <w:r w:rsidRPr="00C12EAD">
        <w:rPr>
          <w:rFonts w:ascii="Sylfaen" w:hAnsi="Sylfaen" w:cs="Sylfaen"/>
          <w:sz w:val="22"/>
          <w:szCs w:val="22"/>
          <w:lang w:val="ka-GE"/>
        </w:rPr>
        <w:t>სატარიფო</w:t>
      </w:r>
      <w:r w:rsidRPr="00C12EAD">
        <w:rPr>
          <w:rFonts w:ascii="Sylfaen" w:hAnsi="Sylfaen" w:cs="Helvetica"/>
          <w:sz w:val="22"/>
          <w:szCs w:val="22"/>
          <w:lang w:val="ka-GE"/>
        </w:rPr>
        <w:t xml:space="preserve"> </w:t>
      </w:r>
      <w:r w:rsidRPr="00C12EAD">
        <w:rPr>
          <w:rFonts w:ascii="Sylfaen" w:hAnsi="Sylfaen" w:cs="Sylfaen"/>
          <w:sz w:val="22"/>
          <w:szCs w:val="22"/>
          <w:lang w:val="ka-GE"/>
        </w:rPr>
        <w:t>რეგულირებისა</w:t>
      </w:r>
      <w:r w:rsidRPr="00C12EAD">
        <w:rPr>
          <w:rFonts w:ascii="Sylfaen" w:hAnsi="Sylfaen" w:cs="Helvetica"/>
          <w:sz w:val="22"/>
          <w:szCs w:val="22"/>
          <w:lang w:val="ka-GE"/>
        </w:rPr>
        <w:t xml:space="preserve"> </w:t>
      </w:r>
      <w:r w:rsidRPr="00C12EAD">
        <w:rPr>
          <w:rFonts w:ascii="Sylfaen" w:hAnsi="Sylfaen" w:cs="Sylfaen"/>
          <w:sz w:val="22"/>
          <w:szCs w:val="22"/>
          <w:lang w:val="ka-GE"/>
        </w:rPr>
        <w:t>და</w:t>
      </w:r>
      <w:r w:rsidRPr="00C12EAD">
        <w:rPr>
          <w:rFonts w:ascii="Sylfaen" w:hAnsi="Sylfaen" w:cs="Helvetica"/>
          <w:sz w:val="22"/>
          <w:szCs w:val="22"/>
          <w:lang w:val="ka-GE"/>
        </w:rPr>
        <w:t xml:space="preserve"> </w:t>
      </w:r>
      <w:r w:rsidRPr="00C12EAD">
        <w:rPr>
          <w:rFonts w:ascii="Sylfaen" w:hAnsi="Sylfaen" w:cs="Sylfaen"/>
          <w:sz w:val="22"/>
          <w:szCs w:val="22"/>
          <w:lang w:val="ka-GE"/>
        </w:rPr>
        <w:t>ხარჯთაღრიცხვის</w:t>
      </w:r>
      <w:r w:rsidRPr="00C12EAD">
        <w:rPr>
          <w:rFonts w:ascii="Sylfaen" w:hAnsi="Sylfaen" w:cs="Helvetica"/>
          <w:sz w:val="22"/>
          <w:szCs w:val="22"/>
          <w:lang w:val="ka-GE"/>
        </w:rPr>
        <w:t xml:space="preserve"> </w:t>
      </w:r>
      <w:r w:rsidRPr="00C12EAD">
        <w:rPr>
          <w:rFonts w:ascii="Sylfaen" w:hAnsi="Sylfaen" w:cs="Sylfaen"/>
          <w:sz w:val="22"/>
          <w:szCs w:val="22"/>
          <w:lang w:val="ka-GE"/>
        </w:rPr>
        <w:t>ვალდებულება</w:t>
      </w:r>
    </w:p>
    <w:p w14:paraId="1933A3EC" w14:textId="01CE2647" w:rsidR="00D207A1" w:rsidRPr="00765B67" w:rsidRDefault="0041484E" w:rsidP="00D207A1">
      <w:pPr>
        <w:pStyle w:val="NormalWeb"/>
        <w:shd w:val="clear" w:color="auto" w:fill="FFFFFF"/>
        <w:spacing w:before="0" w:beforeAutospacing="0" w:after="120" w:afterAutospacing="0" w:line="340" w:lineRule="atLeast"/>
        <w:jc w:val="both"/>
        <w:rPr>
          <w:rFonts w:asciiTheme="minorHAnsi" w:hAnsiTheme="minorHAnsi" w:cs="Sylfaen"/>
          <w:sz w:val="22"/>
          <w:szCs w:val="22"/>
          <w:lang w:val="ka-GE"/>
        </w:rPr>
      </w:pPr>
      <w:r w:rsidRPr="00C12EAD">
        <w:rPr>
          <w:rFonts w:ascii="Sylfaen" w:hAnsi="Sylfaen" w:cs="Helvetica"/>
          <w:sz w:val="22"/>
          <w:szCs w:val="22"/>
          <w:lang w:val="ka-GE"/>
        </w:rPr>
        <w:t>აღნიშნული გადაწყვეტილებისა და მასში კომისიის 2020 წლის 24 სექტემბრის  N გ-20-19/775 გადაწყვეტილებით შესული ცვლილებების შედეგად</w:t>
      </w:r>
      <w:r w:rsidRPr="00965DCA">
        <w:rPr>
          <w:rFonts w:ascii="Sylfaen" w:hAnsi="Sylfaen" w:cs="Helvetica"/>
          <w:sz w:val="22"/>
          <w:szCs w:val="22"/>
          <w:lang w:val="ka-GE"/>
        </w:rPr>
        <w:t xml:space="preserve"> </w:t>
      </w:r>
      <w:r w:rsidR="00D207A1">
        <w:rPr>
          <w:rFonts w:ascii="Sylfaen" w:hAnsi="Sylfaen" w:cs="Helvetica"/>
          <w:sz w:val="22"/>
          <w:szCs w:val="22"/>
          <w:lang w:val="ka-GE"/>
        </w:rPr>
        <w:t xml:space="preserve">კომისიის </w:t>
      </w:r>
      <w:r w:rsidRPr="00C12EAD">
        <w:rPr>
          <w:rFonts w:ascii="Sylfaen" w:hAnsi="Sylfaen" w:cs="Sylfaen"/>
          <w:sz w:val="22"/>
          <w:szCs w:val="22"/>
          <w:shd w:val="clear" w:color="auto" w:fill="FFFFFF"/>
          <w:lang w:val="ka-GE"/>
        </w:rPr>
        <w:t>გ</w:t>
      </w:r>
      <w:r w:rsidRPr="00C12EAD">
        <w:rPr>
          <w:rFonts w:ascii="Sylfaen" w:hAnsi="Sylfaen" w:cs="Helvetica"/>
          <w:sz w:val="22"/>
          <w:szCs w:val="22"/>
          <w:shd w:val="clear" w:color="auto" w:fill="FFFFFF"/>
          <w:lang w:val="ka-GE"/>
        </w:rPr>
        <w:t>-20-</w:t>
      </w:r>
      <w:r w:rsidRPr="00C12EAD">
        <w:rPr>
          <w:rFonts w:ascii="Sylfaen" w:hAnsi="Sylfaen"/>
          <w:sz w:val="22"/>
          <w:szCs w:val="22"/>
          <w:lang w:val="ka-GE"/>
        </w:rPr>
        <w:t>9/156</w:t>
      </w:r>
      <w:r w:rsidRPr="00C12EAD">
        <w:rPr>
          <w:rFonts w:ascii="Sylfaen" w:hAnsi="Sylfaen" w:cs="Helvetica"/>
          <w:sz w:val="22"/>
          <w:szCs w:val="22"/>
          <w:shd w:val="clear" w:color="auto" w:fill="FFFFFF"/>
          <w:lang w:val="ka-GE"/>
        </w:rPr>
        <w:t> </w:t>
      </w:r>
      <w:r w:rsidR="00D207A1" w:rsidRPr="00C12EAD">
        <w:rPr>
          <w:rFonts w:ascii="Sylfaen" w:hAnsi="Sylfaen" w:cs="Helvetica"/>
          <w:sz w:val="22"/>
          <w:szCs w:val="22"/>
          <w:lang w:val="ka-GE"/>
        </w:rPr>
        <w:t>გადაწყვეტილები</w:t>
      </w:r>
      <w:r w:rsidR="00D207A1">
        <w:rPr>
          <w:rFonts w:ascii="Sylfaen" w:hAnsi="Sylfaen" w:cs="Helvetica"/>
          <w:sz w:val="22"/>
          <w:szCs w:val="22"/>
          <w:lang w:val="ka-GE"/>
        </w:rPr>
        <w:t>თ</w:t>
      </w:r>
      <w:r w:rsidR="00D207A1" w:rsidRPr="00C12EAD">
        <w:rPr>
          <w:rFonts w:ascii="Sylfaen" w:hAnsi="Sylfaen" w:cs="Helvetica"/>
          <w:sz w:val="22"/>
          <w:szCs w:val="22"/>
          <w:lang w:val="ka-GE"/>
        </w:rPr>
        <w:t xml:space="preserve">  </w:t>
      </w:r>
      <w:r w:rsidRPr="00965DCA">
        <w:rPr>
          <w:rFonts w:ascii="Sylfaen" w:hAnsi="Sylfaen" w:cs="Sylfaen"/>
          <w:sz w:val="22"/>
          <w:szCs w:val="22"/>
          <w:lang w:val="ka-GE"/>
        </w:rPr>
        <w:t xml:space="preserve">მობილური ქსელით მომსახურების (ხმოვანი, ინტერნეტი, მოკლე ტექსტური შეტყობინებები „SMS“) საბითუმო ბაზრის შესაბამის სეგმენტზე განსაზღვრულ, </w:t>
      </w:r>
      <w:r w:rsidRPr="00A83FB2">
        <w:rPr>
          <w:rFonts w:ascii="Sylfaen" w:hAnsi="Sylfaen" w:cs="Sylfaen"/>
          <w:sz w:val="22"/>
          <w:szCs w:val="22"/>
          <w:lang w:val="ka-GE"/>
        </w:rPr>
        <w:lastRenderedPageBreak/>
        <w:t xml:space="preserve">მნიშვნელოვანი საბაზრო ძალაუფლების მქონე ავტორიზებულ პირებს </w:t>
      </w:r>
      <w:r w:rsidR="00310F12" w:rsidRPr="00310F12">
        <w:rPr>
          <w:rFonts w:ascii="Sylfaen" w:hAnsi="Sylfaen" w:cs="Sylfaen"/>
          <w:sz w:val="22"/>
          <w:szCs w:val="22"/>
          <w:lang w:val="ka-GE"/>
        </w:rPr>
        <w:t>მობილური ვირტუალური ქსელის ოპერატორის (MVNO) საკუთარი ქსელის შესაბამის ელემენტებთან დაშვების შეთავაზების წინადადება</w:t>
      </w:r>
      <w:r w:rsidR="00310F12" w:rsidRPr="00A84411">
        <w:rPr>
          <w:rFonts w:ascii="Sylfaen" w:hAnsi="Sylfaen" w:cs="Sylfaen"/>
          <w:sz w:val="22"/>
          <w:szCs w:val="22"/>
          <w:lang w:val="ka-GE"/>
        </w:rPr>
        <w:t xml:space="preserve"> (</w:t>
      </w:r>
      <w:r w:rsidRPr="00C12EAD">
        <w:rPr>
          <w:rFonts w:ascii="Sylfaen" w:hAnsi="Sylfaen" w:cs="Sylfaen"/>
          <w:sz w:val="22"/>
          <w:szCs w:val="22"/>
          <w:lang w:val="ka-GE"/>
        </w:rPr>
        <w:t>მოწვევის</w:t>
      </w:r>
      <w:r w:rsidRPr="00C12EAD">
        <w:rPr>
          <w:rFonts w:ascii="Sylfaen" w:hAnsi="Sylfaen" w:cs="Helvetica"/>
          <w:sz w:val="22"/>
          <w:szCs w:val="22"/>
          <w:lang w:val="ka-GE"/>
        </w:rPr>
        <w:t xml:space="preserve"> </w:t>
      </w:r>
      <w:r w:rsidRPr="00C12EAD">
        <w:rPr>
          <w:rFonts w:ascii="Sylfaen" w:hAnsi="Sylfaen" w:cs="Sylfaen"/>
          <w:sz w:val="22"/>
          <w:szCs w:val="22"/>
          <w:lang w:val="ka-GE"/>
        </w:rPr>
        <w:t>ოფერტ</w:t>
      </w:r>
      <w:r w:rsidRPr="00A83FB2">
        <w:rPr>
          <w:rFonts w:ascii="Sylfaen" w:hAnsi="Sylfaen" w:cs="Sylfaen"/>
          <w:sz w:val="22"/>
          <w:szCs w:val="22"/>
          <w:lang w:val="ka-GE"/>
        </w:rPr>
        <w:t>ა</w:t>
      </w:r>
      <w:r w:rsidR="00310F12" w:rsidRPr="00A84411">
        <w:rPr>
          <w:rFonts w:ascii="Sylfaen" w:hAnsi="Sylfaen" w:cs="Sylfaen"/>
          <w:sz w:val="22"/>
          <w:szCs w:val="22"/>
          <w:lang w:val="ka-GE"/>
        </w:rPr>
        <w:t>)</w:t>
      </w:r>
      <w:r w:rsidRPr="00A83FB2">
        <w:rPr>
          <w:rFonts w:ascii="Sylfaen" w:hAnsi="Sylfaen" w:cs="Sylfaen"/>
          <w:sz w:val="22"/>
          <w:szCs w:val="22"/>
          <w:lang w:val="ka-GE"/>
        </w:rPr>
        <w:t xml:space="preserve"> </w:t>
      </w:r>
      <w:r w:rsidRPr="00A83FB2">
        <w:rPr>
          <w:rFonts w:ascii="Sylfaen" w:hAnsi="Sylfaen" w:cs="Helvetica"/>
          <w:sz w:val="22"/>
          <w:szCs w:val="22"/>
          <w:lang w:val="ka-GE"/>
        </w:rPr>
        <w:t>უნდა გამოექვეყნებინათ არაუგვიანეს 2020 წლის 27 ნოემბრისა</w:t>
      </w:r>
      <w:r w:rsidR="00DF4D75">
        <w:rPr>
          <w:rFonts w:ascii="Sylfaen" w:hAnsi="Sylfaen" w:cs="Helvetica"/>
          <w:sz w:val="22"/>
          <w:szCs w:val="22"/>
          <w:lang w:val="ka-GE"/>
        </w:rPr>
        <w:t xml:space="preserve">, ხოლო მოგვიანებით, </w:t>
      </w:r>
      <w:r w:rsidR="000A58CA" w:rsidRPr="006D200F">
        <w:rPr>
          <w:rFonts w:ascii="Sylfaen" w:hAnsi="Sylfaen" w:cs="Sylfaen"/>
          <w:sz w:val="22"/>
          <w:szCs w:val="22"/>
          <w:lang w:val="ka-GE"/>
        </w:rPr>
        <w:t>კომუნიკაციების კომისი</w:t>
      </w:r>
      <w:r w:rsidR="000A58CA">
        <w:rPr>
          <w:rFonts w:ascii="Sylfaen" w:hAnsi="Sylfaen" w:cs="Sylfaen"/>
          <w:sz w:val="22"/>
          <w:szCs w:val="22"/>
          <w:lang w:val="ka-GE"/>
        </w:rPr>
        <w:t xml:space="preserve">ის </w:t>
      </w:r>
      <w:r w:rsidR="00D207A1" w:rsidRPr="006D200F">
        <w:rPr>
          <w:rFonts w:ascii="Sylfaen" w:hAnsi="Sylfaen" w:cs="Sylfaen"/>
          <w:sz w:val="22"/>
          <w:szCs w:val="22"/>
          <w:lang w:val="ka-GE"/>
        </w:rPr>
        <w:t>2021 წლის 18 ნოემბერ</w:t>
      </w:r>
      <w:r w:rsidR="000A58CA">
        <w:rPr>
          <w:rFonts w:ascii="Sylfaen" w:hAnsi="Sylfaen" w:cs="Sylfaen"/>
          <w:sz w:val="22"/>
          <w:szCs w:val="22"/>
          <w:lang w:val="ka-GE"/>
        </w:rPr>
        <w:t>ი</w:t>
      </w:r>
      <w:r w:rsidR="00D207A1" w:rsidRPr="006D200F">
        <w:rPr>
          <w:rFonts w:ascii="Sylfaen" w:hAnsi="Sylfaen" w:cs="Sylfaen"/>
          <w:sz w:val="22"/>
          <w:szCs w:val="22"/>
          <w:lang w:val="ka-GE"/>
        </w:rPr>
        <w:t xml:space="preserve">ს  </w:t>
      </w:r>
      <w:r w:rsidR="00D207A1" w:rsidRPr="00C12EAD">
        <w:rPr>
          <w:sz w:val="22"/>
          <w:szCs w:val="22"/>
          <w:lang w:val="ka-GE"/>
        </w:rPr>
        <w:t xml:space="preserve">N </w:t>
      </w:r>
      <w:r w:rsidR="00D207A1" w:rsidRPr="00C12EAD">
        <w:rPr>
          <w:rFonts w:ascii="Sylfaen" w:hAnsi="Sylfaen" w:cs="Sylfaen"/>
          <w:sz w:val="22"/>
          <w:szCs w:val="22"/>
          <w:lang w:val="ka-GE"/>
        </w:rPr>
        <w:t>გ</w:t>
      </w:r>
      <w:r w:rsidR="00D207A1" w:rsidRPr="00C12EAD">
        <w:rPr>
          <w:sz w:val="22"/>
          <w:szCs w:val="22"/>
          <w:lang w:val="ka-GE"/>
        </w:rPr>
        <w:t>-21-19/622</w:t>
      </w:r>
      <w:r w:rsidR="00D207A1" w:rsidRPr="006D200F">
        <w:rPr>
          <w:rFonts w:asciiTheme="minorHAnsi" w:hAnsiTheme="minorHAnsi"/>
          <w:sz w:val="22"/>
          <w:szCs w:val="22"/>
          <w:lang w:val="ka-GE"/>
        </w:rPr>
        <w:t xml:space="preserve"> </w:t>
      </w:r>
      <w:r w:rsidR="00D207A1" w:rsidRPr="006D200F">
        <w:rPr>
          <w:rFonts w:ascii="Sylfaen" w:hAnsi="Sylfaen" w:cs="Sylfaen"/>
          <w:sz w:val="22"/>
          <w:szCs w:val="22"/>
          <w:lang w:val="ka-GE"/>
        </w:rPr>
        <w:t>გადაწყვეტი</w:t>
      </w:r>
      <w:r w:rsidR="005B33EE">
        <w:rPr>
          <w:rFonts w:ascii="Sylfaen" w:hAnsi="Sylfaen" w:cs="Sylfaen"/>
          <w:sz w:val="22"/>
          <w:szCs w:val="22"/>
          <w:lang w:val="ka-GE"/>
        </w:rPr>
        <w:t>ლე</w:t>
      </w:r>
      <w:r w:rsidR="00D207A1" w:rsidRPr="006D200F">
        <w:rPr>
          <w:rFonts w:ascii="Sylfaen" w:hAnsi="Sylfaen" w:cs="Sylfaen"/>
          <w:sz w:val="22"/>
          <w:szCs w:val="22"/>
          <w:lang w:val="ka-GE"/>
        </w:rPr>
        <w:t>ბ</w:t>
      </w:r>
      <w:r w:rsidR="000A58CA">
        <w:rPr>
          <w:rFonts w:ascii="Sylfaen" w:hAnsi="Sylfaen" w:cs="Sylfaen"/>
          <w:sz w:val="22"/>
          <w:szCs w:val="22"/>
          <w:lang w:val="ka-GE"/>
        </w:rPr>
        <w:t>ით</w:t>
      </w:r>
      <w:r w:rsidR="00DF4D75">
        <w:rPr>
          <w:rFonts w:ascii="Sylfaen" w:hAnsi="Sylfaen" w:cs="Sylfaen"/>
          <w:sz w:val="22"/>
          <w:szCs w:val="22"/>
          <w:lang w:val="ka-GE"/>
        </w:rPr>
        <w:t xml:space="preserve"> აღნიშნული თარიღი შეიცვალა</w:t>
      </w:r>
      <w:r w:rsidR="00D207A1" w:rsidRPr="00C12EAD">
        <w:rPr>
          <w:sz w:val="22"/>
          <w:szCs w:val="22"/>
          <w:lang w:val="ka-GE"/>
        </w:rPr>
        <w:t xml:space="preserve"> 2022 </w:t>
      </w:r>
      <w:r w:rsidR="00D207A1" w:rsidRPr="00C12EAD">
        <w:rPr>
          <w:rFonts w:ascii="Sylfaen" w:hAnsi="Sylfaen" w:cs="Sylfaen"/>
          <w:sz w:val="22"/>
          <w:szCs w:val="22"/>
          <w:lang w:val="ka-GE"/>
        </w:rPr>
        <w:t>წლის</w:t>
      </w:r>
      <w:r w:rsidR="00D207A1" w:rsidRPr="00C12EAD">
        <w:rPr>
          <w:sz w:val="22"/>
          <w:szCs w:val="22"/>
          <w:lang w:val="ka-GE"/>
        </w:rPr>
        <w:t xml:space="preserve"> 31 </w:t>
      </w:r>
      <w:r w:rsidR="00D207A1" w:rsidRPr="00C12EAD">
        <w:rPr>
          <w:rFonts w:ascii="Sylfaen" w:hAnsi="Sylfaen" w:cs="Sylfaen"/>
          <w:sz w:val="22"/>
          <w:szCs w:val="22"/>
          <w:lang w:val="ka-GE"/>
        </w:rPr>
        <w:t>დეკემბრი</w:t>
      </w:r>
      <w:r w:rsidR="00DF4D75">
        <w:rPr>
          <w:rFonts w:asciiTheme="minorHAnsi" w:hAnsiTheme="minorHAnsi"/>
          <w:sz w:val="22"/>
          <w:szCs w:val="22"/>
          <w:lang w:val="ka-GE"/>
        </w:rPr>
        <w:t>თ.</w:t>
      </w:r>
    </w:p>
    <w:p w14:paraId="11BC8E6A" w14:textId="20A08682" w:rsidR="0029341A" w:rsidRPr="00A84411" w:rsidRDefault="006D4A6A" w:rsidP="00B04485">
      <w:pPr>
        <w:pStyle w:val="NormalWeb"/>
        <w:shd w:val="clear" w:color="auto" w:fill="FFFFFF"/>
        <w:spacing w:before="0" w:beforeAutospacing="0" w:after="120" w:afterAutospacing="0" w:line="340" w:lineRule="atLeast"/>
        <w:jc w:val="both"/>
        <w:rPr>
          <w:rFonts w:ascii="Sylfaen" w:hAnsi="Sylfaen" w:cs="Sylfaen"/>
          <w:sz w:val="22"/>
          <w:szCs w:val="22"/>
          <w:shd w:val="clear" w:color="auto" w:fill="FFFFFF"/>
          <w:lang w:val="ka-GE"/>
        </w:rPr>
      </w:pPr>
      <w:r w:rsidRPr="00A84411">
        <w:rPr>
          <w:rFonts w:ascii="Sylfaen" w:hAnsi="Sylfaen" w:cs="Sylfaen"/>
          <w:sz w:val="22"/>
          <w:szCs w:val="22"/>
          <w:shd w:val="clear" w:color="auto" w:fill="FFFFFF"/>
          <w:lang w:val="ka-GE"/>
        </w:rPr>
        <w:t>2022 წლის 29 დეკემბრის N გ-22-19/596 გადაწყვეტილებ</w:t>
      </w:r>
      <w:r>
        <w:rPr>
          <w:rFonts w:ascii="Sylfaen" w:hAnsi="Sylfaen" w:cs="Sylfaen"/>
          <w:sz w:val="22"/>
          <w:szCs w:val="22"/>
          <w:shd w:val="clear" w:color="auto" w:fill="FFFFFF"/>
          <w:lang w:val="ka-GE"/>
        </w:rPr>
        <w:t>ით</w:t>
      </w:r>
      <w:r w:rsidR="000A58CA">
        <w:rPr>
          <w:rFonts w:ascii="Sylfaen" w:hAnsi="Sylfaen" w:cs="Sylfaen"/>
          <w:sz w:val="22"/>
          <w:szCs w:val="22"/>
          <w:shd w:val="clear" w:color="auto" w:fill="FFFFFF"/>
          <w:lang w:val="ka-GE"/>
        </w:rPr>
        <w:t xml:space="preserve"> კი</w:t>
      </w:r>
      <w:r>
        <w:rPr>
          <w:rFonts w:ascii="Sylfaen" w:hAnsi="Sylfaen" w:cs="Sylfaen"/>
          <w:sz w:val="22"/>
          <w:szCs w:val="22"/>
          <w:shd w:val="clear" w:color="auto" w:fill="FFFFFF"/>
          <w:lang w:val="ka-GE"/>
        </w:rPr>
        <w:t xml:space="preserve"> </w:t>
      </w:r>
      <w:r w:rsidR="000A58CA" w:rsidRPr="00A84411">
        <w:rPr>
          <w:rFonts w:ascii="Sylfaen" w:hAnsi="Sylfaen" w:cs="Sylfaen"/>
          <w:sz w:val="22"/>
          <w:szCs w:val="22"/>
          <w:lang w:val="ka-GE"/>
        </w:rPr>
        <w:t>მნიშვნელოვანი</w:t>
      </w:r>
      <w:r w:rsidR="000A58CA" w:rsidRPr="00A84411">
        <w:rPr>
          <w:sz w:val="22"/>
          <w:szCs w:val="22"/>
          <w:lang w:val="ka-GE"/>
        </w:rPr>
        <w:t xml:space="preserve"> </w:t>
      </w:r>
      <w:r w:rsidR="000A58CA" w:rsidRPr="00A84411">
        <w:rPr>
          <w:rFonts w:ascii="Sylfaen" w:hAnsi="Sylfaen" w:cs="Sylfaen"/>
          <w:sz w:val="22"/>
          <w:szCs w:val="22"/>
          <w:lang w:val="ka-GE"/>
        </w:rPr>
        <w:t>საბაზრო</w:t>
      </w:r>
      <w:r w:rsidR="000A58CA" w:rsidRPr="00A84411">
        <w:rPr>
          <w:sz w:val="22"/>
          <w:szCs w:val="22"/>
          <w:lang w:val="ka-GE"/>
        </w:rPr>
        <w:t xml:space="preserve"> </w:t>
      </w:r>
      <w:r w:rsidR="000A58CA" w:rsidRPr="00A84411">
        <w:rPr>
          <w:rFonts w:ascii="Sylfaen" w:hAnsi="Sylfaen" w:cs="Sylfaen"/>
          <w:sz w:val="22"/>
          <w:szCs w:val="22"/>
          <w:lang w:val="ka-GE"/>
        </w:rPr>
        <w:t>ძალაუფლების</w:t>
      </w:r>
      <w:r w:rsidR="000A58CA" w:rsidRPr="00A84411">
        <w:rPr>
          <w:sz w:val="22"/>
          <w:szCs w:val="22"/>
          <w:lang w:val="ka-GE"/>
        </w:rPr>
        <w:t xml:space="preserve"> </w:t>
      </w:r>
      <w:r w:rsidR="000A58CA" w:rsidRPr="00A84411">
        <w:rPr>
          <w:rFonts w:ascii="Sylfaen" w:hAnsi="Sylfaen" w:cs="Sylfaen"/>
          <w:sz w:val="22"/>
          <w:szCs w:val="22"/>
          <w:lang w:val="ka-GE"/>
        </w:rPr>
        <w:t>მქონე</w:t>
      </w:r>
      <w:r w:rsidR="000A58CA" w:rsidRPr="00A84411">
        <w:rPr>
          <w:sz w:val="22"/>
          <w:szCs w:val="22"/>
          <w:lang w:val="ka-GE"/>
        </w:rPr>
        <w:t xml:space="preserve"> </w:t>
      </w:r>
      <w:r w:rsidR="000A58CA" w:rsidRPr="00A84411">
        <w:rPr>
          <w:rFonts w:ascii="Sylfaen" w:hAnsi="Sylfaen" w:cs="Sylfaen"/>
          <w:sz w:val="22"/>
          <w:szCs w:val="22"/>
          <w:lang w:val="ka-GE"/>
        </w:rPr>
        <w:t>ავტორიზებულ</w:t>
      </w:r>
      <w:r w:rsidR="000A58CA" w:rsidRPr="00A84411">
        <w:rPr>
          <w:sz w:val="22"/>
          <w:szCs w:val="22"/>
          <w:lang w:val="ka-GE"/>
        </w:rPr>
        <w:t xml:space="preserve"> </w:t>
      </w:r>
      <w:r w:rsidR="000A58CA" w:rsidRPr="00A84411">
        <w:rPr>
          <w:rFonts w:ascii="Sylfaen" w:hAnsi="Sylfaen" w:cs="Sylfaen"/>
          <w:sz w:val="22"/>
          <w:szCs w:val="22"/>
          <w:lang w:val="ka-GE"/>
        </w:rPr>
        <w:t>პირ</w:t>
      </w:r>
      <w:r w:rsidR="000A58CA">
        <w:rPr>
          <w:rFonts w:ascii="Sylfaen" w:hAnsi="Sylfaen" w:cs="Sylfaen"/>
          <w:sz w:val="22"/>
          <w:szCs w:val="22"/>
          <w:lang w:val="ka-GE"/>
        </w:rPr>
        <w:t>ებს</w:t>
      </w:r>
      <w:r w:rsidR="000A58CA" w:rsidRPr="00A84411">
        <w:rPr>
          <w:sz w:val="22"/>
          <w:szCs w:val="22"/>
          <w:lang w:val="ka-GE"/>
        </w:rPr>
        <w:t xml:space="preserve"> </w:t>
      </w:r>
      <w:r w:rsidR="000A58CA" w:rsidRPr="00A84411">
        <w:rPr>
          <w:rFonts w:ascii="Sylfaen" w:hAnsi="Sylfaen" w:cs="Sylfaen"/>
          <w:sz w:val="22"/>
          <w:szCs w:val="22"/>
          <w:lang w:val="ka-GE"/>
        </w:rPr>
        <w:t>მობილური</w:t>
      </w:r>
      <w:r w:rsidR="000A58CA" w:rsidRPr="00A84411">
        <w:rPr>
          <w:sz w:val="22"/>
          <w:szCs w:val="22"/>
          <w:lang w:val="ka-GE"/>
        </w:rPr>
        <w:t xml:space="preserve"> </w:t>
      </w:r>
      <w:r w:rsidR="000A58CA" w:rsidRPr="00A84411">
        <w:rPr>
          <w:rFonts w:ascii="Sylfaen" w:hAnsi="Sylfaen" w:cs="Sylfaen"/>
          <w:sz w:val="22"/>
          <w:szCs w:val="22"/>
          <w:lang w:val="ka-GE"/>
        </w:rPr>
        <w:t>ვირტუალური</w:t>
      </w:r>
      <w:r w:rsidR="000A58CA" w:rsidRPr="00A84411">
        <w:rPr>
          <w:sz w:val="22"/>
          <w:szCs w:val="22"/>
          <w:lang w:val="ka-GE"/>
        </w:rPr>
        <w:t xml:space="preserve"> </w:t>
      </w:r>
      <w:r w:rsidR="000A58CA" w:rsidRPr="00A84411">
        <w:rPr>
          <w:rFonts w:ascii="Sylfaen" w:hAnsi="Sylfaen" w:cs="Sylfaen"/>
          <w:sz w:val="22"/>
          <w:szCs w:val="22"/>
          <w:lang w:val="ka-GE"/>
        </w:rPr>
        <w:t>ქსელის ოპერატორის (MVNO) საკუთარი ქსელის შესაბამის ელემენტებთან დაშვების შეთავაზების წინადადების (მოწვევის ოფერტა) გამოქვეყნების ვადად განესაზღვრათ 2023 წლის 30 ივნისი.</w:t>
      </w:r>
      <w:r w:rsidR="00A84411">
        <w:rPr>
          <w:rFonts w:ascii="Sylfaen" w:hAnsi="Sylfaen" w:cs="Sylfaen"/>
          <w:sz w:val="22"/>
          <w:szCs w:val="22"/>
          <w:shd w:val="clear" w:color="auto" w:fill="FFFFFF"/>
        </w:rPr>
        <w:t xml:space="preserve"> </w:t>
      </w:r>
      <w:r w:rsidRPr="00050507">
        <w:rPr>
          <w:rFonts w:ascii="Sylfaen" w:hAnsi="Sylfaen" w:cs="Sylfaen"/>
          <w:sz w:val="22"/>
          <w:szCs w:val="22"/>
        </w:rPr>
        <w:t xml:space="preserve">კომუნიკაციების კომისიამ </w:t>
      </w:r>
      <w:r w:rsidR="000A58CA">
        <w:rPr>
          <w:rFonts w:ascii="Sylfaen" w:hAnsi="Sylfaen" w:cs="Sylfaen"/>
          <w:sz w:val="22"/>
          <w:szCs w:val="22"/>
          <w:lang w:val="ka-GE"/>
        </w:rPr>
        <w:t>ამ გადაწყვეტილების მიღებისას იხელმძღვანელა</w:t>
      </w:r>
      <w:r w:rsidRPr="00050507">
        <w:rPr>
          <w:rFonts w:ascii="Sylfaen" w:hAnsi="Sylfaen" w:cs="Sylfaen"/>
          <w:sz w:val="22"/>
          <w:szCs w:val="22"/>
        </w:rPr>
        <w:t xml:space="preserve"> ორი </w:t>
      </w:r>
      <w:r w:rsidR="00A84411">
        <w:rPr>
          <w:rFonts w:ascii="Sylfaen" w:hAnsi="Sylfaen" w:cs="Sylfaen"/>
          <w:sz w:val="22"/>
          <w:szCs w:val="22"/>
          <w:lang w:val="ka-GE"/>
        </w:rPr>
        <w:t>არსებითი წინაპირობით:</w:t>
      </w:r>
      <w:r w:rsidR="00A84411" w:rsidRPr="00050507">
        <w:rPr>
          <w:rFonts w:ascii="Sylfaen" w:hAnsi="Sylfaen" w:cs="Sylfaen"/>
          <w:sz w:val="22"/>
          <w:szCs w:val="22"/>
        </w:rPr>
        <w:t xml:space="preserve"> </w:t>
      </w:r>
      <w:r w:rsidR="000A58CA">
        <w:rPr>
          <w:rFonts w:ascii="Sylfaen" w:hAnsi="Sylfaen" w:cs="Sylfaen"/>
          <w:sz w:val="22"/>
          <w:szCs w:val="22"/>
          <w:lang w:val="ka-GE"/>
        </w:rPr>
        <w:t xml:space="preserve">ერთის მხრივ, </w:t>
      </w:r>
      <w:r w:rsidRPr="00050507">
        <w:rPr>
          <w:rFonts w:ascii="Sylfaen" w:hAnsi="Sylfaen" w:cs="Sylfaen"/>
          <w:sz w:val="22"/>
          <w:szCs w:val="22"/>
        </w:rPr>
        <w:t>მიმდინარეობდა საქართველოს სატელეკომუნიკაციო ბაზრის სრულფასოვანი კვლევისა და ანალიზის (შემდეგში „კომპლექსური კვლევა“) პროექტი, რომლის ფარგლებშიც ხდებოდა ფიქსირებული ფართოზოლოვანი და მობილური მომსახურებების საცალო და საბითუმო სეგმენტებზე კომპლექსური ანალიზის ჩატარება ევროკომისიის მიერ დადგენილი ბაზრის ანალიზის მეთოდოლოგიური წესების შესაბამისად</w:t>
      </w:r>
      <w:r w:rsidR="00050507">
        <w:rPr>
          <w:rFonts w:ascii="Sylfaen" w:hAnsi="Sylfaen" w:cs="Sylfaen"/>
          <w:sz w:val="22"/>
          <w:szCs w:val="22"/>
          <w:lang w:val="ka-GE"/>
        </w:rPr>
        <w:t xml:space="preserve"> და</w:t>
      </w:r>
      <w:r w:rsidRPr="00050507">
        <w:rPr>
          <w:rFonts w:ascii="Sylfaen" w:hAnsi="Sylfaen" w:cs="Sylfaen"/>
          <w:sz w:val="22"/>
          <w:szCs w:val="22"/>
        </w:rPr>
        <w:t xml:space="preserve"> რომლის ფარგლებშიც უნდა განსაზღვრულიყო მობილური ქსელის საბითუმო სეგმენტზე დაშვების ბაზრის რეგულირების საჭიროება</w:t>
      </w:r>
      <w:r w:rsidR="00A84411">
        <w:rPr>
          <w:rFonts w:ascii="Sylfaen" w:hAnsi="Sylfaen" w:cs="Sylfaen"/>
          <w:sz w:val="22"/>
          <w:szCs w:val="22"/>
          <w:lang w:val="ka-GE"/>
        </w:rPr>
        <w:t>;</w:t>
      </w:r>
      <w:r w:rsidR="00DF4D75">
        <w:rPr>
          <w:rFonts w:ascii="Sylfaen" w:hAnsi="Sylfaen" w:cs="Sylfaen"/>
          <w:sz w:val="22"/>
          <w:szCs w:val="22"/>
          <w:lang w:val="ka-GE"/>
        </w:rPr>
        <w:t xml:space="preserve"> </w:t>
      </w:r>
      <w:r w:rsidR="00A84411">
        <w:rPr>
          <w:rFonts w:ascii="Sylfaen" w:hAnsi="Sylfaen" w:cs="Sylfaen"/>
          <w:sz w:val="22"/>
          <w:szCs w:val="22"/>
          <w:lang w:val="ka-GE"/>
        </w:rPr>
        <w:t xml:space="preserve"> </w:t>
      </w:r>
      <w:r w:rsidRPr="00050507">
        <w:rPr>
          <w:rFonts w:ascii="Sylfaen" w:hAnsi="Sylfaen" w:cs="Sylfaen"/>
          <w:sz w:val="22"/>
          <w:szCs w:val="22"/>
        </w:rPr>
        <w:t>მეორე</w:t>
      </w:r>
      <w:r w:rsidR="000A58CA">
        <w:rPr>
          <w:rFonts w:ascii="Sylfaen" w:hAnsi="Sylfaen" w:cs="Sylfaen"/>
          <w:sz w:val="22"/>
          <w:szCs w:val="22"/>
          <w:lang w:val="ka-GE"/>
        </w:rPr>
        <w:t>ს მხრივ</w:t>
      </w:r>
      <w:r w:rsidRPr="00050507">
        <w:rPr>
          <w:rFonts w:ascii="Sylfaen" w:hAnsi="Sylfaen" w:cs="Sylfaen"/>
          <w:sz w:val="22"/>
          <w:szCs w:val="22"/>
        </w:rPr>
        <w:t>, მობილურ ქსელზე ვირტუალური დაშვების მსურველ ოპერატორებსა და ქსელის მფლობელ ოპერატორებს შორის მიმდინარე მოლაპარაკებების</w:t>
      </w:r>
      <w:r w:rsidR="00DF4D75">
        <w:rPr>
          <w:rFonts w:ascii="Sylfaen" w:hAnsi="Sylfaen" w:cs="Sylfaen"/>
          <w:sz w:val="22"/>
          <w:szCs w:val="22"/>
          <w:lang w:val="ka-GE"/>
        </w:rPr>
        <w:t xml:space="preserve"> შედეგის</w:t>
      </w:r>
      <w:r w:rsidRPr="00050507">
        <w:rPr>
          <w:rFonts w:ascii="Sylfaen" w:hAnsi="Sylfaen" w:cs="Sylfaen"/>
          <w:sz w:val="22"/>
          <w:szCs w:val="22"/>
        </w:rPr>
        <w:t xml:space="preserve"> შესაფასებლად საჭირო იყო დამატებითი დრო. </w:t>
      </w:r>
      <w:r w:rsidR="000A58CA">
        <w:rPr>
          <w:rFonts w:ascii="Sylfaen" w:hAnsi="Sylfaen" w:cs="Sylfaen"/>
          <w:sz w:val="22"/>
          <w:szCs w:val="22"/>
          <w:lang w:val="ka-GE"/>
        </w:rPr>
        <w:t>ასევე</w:t>
      </w:r>
      <w:r w:rsidR="00050507">
        <w:rPr>
          <w:rFonts w:ascii="Sylfaen" w:hAnsi="Sylfaen" w:cs="Sylfaen"/>
          <w:sz w:val="22"/>
          <w:szCs w:val="22"/>
          <w:lang w:val="ka-GE"/>
        </w:rPr>
        <w:t>,</w:t>
      </w:r>
      <w:r w:rsidR="000A58CA">
        <w:rPr>
          <w:rFonts w:ascii="Sylfaen" w:hAnsi="Sylfaen" w:cs="Sylfaen"/>
          <w:sz w:val="22"/>
          <w:szCs w:val="22"/>
          <w:lang w:val="ka-GE"/>
        </w:rPr>
        <w:t xml:space="preserve"> გაითვალისწინა</w:t>
      </w:r>
      <w:r w:rsidR="00FC10A0">
        <w:rPr>
          <w:rFonts w:ascii="Sylfaen" w:hAnsi="Sylfaen" w:cs="Sylfaen"/>
          <w:sz w:val="22"/>
          <w:szCs w:val="22"/>
          <w:lang w:val="ka-GE"/>
        </w:rPr>
        <w:t xml:space="preserve"> </w:t>
      </w:r>
      <w:r w:rsidR="000A58CA">
        <w:rPr>
          <w:rFonts w:ascii="Sylfaen" w:hAnsi="Sylfaen" w:cs="Sylfaen"/>
          <w:sz w:val="22"/>
          <w:szCs w:val="22"/>
          <w:lang w:val="ka-GE"/>
        </w:rPr>
        <w:t>მობილური მომსახურებების ბაზრის მაჩვენებლების დინამიკა</w:t>
      </w:r>
      <w:r w:rsidR="00FC10A0">
        <w:rPr>
          <w:rFonts w:ascii="Sylfaen" w:hAnsi="Sylfaen" w:cs="Sylfaen"/>
          <w:sz w:val="22"/>
          <w:szCs w:val="22"/>
          <w:lang w:val="ka-GE"/>
        </w:rPr>
        <w:t>, რომელიც ბოლო წლების განმავლობაში უმნიშვნელოდ იცვლებოდა</w:t>
      </w:r>
      <w:r w:rsidR="000A58CA">
        <w:rPr>
          <w:rFonts w:ascii="Sylfaen" w:hAnsi="Sylfaen" w:cs="Sylfaen"/>
          <w:sz w:val="22"/>
          <w:szCs w:val="22"/>
          <w:lang w:val="ka-GE"/>
        </w:rPr>
        <w:t xml:space="preserve">. </w:t>
      </w:r>
    </w:p>
    <w:p w14:paraId="7861AEB8" w14:textId="16F59679" w:rsidR="008F4345" w:rsidRPr="00DD48AE" w:rsidRDefault="00A84411"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 xml:space="preserve">მობილური მომსახურებების სეგმენტზე </w:t>
      </w:r>
      <w:r w:rsidR="00FC10A0">
        <w:rPr>
          <w:rFonts w:ascii="Sylfaen" w:hAnsi="Sylfaen" w:cs="Sylfaen"/>
          <w:sz w:val="22"/>
          <w:szCs w:val="22"/>
          <w:lang w:val="ka-GE"/>
        </w:rPr>
        <w:t xml:space="preserve">საბაზრო მაჩვენებლების ტენდენცია </w:t>
      </w:r>
      <w:r w:rsidR="00DF4D75">
        <w:rPr>
          <w:rFonts w:ascii="Sylfaen" w:hAnsi="Sylfaen" w:cs="Sylfaen"/>
          <w:sz w:val="22"/>
          <w:szCs w:val="22"/>
          <w:lang w:val="ka-GE"/>
        </w:rPr>
        <w:t xml:space="preserve">მნიშვნელოვნად </w:t>
      </w:r>
      <w:r w:rsidR="00FC10A0">
        <w:rPr>
          <w:rFonts w:ascii="Sylfaen" w:hAnsi="Sylfaen" w:cs="Sylfaen"/>
          <w:sz w:val="22"/>
          <w:szCs w:val="22"/>
          <w:lang w:val="ka-GE"/>
        </w:rPr>
        <w:t xml:space="preserve">არც 2023 წლის </w:t>
      </w:r>
      <w:r w:rsidR="00FC10A0">
        <w:rPr>
          <w:rFonts w:ascii="Sylfaen" w:hAnsi="Sylfaen" w:cs="Sylfaen"/>
          <w:sz w:val="22"/>
          <w:szCs w:val="22"/>
        </w:rPr>
        <w:t xml:space="preserve">I </w:t>
      </w:r>
      <w:r w:rsidR="00FC10A0">
        <w:rPr>
          <w:rFonts w:ascii="Sylfaen" w:hAnsi="Sylfaen" w:cs="Sylfaen"/>
          <w:sz w:val="22"/>
          <w:szCs w:val="22"/>
          <w:lang w:val="ka-GE"/>
        </w:rPr>
        <w:t>კვარტლის მდგომარეობით შეცვლილა.</w:t>
      </w:r>
    </w:p>
    <w:p w14:paraId="78519B7F" w14:textId="4AC721B8" w:rsidR="00C56255" w:rsidRPr="00C12EAD" w:rsidRDefault="00710957"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 xml:space="preserve">ამ პერიოდში </w:t>
      </w:r>
      <w:r w:rsidR="00DF4D75">
        <w:rPr>
          <w:rFonts w:ascii="Sylfaen" w:hAnsi="Sylfaen" w:cs="Sylfaen"/>
          <w:sz w:val="22"/>
          <w:szCs w:val="22"/>
          <w:lang w:val="ka-GE"/>
        </w:rPr>
        <w:t xml:space="preserve">მობილური მომსახურებების </w:t>
      </w:r>
      <w:r>
        <w:rPr>
          <w:rFonts w:ascii="Sylfaen" w:hAnsi="Sylfaen" w:cs="Sylfaen"/>
          <w:sz w:val="22"/>
          <w:szCs w:val="22"/>
          <w:lang w:val="ka-GE"/>
        </w:rPr>
        <w:t xml:space="preserve">აბონენტების რაოდენობამ 5.78 მილიონი შეადგინა, საიდანაც </w:t>
      </w:r>
      <w:r w:rsidR="00C56255" w:rsidRPr="00C12EAD">
        <w:rPr>
          <w:rFonts w:ascii="Sylfaen" w:hAnsi="Sylfaen" w:cs="Sylfaen"/>
          <w:sz w:val="22"/>
          <w:szCs w:val="22"/>
          <w:lang w:val="ka-GE"/>
        </w:rPr>
        <w:t>ყველაზე მეტი აბონენტი</w:t>
      </w:r>
      <w:r w:rsidR="00DF4D75">
        <w:rPr>
          <w:rFonts w:ascii="Sylfaen" w:hAnsi="Sylfaen" w:cs="Sylfaen"/>
          <w:sz w:val="22"/>
          <w:szCs w:val="22"/>
          <w:lang w:val="ka-GE"/>
        </w:rPr>
        <w:t xml:space="preserve">, </w:t>
      </w:r>
      <w:r w:rsidR="00C56255" w:rsidRPr="00C12EAD">
        <w:rPr>
          <w:rFonts w:ascii="Sylfaen" w:hAnsi="Sylfaen" w:cs="Sylfaen"/>
          <w:sz w:val="22"/>
          <w:szCs w:val="22"/>
          <w:lang w:val="ka-GE"/>
        </w:rPr>
        <w:t xml:space="preserve"> </w:t>
      </w:r>
      <w:r w:rsidR="00DF4D75" w:rsidRPr="00C12EAD">
        <w:rPr>
          <w:rFonts w:ascii="Sylfaen" w:hAnsi="Sylfaen" w:cs="Sylfaen"/>
          <w:sz w:val="22"/>
          <w:szCs w:val="22"/>
          <w:lang w:val="ka-GE"/>
        </w:rPr>
        <w:t>2,</w:t>
      </w:r>
      <w:r w:rsidR="00196326">
        <w:rPr>
          <w:rFonts w:ascii="Sylfaen" w:hAnsi="Sylfaen" w:cs="Sylfaen"/>
          <w:sz w:val="22"/>
          <w:szCs w:val="22"/>
          <w:lang w:val="ka-GE"/>
        </w:rPr>
        <w:t>4</w:t>
      </w:r>
      <w:r w:rsidR="00196326" w:rsidRPr="00C12EAD">
        <w:rPr>
          <w:rFonts w:ascii="Sylfaen" w:hAnsi="Sylfaen" w:cs="Sylfaen"/>
          <w:sz w:val="22"/>
          <w:szCs w:val="22"/>
          <w:lang w:val="ka-GE"/>
        </w:rPr>
        <w:t xml:space="preserve"> </w:t>
      </w:r>
      <w:r w:rsidR="00DF4D75" w:rsidRPr="00C12EAD">
        <w:rPr>
          <w:rFonts w:ascii="Sylfaen" w:hAnsi="Sylfaen" w:cs="Sylfaen"/>
          <w:sz w:val="22"/>
          <w:szCs w:val="22"/>
          <w:lang w:val="ka-GE"/>
        </w:rPr>
        <w:t>მ</w:t>
      </w:r>
      <w:r w:rsidR="00DF4D75">
        <w:rPr>
          <w:rFonts w:ascii="Sylfaen" w:hAnsi="Sylfaen" w:cs="Sylfaen"/>
          <w:sz w:val="22"/>
          <w:szCs w:val="22"/>
          <w:lang w:val="ka-GE"/>
        </w:rPr>
        <w:t xml:space="preserve">ილიონი, </w:t>
      </w:r>
      <w:r w:rsidR="00C56255" w:rsidRPr="00C12EAD">
        <w:rPr>
          <w:rFonts w:ascii="Sylfaen" w:hAnsi="Sylfaen" w:cs="Sylfaen"/>
          <w:sz w:val="22"/>
          <w:szCs w:val="22"/>
          <w:lang w:val="ka-GE"/>
        </w:rPr>
        <w:t>ჰყავდა შპს „მაგთიკომს“, სს „სილქნეტს“</w:t>
      </w:r>
      <w:r w:rsidR="00DF4D75">
        <w:rPr>
          <w:rFonts w:ascii="Sylfaen" w:hAnsi="Sylfaen" w:cs="Sylfaen"/>
          <w:sz w:val="22"/>
          <w:szCs w:val="22"/>
          <w:lang w:val="ka-GE"/>
        </w:rPr>
        <w:t xml:space="preserve"> </w:t>
      </w:r>
      <w:r w:rsidR="00C56255" w:rsidRPr="00C12EAD">
        <w:rPr>
          <w:rFonts w:ascii="Sylfaen" w:hAnsi="Sylfaen" w:cs="Sylfaen"/>
          <w:sz w:val="22"/>
          <w:szCs w:val="22"/>
          <w:lang w:val="ka-GE"/>
        </w:rPr>
        <w:t>- 1.</w:t>
      </w:r>
      <w:r w:rsidR="00196326" w:rsidRPr="00C12EAD">
        <w:rPr>
          <w:rFonts w:ascii="Sylfaen" w:hAnsi="Sylfaen" w:cs="Sylfaen"/>
          <w:sz w:val="22"/>
          <w:szCs w:val="22"/>
          <w:lang w:val="ka-GE"/>
        </w:rPr>
        <w:t>9</w:t>
      </w:r>
      <w:r w:rsidR="00196326">
        <w:rPr>
          <w:rFonts w:ascii="Sylfaen" w:hAnsi="Sylfaen" w:cs="Sylfaen"/>
          <w:sz w:val="22"/>
          <w:szCs w:val="22"/>
          <w:lang w:val="ka-GE"/>
        </w:rPr>
        <w:t>3</w:t>
      </w:r>
      <w:r w:rsidR="00196326" w:rsidRPr="00C12EAD">
        <w:rPr>
          <w:rFonts w:ascii="Sylfaen" w:hAnsi="Sylfaen" w:cs="Sylfaen"/>
          <w:sz w:val="22"/>
          <w:szCs w:val="22"/>
          <w:lang w:val="ka-GE"/>
        </w:rPr>
        <w:t xml:space="preserve"> </w:t>
      </w:r>
      <w:r w:rsidR="00B23988">
        <w:rPr>
          <w:rFonts w:ascii="Sylfaen" w:hAnsi="Sylfaen" w:cs="Sylfaen"/>
          <w:sz w:val="22"/>
          <w:szCs w:val="22"/>
          <w:lang w:val="ka-GE"/>
        </w:rPr>
        <w:t>მილიონი</w:t>
      </w:r>
      <w:r w:rsidR="00C56255" w:rsidRPr="00C12EAD">
        <w:rPr>
          <w:rFonts w:ascii="Sylfaen" w:hAnsi="Sylfaen" w:cs="Sylfaen"/>
          <w:sz w:val="22"/>
          <w:szCs w:val="22"/>
          <w:lang w:val="ka-GE"/>
        </w:rPr>
        <w:t>, ხოლო შპს „</w:t>
      </w:r>
      <w:r w:rsidR="00DF4D75">
        <w:rPr>
          <w:rFonts w:ascii="Sylfaen" w:hAnsi="Sylfaen" w:cs="Sylfaen"/>
          <w:sz w:val="22"/>
          <w:szCs w:val="22"/>
          <w:lang w:val="ka-GE"/>
        </w:rPr>
        <w:t>სელფი მობაილს</w:t>
      </w:r>
      <w:r w:rsidR="00C56255" w:rsidRPr="00C12EAD">
        <w:rPr>
          <w:rFonts w:ascii="Sylfaen" w:hAnsi="Sylfaen" w:cs="Sylfaen"/>
          <w:sz w:val="22"/>
          <w:szCs w:val="22"/>
          <w:lang w:val="ka-GE"/>
        </w:rPr>
        <w:t>“ - 1.</w:t>
      </w:r>
      <w:r w:rsidR="00196326" w:rsidRPr="00C12EAD">
        <w:rPr>
          <w:rFonts w:ascii="Sylfaen" w:hAnsi="Sylfaen" w:cs="Sylfaen"/>
          <w:sz w:val="22"/>
          <w:szCs w:val="22"/>
          <w:lang w:val="ka-GE"/>
        </w:rPr>
        <w:t>4</w:t>
      </w:r>
      <w:r w:rsidR="00196326">
        <w:rPr>
          <w:rFonts w:ascii="Sylfaen" w:hAnsi="Sylfaen" w:cs="Sylfaen"/>
          <w:sz w:val="22"/>
          <w:szCs w:val="22"/>
          <w:lang w:val="ka-GE"/>
        </w:rPr>
        <w:t>4</w:t>
      </w:r>
      <w:r w:rsidR="00196326" w:rsidRPr="00C12EAD">
        <w:rPr>
          <w:rFonts w:ascii="Sylfaen" w:hAnsi="Sylfaen" w:cs="Sylfaen"/>
          <w:sz w:val="22"/>
          <w:szCs w:val="22"/>
          <w:lang w:val="ka-GE"/>
        </w:rPr>
        <w:t xml:space="preserve"> </w:t>
      </w:r>
      <w:r w:rsidR="00B23988">
        <w:rPr>
          <w:rFonts w:ascii="Sylfaen" w:hAnsi="Sylfaen" w:cs="Sylfaen"/>
          <w:sz w:val="22"/>
          <w:szCs w:val="22"/>
          <w:lang w:val="ka-GE"/>
        </w:rPr>
        <w:t>მილიონი</w:t>
      </w:r>
      <w:r w:rsidR="00B23988" w:rsidRPr="00C12EAD">
        <w:rPr>
          <w:rFonts w:ascii="Sylfaen" w:hAnsi="Sylfaen" w:cs="Sylfaen"/>
          <w:sz w:val="22"/>
          <w:szCs w:val="22"/>
          <w:lang w:val="ka-GE"/>
        </w:rPr>
        <w:t xml:space="preserve"> </w:t>
      </w:r>
      <w:r w:rsidR="00C56255" w:rsidRPr="00C12EAD">
        <w:rPr>
          <w:rFonts w:ascii="Sylfaen" w:hAnsi="Sylfaen" w:cs="Sylfaen"/>
          <w:sz w:val="22"/>
          <w:szCs w:val="22"/>
          <w:lang w:val="ka-GE"/>
        </w:rPr>
        <w:t>აბონენტი.</w:t>
      </w:r>
    </w:p>
    <w:p w14:paraId="02F966CC" w14:textId="5285B61E" w:rsidR="001B73F8" w:rsidRDefault="001B73F8" w:rsidP="00C12EAD">
      <w:pPr>
        <w:pStyle w:val="NormalWeb"/>
        <w:shd w:val="clear" w:color="auto" w:fill="FFFFFF"/>
        <w:spacing w:before="0" w:beforeAutospacing="0" w:after="120" w:afterAutospacing="0" w:line="340" w:lineRule="atLeast"/>
        <w:jc w:val="center"/>
        <w:rPr>
          <w:rFonts w:ascii="Sylfaen" w:hAnsi="Sylfaen" w:cs="Sylfaen"/>
          <w:lang w:val="ka-GE"/>
        </w:rPr>
      </w:pPr>
    </w:p>
    <w:p w14:paraId="2710F275" w14:textId="27BC2B6E" w:rsidR="004B147B" w:rsidRDefault="00ED6FAD" w:rsidP="00C12EAD">
      <w:pPr>
        <w:pStyle w:val="NormalWeb"/>
        <w:shd w:val="clear" w:color="auto" w:fill="FFFFFF"/>
        <w:spacing w:before="0" w:beforeAutospacing="0" w:after="120" w:afterAutospacing="0" w:line="340" w:lineRule="atLeast"/>
        <w:jc w:val="center"/>
        <w:rPr>
          <w:rFonts w:ascii="Sylfaen" w:hAnsi="Sylfaen" w:cs="Sylfaen"/>
          <w:lang w:val="ka-GE"/>
        </w:rPr>
      </w:pPr>
      <w:r>
        <w:rPr>
          <w:noProof/>
        </w:rPr>
        <w:lastRenderedPageBreak/>
        <w:drawing>
          <wp:inline distT="0" distB="0" distL="0" distR="0" wp14:anchorId="78DAD4BA" wp14:editId="47C88597">
            <wp:extent cx="5943600" cy="3011170"/>
            <wp:effectExtent l="0" t="0" r="0" b="17780"/>
            <wp:docPr id="185335025" name="Chart 1">
              <a:extLst xmlns:a="http://schemas.openxmlformats.org/drawingml/2006/main">
                <a:ext uri="{FF2B5EF4-FFF2-40B4-BE49-F238E27FC236}">
                  <a16:creationId xmlns:a16="http://schemas.microsoft.com/office/drawing/2014/main" id="{7A7B0FCE-55FA-6930-429B-0CF3070ED0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C8BFBE2" w14:textId="43F2B51F" w:rsidR="00C56255" w:rsidRDefault="00C56255" w:rsidP="00C12EAD">
      <w:pPr>
        <w:pStyle w:val="NormalWeb"/>
        <w:shd w:val="clear" w:color="auto" w:fill="FFFFFF"/>
        <w:spacing w:before="0" w:beforeAutospacing="0" w:after="120" w:afterAutospacing="0" w:line="340" w:lineRule="atLeast"/>
        <w:jc w:val="center"/>
        <w:rPr>
          <w:rFonts w:ascii="Sylfaen" w:hAnsi="Sylfaen" w:cs="Sylfaen"/>
          <w:lang w:val="ka-GE"/>
        </w:rPr>
      </w:pPr>
    </w:p>
    <w:p w14:paraId="68DA34F6" w14:textId="340E393D" w:rsidR="00ED6FAD" w:rsidRPr="00050507" w:rsidRDefault="00ED6FAD" w:rsidP="00C12EAD">
      <w:pPr>
        <w:pStyle w:val="NormalWeb"/>
        <w:shd w:val="clear" w:color="auto" w:fill="FFFFFF"/>
        <w:spacing w:before="0" w:beforeAutospacing="0" w:after="120" w:afterAutospacing="0" w:line="340" w:lineRule="atLeast"/>
        <w:jc w:val="center"/>
        <w:rPr>
          <w:rFonts w:ascii="Sylfaen" w:hAnsi="Sylfaen" w:cs="Sylfaen"/>
        </w:rPr>
      </w:pPr>
      <w:r>
        <w:rPr>
          <w:noProof/>
        </w:rPr>
        <w:drawing>
          <wp:inline distT="0" distB="0" distL="0" distR="0" wp14:anchorId="20B6A0CB" wp14:editId="01FCC7C0">
            <wp:extent cx="5943600" cy="3561715"/>
            <wp:effectExtent l="0" t="0" r="0" b="635"/>
            <wp:docPr id="1053833884" name="Chart 1">
              <a:extLst xmlns:a="http://schemas.openxmlformats.org/drawingml/2006/main">
                <a:ext uri="{FF2B5EF4-FFF2-40B4-BE49-F238E27FC236}">
                  <a16:creationId xmlns:a16="http://schemas.microsoft.com/office/drawing/2014/main" id="{C0A6C161-BA60-33FD-9DC9-E6C58ABD754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A38CC2A" w14:textId="5AD6A562" w:rsidR="00C56255" w:rsidRPr="00377C29" w:rsidRDefault="00C56255" w:rsidP="00377C29">
      <w:pPr>
        <w:pStyle w:val="NormalWeb"/>
        <w:shd w:val="clear" w:color="auto" w:fill="FFFFFF"/>
        <w:spacing w:before="0" w:beforeAutospacing="0" w:after="120" w:afterAutospacing="0"/>
        <w:jc w:val="both"/>
        <w:rPr>
          <w:rFonts w:ascii="Sylfaen" w:hAnsi="Sylfaen" w:cs="Sylfaen"/>
          <w:i/>
          <w:iCs/>
          <w:sz w:val="16"/>
          <w:szCs w:val="16"/>
          <w:lang w:val="ka-GE"/>
        </w:rPr>
      </w:pPr>
      <w:r w:rsidRPr="00C00E03">
        <w:rPr>
          <w:rFonts w:ascii="Sylfaen" w:hAnsi="Sylfaen" w:cs="Sylfaen"/>
          <w:i/>
          <w:iCs/>
          <w:sz w:val="16"/>
          <w:szCs w:val="16"/>
        </w:rPr>
        <w:t>წყარო</w:t>
      </w:r>
      <w:r w:rsidRPr="00C00E03">
        <w:rPr>
          <w:i/>
          <w:iCs/>
          <w:sz w:val="16"/>
          <w:szCs w:val="16"/>
        </w:rPr>
        <w:t xml:space="preserve">: </w:t>
      </w:r>
      <w:r w:rsidRPr="00C00E03">
        <w:rPr>
          <w:rFonts w:ascii="Sylfaen" w:hAnsi="Sylfaen" w:cs="Sylfaen"/>
          <w:i/>
          <w:iCs/>
          <w:sz w:val="16"/>
          <w:szCs w:val="16"/>
        </w:rPr>
        <w:t>ა</w:t>
      </w:r>
      <w:r w:rsidRPr="00C00E03">
        <w:rPr>
          <w:i/>
          <w:iCs/>
          <w:sz w:val="16"/>
          <w:szCs w:val="16"/>
        </w:rPr>
        <w:t xml:space="preserve"> </w:t>
      </w:r>
      <w:r w:rsidRPr="00C00E03">
        <w:rPr>
          <w:rFonts w:ascii="Sylfaen" w:hAnsi="Sylfaen" w:cs="Sylfaen"/>
          <w:i/>
          <w:iCs/>
          <w:sz w:val="16"/>
          <w:szCs w:val="16"/>
        </w:rPr>
        <w:t>ტიპის</w:t>
      </w:r>
      <w:r w:rsidRPr="00C00E03">
        <w:rPr>
          <w:i/>
          <w:iCs/>
          <w:sz w:val="16"/>
          <w:szCs w:val="16"/>
        </w:rPr>
        <w:t xml:space="preserve"> </w:t>
      </w:r>
      <w:r w:rsidRPr="00C00E03">
        <w:rPr>
          <w:rFonts w:ascii="Sylfaen" w:hAnsi="Sylfaen" w:cs="Sylfaen"/>
          <w:i/>
          <w:iCs/>
          <w:sz w:val="16"/>
          <w:szCs w:val="16"/>
        </w:rPr>
        <w:t>აბონენტები</w:t>
      </w:r>
      <w:r w:rsidRPr="00C00E03">
        <w:rPr>
          <w:i/>
          <w:iCs/>
          <w:sz w:val="16"/>
          <w:szCs w:val="16"/>
        </w:rPr>
        <w:t xml:space="preserve"> M2M</w:t>
      </w:r>
      <w:r>
        <w:rPr>
          <w:rFonts w:asciiTheme="minorHAnsi" w:hAnsiTheme="minorHAnsi"/>
          <w:i/>
          <w:iCs/>
          <w:sz w:val="16"/>
          <w:szCs w:val="16"/>
          <w:lang w:val="ka-GE"/>
        </w:rPr>
        <w:t>/</w:t>
      </w:r>
      <w:r>
        <w:rPr>
          <w:rFonts w:asciiTheme="minorHAnsi" w:hAnsiTheme="minorHAnsi"/>
          <w:i/>
          <w:iCs/>
          <w:sz w:val="16"/>
          <w:szCs w:val="16"/>
        </w:rPr>
        <w:t>IoT</w:t>
      </w:r>
      <w:r w:rsidRPr="00C00E03">
        <w:rPr>
          <w:i/>
          <w:iCs/>
          <w:sz w:val="16"/>
          <w:szCs w:val="16"/>
        </w:rPr>
        <w:t xml:space="preserve"> </w:t>
      </w:r>
      <w:r w:rsidRPr="00C00E03">
        <w:rPr>
          <w:rFonts w:ascii="Sylfaen" w:hAnsi="Sylfaen" w:cs="Sylfaen"/>
          <w:i/>
          <w:iCs/>
          <w:sz w:val="16"/>
          <w:szCs w:val="16"/>
        </w:rPr>
        <w:t>აბონენტების</w:t>
      </w:r>
      <w:r w:rsidRPr="00C12EAD">
        <w:rPr>
          <w:rFonts w:ascii="Sylfaen" w:hAnsi="Sylfaen" w:cs="Sylfaen"/>
          <w:i/>
          <w:iCs/>
          <w:sz w:val="16"/>
          <w:szCs w:val="16"/>
        </w:rPr>
        <w:t xml:space="preserve"> </w:t>
      </w:r>
      <w:r w:rsidRPr="00C00E03">
        <w:rPr>
          <w:rFonts w:ascii="Sylfaen" w:hAnsi="Sylfaen" w:cs="Sylfaen"/>
          <w:i/>
          <w:iCs/>
          <w:sz w:val="16"/>
          <w:szCs w:val="16"/>
        </w:rPr>
        <w:t>ჩათვლით</w:t>
      </w:r>
      <w:r w:rsidRPr="00C12EAD">
        <w:rPr>
          <w:rFonts w:ascii="Sylfaen" w:hAnsi="Sylfaen" w:cs="Sylfaen"/>
          <w:i/>
          <w:iCs/>
          <w:sz w:val="16"/>
          <w:szCs w:val="16"/>
        </w:rPr>
        <w:t>,</w:t>
      </w:r>
      <w:r w:rsidR="00F76D62" w:rsidRPr="00C12EAD">
        <w:rPr>
          <w:rFonts w:ascii="Sylfaen" w:hAnsi="Sylfaen" w:cs="Sylfaen"/>
          <w:i/>
          <w:iCs/>
          <w:sz w:val="16"/>
          <w:szCs w:val="16"/>
        </w:rPr>
        <w:t xml:space="preserve">,კომისიის სტატისტიკური ანგარიშგების ელექტრონული </w:t>
      </w:r>
      <w:r w:rsidRPr="00C00E03">
        <w:rPr>
          <w:rFonts w:ascii="Sylfaen" w:hAnsi="Sylfaen" w:cs="Sylfaen"/>
          <w:i/>
          <w:iCs/>
          <w:sz w:val="16"/>
          <w:szCs w:val="16"/>
        </w:rPr>
        <w:t>ფორმა 2.</w:t>
      </w:r>
      <w:r w:rsidRPr="00C12EAD">
        <w:rPr>
          <w:rFonts w:ascii="Sylfaen" w:hAnsi="Sylfaen" w:cs="Sylfaen"/>
          <w:i/>
          <w:iCs/>
          <w:sz w:val="16"/>
          <w:szCs w:val="16"/>
        </w:rPr>
        <w:t>2</w:t>
      </w:r>
      <w:r w:rsidRPr="00C00E03">
        <w:rPr>
          <w:rFonts w:ascii="Sylfaen" w:hAnsi="Sylfaen" w:cs="Sylfaen"/>
          <w:i/>
          <w:iCs/>
          <w:sz w:val="16"/>
          <w:szCs w:val="16"/>
        </w:rPr>
        <w:t>;</w:t>
      </w:r>
      <w:r w:rsidR="00196326">
        <w:rPr>
          <w:rFonts w:ascii="Sylfaen" w:hAnsi="Sylfaen" w:cs="Sylfaen"/>
          <w:i/>
          <w:iCs/>
          <w:sz w:val="16"/>
          <w:szCs w:val="16"/>
          <w:lang w:val="ka-GE"/>
        </w:rPr>
        <w:t xml:space="preserve"> 2018 წლის სს „სილქნეტის“ მონაცემები მოიცავს შპს „ჯეოსელის“ აბონენტებსაც.</w:t>
      </w:r>
    </w:p>
    <w:p w14:paraId="51A9A8F9" w14:textId="3996FC24" w:rsidR="001B73F8" w:rsidRDefault="00050507"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w:t>
      </w:r>
      <w:r w:rsidR="001B73F8" w:rsidRPr="00C12EAD">
        <w:rPr>
          <w:rFonts w:ascii="Sylfaen" w:hAnsi="Sylfaen" w:cs="Sylfaen"/>
          <w:sz w:val="22"/>
          <w:szCs w:val="22"/>
          <w:lang w:val="ka-GE"/>
        </w:rPr>
        <w:t>სხვა</w:t>
      </w:r>
      <w:r>
        <w:rPr>
          <w:rFonts w:ascii="Sylfaen" w:hAnsi="Sylfaen" w:cs="Sylfaen"/>
          <w:sz w:val="22"/>
          <w:szCs w:val="22"/>
          <w:lang w:val="ka-GE"/>
        </w:rPr>
        <w:t>“ კატეგორიის ორი</w:t>
      </w:r>
      <w:r w:rsidR="001B73F8" w:rsidRPr="00C12EAD">
        <w:rPr>
          <w:rFonts w:ascii="Sylfaen" w:hAnsi="Sylfaen" w:cs="Sylfaen"/>
          <w:sz w:val="22"/>
          <w:szCs w:val="22"/>
          <w:lang w:val="ka-GE"/>
        </w:rPr>
        <w:t xml:space="preserve"> კომპანიის აბონენტების რაოდენობა მთლიანი სააბონენტო ბაზის 0.</w:t>
      </w:r>
      <w:r w:rsidR="00ED6FAD">
        <w:rPr>
          <w:rFonts w:ascii="Sylfaen" w:hAnsi="Sylfaen" w:cs="Sylfaen"/>
          <w:sz w:val="22"/>
          <w:szCs w:val="22"/>
          <w:lang w:val="ka-GE"/>
        </w:rPr>
        <w:t>2</w:t>
      </w:r>
      <w:r w:rsidR="00ED6FAD" w:rsidRPr="00C12EAD">
        <w:rPr>
          <w:rFonts w:ascii="Sylfaen" w:hAnsi="Sylfaen" w:cs="Sylfaen"/>
          <w:sz w:val="22"/>
          <w:szCs w:val="22"/>
          <w:lang w:val="ka-GE"/>
        </w:rPr>
        <w:t>%-</w:t>
      </w:r>
      <w:r w:rsidR="00ED6FAD">
        <w:rPr>
          <w:rFonts w:ascii="Sylfaen" w:hAnsi="Sylfaen" w:cs="Sylfaen"/>
          <w:sz w:val="22"/>
          <w:szCs w:val="22"/>
          <w:lang w:val="ka-GE"/>
        </w:rPr>
        <w:t>ს</w:t>
      </w:r>
      <w:r w:rsidR="00ED6FAD" w:rsidRPr="00C12EAD">
        <w:rPr>
          <w:rFonts w:ascii="Sylfaen" w:hAnsi="Sylfaen" w:cs="Sylfaen"/>
          <w:sz w:val="22"/>
          <w:szCs w:val="22"/>
          <w:lang w:val="ka-GE"/>
        </w:rPr>
        <w:t xml:space="preserve"> </w:t>
      </w:r>
      <w:r w:rsidR="001B73F8" w:rsidRPr="00C12EAD">
        <w:rPr>
          <w:rFonts w:ascii="Sylfaen" w:hAnsi="Sylfaen" w:cs="Sylfaen"/>
          <w:sz w:val="22"/>
          <w:szCs w:val="22"/>
          <w:lang w:val="ka-GE"/>
        </w:rPr>
        <w:t xml:space="preserve">შეადგენს, </w:t>
      </w:r>
      <w:r w:rsidR="00810D2D">
        <w:rPr>
          <w:rFonts w:ascii="Sylfaen" w:hAnsi="Sylfaen" w:cs="Sylfaen"/>
          <w:sz w:val="22"/>
          <w:szCs w:val="22"/>
          <w:lang w:val="ka-GE"/>
        </w:rPr>
        <w:t xml:space="preserve">რაც </w:t>
      </w:r>
      <w:r w:rsidR="001B73F8" w:rsidRPr="00C12EAD">
        <w:rPr>
          <w:rFonts w:ascii="Sylfaen" w:hAnsi="Sylfaen" w:cs="Sylfaen"/>
          <w:sz w:val="22"/>
          <w:szCs w:val="22"/>
          <w:lang w:val="ka-GE"/>
        </w:rPr>
        <w:t>აბსოლ</w:t>
      </w:r>
      <w:r w:rsidR="00002353">
        <w:rPr>
          <w:rFonts w:ascii="Sylfaen" w:hAnsi="Sylfaen" w:cs="Sylfaen"/>
          <w:sz w:val="22"/>
          <w:szCs w:val="22"/>
          <w:lang w:val="ka-GE"/>
        </w:rPr>
        <w:t>უ</w:t>
      </w:r>
      <w:r w:rsidR="001B73F8" w:rsidRPr="00C12EAD">
        <w:rPr>
          <w:rFonts w:ascii="Sylfaen" w:hAnsi="Sylfaen" w:cs="Sylfaen"/>
          <w:sz w:val="22"/>
          <w:szCs w:val="22"/>
          <w:lang w:val="ka-GE"/>
        </w:rPr>
        <w:t xml:space="preserve">ტურ მაჩვენებლებში </w:t>
      </w:r>
      <w:r w:rsidR="00ED6FAD" w:rsidRPr="00C12EAD">
        <w:rPr>
          <w:rFonts w:ascii="Sylfaen" w:hAnsi="Sylfaen" w:cs="Sylfaen"/>
          <w:sz w:val="22"/>
          <w:szCs w:val="22"/>
          <w:lang w:val="ka-GE"/>
        </w:rPr>
        <w:t>202</w:t>
      </w:r>
      <w:r w:rsidR="00ED6FAD">
        <w:rPr>
          <w:rFonts w:ascii="Sylfaen" w:hAnsi="Sylfaen" w:cs="Sylfaen"/>
          <w:sz w:val="22"/>
          <w:szCs w:val="22"/>
          <w:lang w:val="ka-GE"/>
        </w:rPr>
        <w:t>3</w:t>
      </w:r>
      <w:r w:rsidR="00ED6FAD" w:rsidRPr="00C12EAD">
        <w:rPr>
          <w:rFonts w:ascii="Sylfaen" w:hAnsi="Sylfaen" w:cs="Sylfaen"/>
          <w:sz w:val="22"/>
          <w:szCs w:val="22"/>
          <w:lang w:val="ka-GE"/>
        </w:rPr>
        <w:t xml:space="preserve"> </w:t>
      </w:r>
      <w:r w:rsidR="001B73F8" w:rsidRPr="00C12EAD">
        <w:rPr>
          <w:rFonts w:ascii="Sylfaen" w:hAnsi="Sylfaen" w:cs="Sylfaen"/>
          <w:sz w:val="22"/>
          <w:szCs w:val="22"/>
          <w:lang w:val="ka-GE"/>
        </w:rPr>
        <w:t xml:space="preserve">წლის </w:t>
      </w:r>
      <w:r w:rsidR="00ED6FAD">
        <w:rPr>
          <w:rFonts w:ascii="Sylfaen" w:hAnsi="Sylfaen" w:cs="Sylfaen"/>
          <w:sz w:val="22"/>
          <w:szCs w:val="22"/>
          <w:lang w:val="ka-GE"/>
        </w:rPr>
        <w:t>პირველი</w:t>
      </w:r>
      <w:r w:rsidR="001B73F8" w:rsidRPr="00C12EAD">
        <w:rPr>
          <w:rFonts w:ascii="Sylfaen" w:hAnsi="Sylfaen" w:cs="Sylfaen"/>
          <w:sz w:val="22"/>
          <w:szCs w:val="22"/>
          <w:lang w:val="ka-GE"/>
        </w:rPr>
        <w:t xml:space="preserve"> კვარტლის მდგომარეობით</w:t>
      </w:r>
      <w:r w:rsidR="00810D2D">
        <w:rPr>
          <w:rFonts w:ascii="Sylfaen" w:hAnsi="Sylfaen" w:cs="Sylfaen"/>
          <w:sz w:val="22"/>
          <w:szCs w:val="22"/>
          <w:lang w:val="ka-GE"/>
        </w:rPr>
        <w:t xml:space="preserve"> ჯამში</w:t>
      </w:r>
      <w:r w:rsidR="001B73F8" w:rsidRPr="00C12EAD">
        <w:rPr>
          <w:rFonts w:ascii="Sylfaen" w:hAnsi="Sylfaen" w:cs="Sylfaen"/>
          <w:sz w:val="22"/>
          <w:szCs w:val="22"/>
          <w:lang w:val="ka-GE"/>
        </w:rPr>
        <w:t xml:space="preserve"> </w:t>
      </w:r>
      <w:r w:rsidR="00ED6FAD">
        <w:rPr>
          <w:rFonts w:ascii="Sylfaen" w:hAnsi="Sylfaen" w:cs="Sylfaen"/>
          <w:sz w:val="22"/>
          <w:szCs w:val="22"/>
          <w:lang w:val="ka-GE"/>
        </w:rPr>
        <w:t>11</w:t>
      </w:r>
      <w:r w:rsidR="00F66212">
        <w:rPr>
          <w:rFonts w:ascii="Sylfaen" w:hAnsi="Sylfaen" w:cs="Sylfaen"/>
          <w:sz w:val="22"/>
          <w:szCs w:val="22"/>
        </w:rPr>
        <w:t>.</w:t>
      </w:r>
      <w:r w:rsidR="00ED6FAD">
        <w:rPr>
          <w:rFonts w:ascii="Sylfaen" w:hAnsi="Sylfaen" w:cs="Sylfaen"/>
          <w:sz w:val="22"/>
          <w:szCs w:val="22"/>
          <w:lang w:val="ka-GE"/>
        </w:rPr>
        <w:t>6</w:t>
      </w:r>
      <w:r w:rsidR="00F66212">
        <w:rPr>
          <w:rFonts w:ascii="Sylfaen" w:hAnsi="Sylfaen" w:cs="Sylfaen"/>
          <w:sz w:val="22"/>
          <w:szCs w:val="22"/>
        </w:rPr>
        <w:t xml:space="preserve"> </w:t>
      </w:r>
      <w:r w:rsidR="00F66212">
        <w:rPr>
          <w:rFonts w:ascii="Sylfaen" w:hAnsi="Sylfaen" w:cs="Sylfaen"/>
          <w:sz w:val="22"/>
          <w:szCs w:val="22"/>
          <w:lang w:val="ka-GE"/>
        </w:rPr>
        <w:t>ათას</w:t>
      </w:r>
      <w:r w:rsidR="001B73F8" w:rsidRPr="00C12EAD">
        <w:rPr>
          <w:rFonts w:ascii="Sylfaen" w:hAnsi="Sylfaen" w:cs="Sylfaen"/>
          <w:sz w:val="22"/>
          <w:szCs w:val="22"/>
          <w:lang w:val="ka-GE"/>
        </w:rPr>
        <w:t xml:space="preserve">ს </w:t>
      </w:r>
      <w:r w:rsidR="00ED6FAD">
        <w:rPr>
          <w:rFonts w:ascii="Sylfaen" w:hAnsi="Sylfaen" w:cs="Sylfaen"/>
          <w:sz w:val="22"/>
          <w:szCs w:val="22"/>
          <w:lang w:val="ka-GE"/>
        </w:rPr>
        <w:t>შეადგენს, საიდანაც უმრავლესობა</w:t>
      </w:r>
      <w:r>
        <w:rPr>
          <w:rFonts w:ascii="Sylfaen" w:hAnsi="Sylfaen" w:cs="Sylfaen"/>
          <w:sz w:val="22"/>
          <w:szCs w:val="22"/>
          <w:lang w:val="ka-GE"/>
        </w:rPr>
        <w:t xml:space="preserve"> -</w:t>
      </w:r>
      <w:r w:rsidR="00ED6FAD">
        <w:rPr>
          <w:rFonts w:ascii="Sylfaen" w:hAnsi="Sylfaen" w:cs="Sylfaen"/>
          <w:sz w:val="22"/>
          <w:szCs w:val="22"/>
          <w:lang w:val="ka-GE"/>
        </w:rPr>
        <w:t xml:space="preserve"> 11</w:t>
      </w:r>
      <w:r w:rsidR="00F66212">
        <w:rPr>
          <w:rFonts w:ascii="Sylfaen" w:hAnsi="Sylfaen" w:cs="Sylfaen"/>
          <w:sz w:val="22"/>
          <w:szCs w:val="22"/>
          <w:lang w:val="ka-GE"/>
        </w:rPr>
        <w:t>.</w:t>
      </w:r>
      <w:r w:rsidR="00ED6FAD">
        <w:rPr>
          <w:rFonts w:ascii="Sylfaen" w:hAnsi="Sylfaen" w:cs="Sylfaen"/>
          <w:sz w:val="22"/>
          <w:szCs w:val="22"/>
          <w:lang w:val="ka-GE"/>
        </w:rPr>
        <w:t>5</w:t>
      </w:r>
      <w:r w:rsidR="00F66212">
        <w:rPr>
          <w:rFonts w:ascii="Sylfaen" w:hAnsi="Sylfaen" w:cs="Sylfaen"/>
          <w:sz w:val="22"/>
          <w:szCs w:val="22"/>
          <w:lang w:val="ka-GE"/>
        </w:rPr>
        <w:t xml:space="preserve"> ათასი</w:t>
      </w:r>
      <w:r>
        <w:rPr>
          <w:rFonts w:ascii="Sylfaen" w:hAnsi="Sylfaen" w:cs="Sylfaen"/>
          <w:sz w:val="22"/>
          <w:szCs w:val="22"/>
          <w:lang w:val="ka-GE"/>
        </w:rPr>
        <w:t xml:space="preserve"> -</w:t>
      </w:r>
      <w:r w:rsidR="00ED6FAD">
        <w:rPr>
          <w:rFonts w:ascii="Sylfaen" w:hAnsi="Sylfaen" w:cs="Sylfaen"/>
          <w:sz w:val="22"/>
          <w:szCs w:val="22"/>
          <w:lang w:val="ka-GE"/>
        </w:rPr>
        <w:t xml:space="preserve"> </w:t>
      </w:r>
      <w:r w:rsidR="00A84411">
        <w:rPr>
          <w:rFonts w:ascii="Sylfaen" w:hAnsi="Sylfaen" w:cs="Sylfaen"/>
          <w:sz w:val="22"/>
          <w:szCs w:val="22"/>
          <w:lang w:val="ka-GE"/>
        </w:rPr>
        <w:t xml:space="preserve">შპს </w:t>
      </w:r>
      <w:r w:rsidR="00A84411">
        <w:rPr>
          <w:rFonts w:ascii="Sylfaen" w:hAnsi="Sylfaen" w:cs="Sylfaen"/>
          <w:sz w:val="22"/>
          <w:szCs w:val="22"/>
          <w:lang w:val="ka-GE"/>
        </w:rPr>
        <w:lastRenderedPageBreak/>
        <w:t>„</w:t>
      </w:r>
      <w:r w:rsidR="00ED6FAD">
        <w:rPr>
          <w:rFonts w:ascii="Sylfaen" w:hAnsi="Sylfaen" w:cs="Sylfaen"/>
          <w:sz w:val="22"/>
          <w:szCs w:val="22"/>
          <w:lang w:val="ka-GE"/>
        </w:rPr>
        <w:t>ეკლეკტიკ</w:t>
      </w:r>
      <w:r w:rsidR="00B23988">
        <w:rPr>
          <w:rFonts w:ascii="Sylfaen" w:hAnsi="Sylfaen" w:cs="Sylfaen"/>
          <w:sz w:val="22"/>
          <w:szCs w:val="22"/>
          <w:lang w:val="ka-GE"/>
        </w:rPr>
        <w:t>ის</w:t>
      </w:r>
      <w:r w:rsidR="00A84411">
        <w:rPr>
          <w:rFonts w:ascii="Sylfaen" w:hAnsi="Sylfaen" w:cs="Sylfaen"/>
          <w:sz w:val="22"/>
          <w:szCs w:val="22"/>
          <w:lang w:val="ka-GE"/>
        </w:rPr>
        <w:t>“</w:t>
      </w:r>
      <w:r w:rsidR="00ED6FAD">
        <w:rPr>
          <w:rFonts w:ascii="Sylfaen" w:hAnsi="Sylfaen" w:cs="Sylfaen"/>
          <w:sz w:val="22"/>
          <w:szCs w:val="22"/>
          <w:lang w:val="ka-GE"/>
        </w:rPr>
        <w:t xml:space="preserve"> </w:t>
      </w:r>
      <w:r w:rsidR="00B23988">
        <w:rPr>
          <w:rFonts w:ascii="Sylfaen" w:hAnsi="Sylfaen" w:cs="Sylfaen"/>
          <w:sz w:val="22"/>
          <w:szCs w:val="22"/>
          <w:lang w:val="ka-GE"/>
        </w:rPr>
        <w:t>აბონენტია</w:t>
      </w:r>
      <w:r w:rsidR="00ED6FAD">
        <w:rPr>
          <w:rFonts w:ascii="Sylfaen" w:hAnsi="Sylfaen" w:cs="Sylfaen"/>
          <w:sz w:val="22"/>
          <w:szCs w:val="22"/>
          <w:lang w:val="ka-GE"/>
        </w:rPr>
        <w:t xml:space="preserve">. </w:t>
      </w:r>
      <w:r w:rsidR="00A933CF">
        <w:rPr>
          <w:rFonts w:ascii="Sylfaen" w:hAnsi="Sylfaen" w:cs="Sylfaen"/>
          <w:sz w:val="22"/>
          <w:szCs w:val="22"/>
          <w:lang w:val="ka-GE"/>
        </w:rPr>
        <w:t xml:space="preserve">ასევე, აღსანიშნავია, რომ აღნიშნული მონაცემები კვარტლის აქტიური აბონენტების („ა ტიპი“) რაოდენობაა, ხოლო მარტის თვის მონაცემებით, კომპანიის აქტიური აბონენტების რაოდენობა </w:t>
      </w:r>
      <w:r w:rsidR="00A933CF" w:rsidRPr="00377C29">
        <w:rPr>
          <w:rFonts w:ascii="Sylfaen" w:hAnsi="Sylfaen" w:cs="Sylfaen"/>
          <w:sz w:val="22"/>
          <w:szCs w:val="22"/>
          <w:lang w:val="ka-GE"/>
        </w:rPr>
        <w:t>7</w:t>
      </w:r>
      <w:r w:rsidR="00F66212">
        <w:rPr>
          <w:rFonts w:ascii="Sylfaen" w:hAnsi="Sylfaen" w:cs="Sylfaen"/>
          <w:sz w:val="22"/>
          <w:szCs w:val="22"/>
          <w:lang w:val="ka-GE"/>
        </w:rPr>
        <w:t>.</w:t>
      </w:r>
      <w:r w:rsidR="00A933CF" w:rsidRPr="00377C29">
        <w:rPr>
          <w:rFonts w:ascii="Sylfaen" w:hAnsi="Sylfaen" w:cs="Sylfaen"/>
          <w:sz w:val="22"/>
          <w:szCs w:val="22"/>
          <w:lang w:val="ka-GE"/>
        </w:rPr>
        <w:t>9</w:t>
      </w:r>
      <w:r w:rsidR="00F66212">
        <w:rPr>
          <w:rFonts w:ascii="Sylfaen" w:hAnsi="Sylfaen" w:cs="Sylfaen"/>
          <w:sz w:val="22"/>
          <w:szCs w:val="22"/>
          <w:lang w:val="ka-GE"/>
        </w:rPr>
        <w:t xml:space="preserve"> ათასს</w:t>
      </w:r>
      <w:r w:rsidR="00A933CF">
        <w:rPr>
          <w:rFonts w:ascii="Sylfaen" w:hAnsi="Sylfaen" w:cs="Sylfaen"/>
          <w:sz w:val="22"/>
          <w:szCs w:val="22"/>
          <w:lang w:val="ka-GE"/>
        </w:rPr>
        <w:t xml:space="preserve"> შეადგენს. </w:t>
      </w:r>
    </w:p>
    <w:p w14:paraId="1B4E95E7" w14:textId="15311385" w:rsidR="001A21E2" w:rsidRPr="00377C29" w:rsidRDefault="001A21E2" w:rsidP="00A933CF">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377C29">
        <w:rPr>
          <w:rFonts w:ascii="Sylfaen" w:hAnsi="Sylfaen" w:cs="Sylfaen"/>
          <w:sz w:val="22"/>
          <w:szCs w:val="22"/>
          <w:lang w:val="ka-GE"/>
        </w:rPr>
        <w:t xml:space="preserve">როგორც ცნობილია, კომისიის 2021 წლის 18 ნოემბრის </w:t>
      </w:r>
      <w:r w:rsidR="00A933CF" w:rsidRPr="00377C29">
        <w:rPr>
          <w:rFonts w:ascii="Sylfaen" w:hAnsi="Sylfaen" w:cs="Sylfaen" w:hint="eastAsia"/>
          <w:sz w:val="22"/>
          <w:szCs w:val="22"/>
          <w:lang w:val="ka-GE"/>
        </w:rPr>
        <w:t>“</w:t>
      </w:r>
      <w:r w:rsidR="00A933CF" w:rsidRPr="00377C29">
        <w:rPr>
          <w:rFonts w:ascii="Sylfaen" w:hAnsi="Sylfaen" w:cs="Sylfaen"/>
          <w:sz w:val="22"/>
          <w:szCs w:val="22"/>
          <w:lang w:val="ka-GE"/>
        </w:rPr>
        <w:t>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w:t>
      </w:r>
      <w:r w:rsidR="00A933CF" w:rsidRPr="00377C29">
        <w:rPr>
          <w:rFonts w:ascii="Sylfaen" w:hAnsi="Sylfaen" w:cs="Sylfaen" w:hint="eastAsia"/>
          <w:sz w:val="22"/>
          <w:szCs w:val="22"/>
          <w:lang w:val="ka-GE"/>
        </w:rPr>
        <w:t>”</w:t>
      </w:r>
      <w:r w:rsidR="00A933CF" w:rsidRPr="00377C29">
        <w:rPr>
          <w:rFonts w:ascii="Sylfaen" w:hAnsi="Sylfaen" w:cs="Sylfaen"/>
          <w:sz w:val="22"/>
          <w:szCs w:val="22"/>
          <w:lang w:val="ka-GE"/>
        </w:rPr>
        <w:t xml:space="preserve"> კომისიის 2019 წლის 31 დეკემბრის N გ-20-9/156 გადაწყვეტილებაში ცვლილების შეტანის თაობაზე</w:t>
      </w:r>
      <w:r w:rsidR="00A933CF">
        <w:rPr>
          <w:rFonts w:ascii="Sylfaen" w:hAnsi="Sylfaen" w:cs="Sylfaen"/>
          <w:sz w:val="22"/>
          <w:szCs w:val="22"/>
        </w:rPr>
        <w:t>”</w:t>
      </w:r>
      <w:r w:rsidR="00A933CF" w:rsidRPr="00377C29">
        <w:rPr>
          <w:rFonts w:ascii="Sylfaen" w:hAnsi="Sylfaen" w:cs="Sylfaen"/>
          <w:sz w:val="22"/>
          <w:szCs w:val="22"/>
          <w:lang w:val="ka-GE"/>
        </w:rPr>
        <w:t xml:space="preserve"> </w:t>
      </w:r>
      <w:r w:rsidRPr="00377C29">
        <w:rPr>
          <w:rFonts w:ascii="Sylfaen" w:hAnsi="Sylfaen" w:cs="Sylfaen"/>
          <w:sz w:val="22"/>
          <w:szCs w:val="22"/>
          <w:lang w:val="ka-GE"/>
        </w:rPr>
        <w:t xml:space="preserve">N გ-21-19/622 გადაწყვეტილების შემდეგ, 2021 წლის  3 დეკემბერს სს „სილქნეტსა“ და შპს </w:t>
      </w:r>
      <w:r w:rsidR="00196326" w:rsidRPr="00377C29">
        <w:rPr>
          <w:rFonts w:ascii="Sylfaen" w:hAnsi="Sylfaen" w:cs="Sylfaen"/>
          <w:sz w:val="22"/>
          <w:szCs w:val="22"/>
          <w:lang w:val="ka-GE"/>
        </w:rPr>
        <w:t>„ეკლე</w:t>
      </w:r>
      <w:r w:rsidR="00196326">
        <w:rPr>
          <w:rFonts w:ascii="Sylfaen" w:hAnsi="Sylfaen" w:cs="Sylfaen"/>
          <w:sz w:val="22"/>
          <w:szCs w:val="22"/>
          <w:lang w:val="ka-GE"/>
        </w:rPr>
        <w:t>კ</w:t>
      </w:r>
      <w:r w:rsidR="00196326" w:rsidRPr="00377C29">
        <w:rPr>
          <w:rFonts w:ascii="Sylfaen" w:hAnsi="Sylfaen" w:cs="Sylfaen"/>
          <w:sz w:val="22"/>
          <w:szCs w:val="22"/>
          <w:lang w:val="ka-GE"/>
        </w:rPr>
        <w:t xml:space="preserve">ტიკს“ </w:t>
      </w:r>
      <w:r w:rsidRPr="00377C29">
        <w:rPr>
          <w:rFonts w:ascii="Sylfaen" w:hAnsi="Sylfaen" w:cs="Sylfaen"/>
          <w:sz w:val="22"/>
          <w:szCs w:val="22"/>
          <w:lang w:val="ka-GE"/>
        </w:rPr>
        <w:t xml:space="preserve">შორის გაფორმდა მობილურ ქსელთან დაშვების საბითუმო მომსახურების ხელშეკრულება, ხოლო  2022 წლის 1 აგვისტოდან შპს </w:t>
      </w:r>
      <w:r w:rsidR="00196326" w:rsidRPr="00377C29">
        <w:rPr>
          <w:rFonts w:ascii="Sylfaen" w:hAnsi="Sylfaen" w:cs="Sylfaen"/>
          <w:sz w:val="22"/>
          <w:szCs w:val="22"/>
          <w:lang w:val="ka-GE"/>
        </w:rPr>
        <w:t>„ეკლე</w:t>
      </w:r>
      <w:r w:rsidR="00196326">
        <w:rPr>
          <w:rFonts w:ascii="Sylfaen" w:hAnsi="Sylfaen" w:cs="Sylfaen"/>
          <w:sz w:val="22"/>
          <w:szCs w:val="22"/>
          <w:lang w:val="ka-GE"/>
        </w:rPr>
        <w:t>კ</w:t>
      </w:r>
      <w:r w:rsidR="00196326" w:rsidRPr="00377C29">
        <w:rPr>
          <w:rFonts w:ascii="Sylfaen" w:hAnsi="Sylfaen" w:cs="Sylfaen"/>
          <w:sz w:val="22"/>
          <w:szCs w:val="22"/>
          <w:lang w:val="ka-GE"/>
        </w:rPr>
        <w:t xml:space="preserve">ტიკმა“ </w:t>
      </w:r>
      <w:r w:rsidRPr="00377C29">
        <w:rPr>
          <w:rFonts w:ascii="Sylfaen" w:hAnsi="Sylfaen" w:cs="Sylfaen"/>
          <w:sz w:val="22"/>
          <w:szCs w:val="22"/>
          <w:lang w:val="ka-GE"/>
        </w:rPr>
        <w:t>დაიწყო პრაქტიკული საქმიანობა ბრენდული სახელწოდებით „</w:t>
      </w:r>
      <w:r w:rsidR="00B23988" w:rsidRPr="00377C29">
        <w:rPr>
          <w:rFonts w:ascii="Sylfaen" w:hAnsi="Sylfaen" w:cs="Sylfaen"/>
          <w:sz w:val="22"/>
          <w:szCs w:val="22"/>
          <w:lang w:val="ka-GE"/>
        </w:rPr>
        <w:t>ჰალო</w:t>
      </w:r>
      <w:r w:rsidRPr="00377C29">
        <w:rPr>
          <w:rFonts w:ascii="Sylfaen" w:hAnsi="Sylfaen" w:cs="Sylfaen"/>
          <w:sz w:val="22"/>
          <w:szCs w:val="22"/>
          <w:lang w:val="ka-GE"/>
        </w:rPr>
        <w:t>” და ახორციელებს ბოლო მომხმარებლებისთვის მობილური მომსახურების მიწოდებას</w:t>
      </w:r>
      <w:r w:rsidR="005B232F" w:rsidRPr="00377C29">
        <w:rPr>
          <w:rFonts w:ascii="Sylfaen" w:hAnsi="Sylfaen" w:cs="Sylfaen"/>
          <w:sz w:val="22"/>
          <w:szCs w:val="22"/>
          <w:lang w:val="ka-GE"/>
        </w:rPr>
        <w:t xml:space="preserve">, თუმცა </w:t>
      </w:r>
      <w:r w:rsidR="00050507" w:rsidRPr="00377C29">
        <w:rPr>
          <w:rFonts w:ascii="Sylfaen" w:hAnsi="Sylfaen" w:cs="Sylfaen"/>
          <w:sz w:val="22"/>
          <w:szCs w:val="22"/>
          <w:lang w:val="ka-GE"/>
        </w:rPr>
        <w:t xml:space="preserve">2023 წლის I კვარტლის მდგომარეობით </w:t>
      </w:r>
      <w:r w:rsidR="005B232F" w:rsidRPr="00377C29">
        <w:rPr>
          <w:rFonts w:ascii="Sylfaen" w:hAnsi="Sylfaen" w:cs="Sylfaen"/>
          <w:sz w:val="22"/>
          <w:szCs w:val="22"/>
          <w:lang w:val="ka-GE"/>
        </w:rPr>
        <w:t xml:space="preserve">მისი წილი სააბონენტო ბაზის 0.2%-ს შეადგენს. </w:t>
      </w:r>
    </w:p>
    <w:p w14:paraId="5678B69D" w14:textId="68253D77" w:rsidR="008F4345" w:rsidRPr="001B73F8" w:rsidRDefault="00326E45" w:rsidP="008F4345">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C12EAD">
        <w:rPr>
          <w:rFonts w:ascii="Sylfaen" w:hAnsi="Sylfaen" w:cs="Sylfaen"/>
          <w:sz w:val="22"/>
          <w:szCs w:val="22"/>
          <w:lang w:val="ka-GE"/>
        </w:rPr>
        <w:t>202</w:t>
      </w:r>
      <w:r w:rsidR="00050507">
        <w:rPr>
          <w:rFonts w:ascii="Sylfaen" w:hAnsi="Sylfaen" w:cs="Sylfaen"/>
          <w:sz w:val="22"/>
          <w:szCs w:val="22"/>
          <w:lang w:val="ka-GE"/>
        </w:rPr>
        <w:t>3</w:t>
      </w:r>
      <w:r w:rsidRPr="00C12EAD">
        <w:rPr>
          <w:rFonts w:ascii="Sylfaen" w:hAnsi="Sylfaen" w:cs="Sylfaen"/>
          <w:sz w:val="22"/>
          <w:szCs w:val="22"/>
          <w:lang w:val="ka-GE"/>
        </w:rPr>
        <w:t xml:space="preserve"> წლის </w:t>
      </w:r>
      <w:r w:rsidR="00050507">
        <w:rPr>
          <w:rFonts w:ascii="Sylfaen" w:hAnsi="Sylfaen" w:cs="Sylfaen"/>
          <w:sz w:val="22"/>
          <w:szCs w:val="22"/>
        </w:rPr>
        <w:t xml:space="preserve">I </w:t>
      </w:r>
      <w:r w:rsidR="00050507">
        <w:rPr>
          <w:rFonts w:ascii="Sylfaen" w:hAnsi="Sylfaen" w:cs="Sylfaen"/>
          <w:sz w:val="22"/>
          <w:szCs w:val="22"/>
          <w:lang w:val="ka-GE"/>
        </w:rPr>
        <w:t>კვარტლის</w:t>
      </w:r>
      <w:r w:rsidRPr="00C12EAD">
        <w:rPr>
          <w:rFonts w:ascii="Sylfaen" w:hAnsi="Sylfaen" w:cs="Sylfaen"/>
          <w:sz w:val="22"/>
          <w:szCs w:val="22"/>
          <w:lang w:val="ka-GE"/>
        </w:rPr>
        <w:t xml:space="preserve"> მონაცემებით</w:t>
      </w:r>
      <w:r w:rsidR="00810D2D">
        <w:rPr>
          <w:rFonts w:ascii="Sylfaen" w:hAnsi="Sylfaen" w:cs="Sylfaen"/>
          <w:sz w:val="22"/>
          <w:szCs w:val="22"/>
          <w:lang w:val="ka-GE"/>
        </w:rPr>
        <w:t xml:space="preserve"> </w:t>
      </w:r>
      <w:r w:rsidR="00810D2D" w:rsidRPr="00C00E03">
        <w:rPr>
          <w:rFonts w:ascii="Sylfaen" w:hAnsi="Sylfaen" w:cs="Sylfaen"/>
          <w:sz w:val="22"/>
          <w:szCs w:val="22"/>
          <w:lang w:val="ka-GE"/>
        </w:rPr>
        <w:t>მობილური ქსელით მომსახურების (ხმოვანი, ინტერნეტი, მოკლე</w:t>
      </w:r>
      <w:r w:rsidR="00810D2D">
        <w:rPr>
          <w:rFonts w:ascii="Sylfaen" w:hAnsi="Sylfaen" w:cs="Sylfaen"/>
          <w:sz w:val="22"/>
          <w:szCs w:val="22"/>
          <w:lang w:val="ka-GE"/>
        </w:rPr>
        <w:t xml:space="preserve"> </w:t>
      </w:r>
      <w:r w:rsidR="00810D2D" w:rsidRPr="00C00E03">
        <w:rPr>
          <w:rFonts w:ascii="Sylfaen" w:hAnsi="Sylfaen" w:cs="Sylfaen"/>
          <w:sz w:val="22"/>
          <w:szCs w:val="22"/>
          <w:lang w:val="ka-GE"/>
        </w:rPr>
        <w:t xml:space="preserve">ტექსტური შეტყობინებები „SMS“) ბაზრის </w:t>
      </w:r>
      <w:r w:rsidR="00810D2D">
        <w:rPr>
          <w:rFonts w:ascii="Sylfaen" w:hAnsi="Sylfaen" w:cs="Sylfaen"/>
          <w:sz w:val="22"/>
          <w:szCs w:val="22"/>
          <w:lang w:val="ka-GE"/>
        </w:rPr>
        <w:t xml:space="preserve">შესაბამის </w:t>
      </w:r>
      <w:r w:rsidR="00810D2D" w:rsidRPr="00C00E03">
        <w:rPr>
          <w:rFonts w:ascii="Sylfaen" w:hAnsi="Sylfaen" w:cs="Sylfaen"/>
          <w:sz w:val="22"/>
          <w:szCs w:val="22"/>
          <w:lang w:val="ka-GE"/>
        </w:rPr>
        <w:t>სეგმენტზე</w:t>
      </w:r>
      <w:r w:rsidR="00810D2D">
        <w:rPr>
          <w:rFonts w:ascii="Sylfaen" w:hAnsi="Sylfaen" w:cs="Sylfaen"/>
          <w:sz w:val="22"/>
          <w:szCs w:val="22"/>
          <w:lang w:val="ka-GE"/>
        </w:rPr>
        <w:t xml:space="preserve"> საცალო</w:t>
      </w:r>
      <w:r w:rsidRPr="00C12EAD">
        <w:rPr>
          <w:rFonts w:ascii="Sylfaen" w:hAnsi="Sylfaen" w:cs="Sylfaen"/>
          <w:sz w:val="22"/>
          <w:szCs w:val="22"/>
          <w:lang w:val="ka-GE"/>
        </w:rPr>
        <w:t xml:space="preserve"> შემოსავლების მიხედვით ბაზრის ყველაზე დიდი წილი შპს „მაგთიკომს“ (</w:t>
      </w:r>
      <w:r w:rsidR="00710957">
        <w:rPr>
          <w:rFonts w:ascii="Sylfaen" w:hAnsi="Sylfaen" w:cs="Sylfaen"/>
          <w:sz w:val="22"/>
          <w:szCs w:val="22"/>
          <w:lang w:val="ka-GE"/>
        </w:rPr>
        <w:t>50</w:t>
      </w:r>
      <w:r w:rsidRPr="00C12EAD">
        <w:rPr>
          <w:rFonts w:ascii="Sylfaen" w:hAnsi="Sylfaen" w:cs="Sylfaen"/>
          <w:sz w:val="22"/>
          <w:szCs w:val="22"/>
          <w:lang w:val="ka-GE"/>
        </w:rPr>
        <w:t>%)</w:t>
      </w:r>
      <w:r w:rsidR="001B73F8" w:rsidRPr="00C12EAD">
        <w:rPr>
          <w:rFonts w:ascii="Sylfaen" w:hAnsi="Sylfaen" w:cs="Sylfaen"/>
          <w:sz w:val="22"/>
          <w:szCs w:val="22"/>
          <w:lang w:val="ka-GE"/>
        </w:rPr>
        <w:t xml:space="preserve"> ჰქონდა</w:t>
      </w:r>
      <w:r w:rsidRPr="00C12EAD">
        <w:rPr>
          <w:rFonts w:ascii="Sylfaen" w:hAnsi="Sylfaen" w:cs="Sylfaen"/>
          <w:sz w:val="22"/>
          <w:szCs w:val="22"/>
          <w:lang w:val="ka-GE"/>
        </w:rPr>
        <w:t>, სს „სილქნეტი“- 34%, ხოლო შპს „</w:t>
      </w:r>
      <w:r w:rsidR="005B232F">
        <w:rPr>
          <w:rFonts w:ascii="Sylfaen" w:hAnsi="Sylfaen" w:cs="Sylfaen"/>
          <w:sz w:val="22"/>
          <w:szCs w:val="22"/>
          <w:lang w:val="ka-GE"/>
        </w:rPr>
        <w:t>სელფი მობაილს</w:t>
      </w:r>
      <w:r w:rsidRPr="00C12EAD">
        <w:rPr>
          <w:rFonts w:ascii="Sylfaen" w:hAnsi="Sylfaen" w:cs="Sylfaen"/>
          <w:sz w:val="22"/>
          <w:szCs w:val="22"/>
          <w:lang w:val="ka-GE"/>
        </w:rPr>
        <w:t>“ ბაზრის 16%-იანი წილი</w:t>
      </w:r>
      <w:r w:rsidR="00810D2D">
        <w:rPr>
          <w:rFonts w:ascii="Sylfaen" w:hAnsi="Sylfaen" w:cs="Sylfaen"/>
          <w:sz w:val="22"/>
          <w:szCs w:val="22"/>
          <w:lang w:val="ka-GE"/>
        </w:rPr>
        <w:t xml:space="preserve"> უჭირავს</w:t>
      </w:r>
      <w:r w:rsidRPr="00C12EAD">
        <w:rPr>
          <w:rFonts w:ascii="Sylfaen" w:hAnsi="Sylfaen" w:cs="Sylfaen"/>
          <w:sz w:val="22"/>
          <w:szCs w:val="22"/>
          <w:lang w:val="ka-GE"/>
        </w:rPr>
        <w:t>.</w:t>
      </w:r>
    </w:p>
    <w:p w14:paraId="511CDD06" w14:textId="244186B2" w:rsidR="00326E45" w:rsidRDefault="00710957" w:rsidP="00C12EAD">
      <w:pPr>
        <w:pStyle w:val="NormalWeb"/>
        <w:shd w:val="clear" w:color="auto" w:fill="FFFFFF"/>
        <w:spacing w:before="0" w:beforeAutospacing="0" w:after="120" w:afterAutospacing="0" w:line="340" w:lineRule="atLeast"/>
        <w:jc w:val="center"/>
        <w:rPr>
          <w:rFonts w:ascii="Sylfaen" w:hAnsi="Sylfaen" w:cs="Sylfaen"/>
          <w:sz w:val="22"/>
          <w:szCs w:val="22"/>
          <w:lang w:val="ka-GE"/>
        </w:rPr>
      </w:pPr>
      <w:r>
        <w:rPr>
          <w:noProof/>
        </w:rPr>
        <w:drawing>
          <wp:inline distT="0" distB="0" distL="0" distR="0" wp14:anchorId="3D83974F" wp14:editId="4771962B">
            <wp:extent cx="5943600" cy="3135630"/>
            <wp:effectExtent l="0" t="0" r="0" b="7620"/>
            <wp:docPr id="1909270736" name="Chart 1">
              <a:extLst xmlns:a="http://schemas.openxmlformats.org/drawingml/2006/main">
                <a:ext uri="{FF2B5EF4-FFF2-40B4-BE49-F238E27FC236}">
                  <a16:creationId xmlns:a16="http://schemas.microsoft.com/office/drawing/2014/main" id="{7F97383E-71DE-3AC5-2DE6-FF75ECDD734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639B4C" w14:textId="282D1601" w:rsidR="00326E45" w:rsidRPr="00A84411" w:rsidRDefault="00326E45" w:rsidP="00377C29">
      <w:pPr>
        <w:pStyle w:val="NormalWeb"/>
        <w:shd w:val="clear" w:color="auto" w:fill="FFFFFF"/>
        <w:spacing w:before="0" w:beforeAutospacing="0" w:after="120" w:afterAutospacing="0"/>
        <w:jc w:val="both"/>
        <w:rPr>
          <w:rFonts w:ascii="Sylfaen" w:hAnsi="Sylfaen" w:cs="Sylfaen"/>
          <w:i/>
          <w:iCs/>
          <w:sz w:val="16"/>
          <w:szCs w:val="16"/>
          <w:lang w:val="ka-GE"/>
        </w:rPr>
      </w:pPr>
      <w:r w:rsidRPr="00A84411">
        <w:rPr>
          <w:rFonts w:ascii="Sylfaen" w:hAnsi="Sylfaen" w:cs="Sylfaen"/>
          <w:i/>
          <w:iCs/>
          <w:sz w:val="16"/>
          <w:szCs w:val="16"/>
          <w:lang w:val="ka-GE"/>
        </w:rPr>
        <w:t>წყარო</w:t>
      </w:r>
      <w:r w:rsidRPr="00A84411">
        <w:rPr>
          <w:i/>
          <w:iCs/>
          <w:sz w:val="16"/>
          <w:szCs w:val="16"/>
          <w:lang w:val="ka-GE"/>
        </w:rPr>
        <w:t xml:space="preserve">: </w:t>
      </w:r>
      <w:r w:rsidR="00F76D62" w:rsidRPr="00C12EAD">
        <w:rPr>
          <w:rFonts w:ascii="Sylfaen" w:hAnsi="Sylfaen" w:cs="Sylfaen"/>
          <w:i/>
          <w:iCs/>
          <w:sz w:val="16"/>
          <w:szCs w:val="16"/>
          <w:lang w:val="ka-GE"/>
        </w:rPr>
        <w:t xml:space="preserve">კომისიის სტატისტიკური ანგარიშგების ელექტრონული ფორმა </w:t>
      </w:r>
      <w:r w:rsidRPr="00A84411">
        <w:rPr>
          <w:rFonts w:ascii="Sylfaen" w:hAnsi="Sylfaen" w:cs="Sylfaen"/>
          <w:i/>
          <w:iCs/>
          <w:sz w:val="16"/>
          <w:szCs w:val="16"/>
          <w:lang w:val="ka-GE"/>
        </w:rPr>
        <w:t>2.1</w:t>
      </w:r>
      <w:r w:rsidR="00196326">
        <w:rPr>
          <w:rFonts w:ascii="Sylfaen" w:hAnsi="Sylfaen" w:cs="Sylfaen"/>
          <w:i/>
          <w:iCs/>
          <w:sz w:val="16"/>
          <w:szCs w:val="16"/>
          <w:lang w:val="ka-GE"/>
        </w:rPr>
        <w:t>; 2018 წლის სს „სილქნეტის“ შემოსავალი მოიცავს შპს „ჯეოსელის“ შემოსავალსაც</w:t>
      </w:r>
    </w:p>
    <w:p w14:paraId="15E6371F" w14:textId="77777777" w:rsidR="00050507" w:rsidRDefault="00050507" w:rsidP="00050507">
      <w:pPr>
        <w:pStyle w:val="NormalWeb"/>
        <w:shd w:val="clear" w:color="auto" w:fill="FFFFFF"/>
        <w:spacing w:before="12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w:t>
      </w:r>
      <w:r w:rsidR="00326E45">
        <w:rPr>
          <w:rFonts w:ascii="Sylfaen" w:hAnsi="Sylfaen" w:cs="Sylfaen"/>
          <w:sz w:val="22"/>
          <w:szCs w:val="22"/>
          <w:lang w:val="ka-GE"/>
        </w:rPr>
        <w:t>სხვა</w:t>
      </w:r>
      <w:r>
        <w:rPr>
          <w:rFonts w:ascii="Sylfaen" w:hAnsi="Sylfaen" w:cs="Sylfaen"/>
          <w:sz w:val="22"/>
          <w:szCs w:val="22"/>
          <w:lang w:val="ka-GE"/>
        </w:rPr>
        <w:t>“ კატეგორიაში</w:t>
      </w:r>
      <w:r w:rsidR="00326E45">
        <w:rPr>
          <w:rFonts w:ascii="Sylfaen" w:hAnsi="Sylfaen" w:cs="Sylfaen"/>
          <w:sz w:val="22"/>
          <w:szCs w:val="22"/>
          <w:lang w:val="ka-GE"/>
        </w:rPr>
        <w:t xml:space="preserve"> კომპანიების საბაზრო წილი</w:t>
      </w:r>
      <w:r w:rsidR="00710957">
        <w:rPr>
          <w:rFonts w:ascii="Sylfaen" w:hAnsi="Sylfaen" w:cs="Sylfaen"/>
          <w:sz w:val="22"/>
          <w:szCs w:val="22"/>
          <w:lang w:val="ka-GE"/>
        </w:rPr>
        <w:t xml:space="preserve"> 0.</w:t>
      </w:r>
      <w:r w:rsidR="00D40673">
        <w:rPr>
          <w:rFonts w:ascii="Sylfaen" w:hAnsi="Sylfaen" w:cs="Sylfaen"/>
          <w:sz w:val="22"/>
          <w:szCs w:val="22"/>
          <w:lang w:val="ka-GE"/>
        </w:rPr>
        <w:t>0</w:t>
      </w:r>
      <w:r w:rsidR="00710957">
        <w:rPr>
          <w:rFonts w:ascii="Sylfaen" w:hAnsi="Sylfaen" w:cs="Sylfaen"/>
          <w:sz w:val="22"/>
          <w:szCs w:val="22"/>
          <w:lang w:val="ka-GE"/>
        </w:rPr>
        <w:t xml:space="preserve">9%-ს შეადგენს და ის </w:t>
      </w:r>
      <w:r w:rsidR="00D40673">
        <w:rPr>
          <w:rFonts w:ascii="Sylfaen" w:hAnsi="Sylfaen" w:cs="Sylfaen"/>
          <w:sz w:val="22"/>
          <w:szCs w:val="22"/>
          <w:lang w:val="ka-GE"/>
        </w:rPr>
        <w:t>თითქმის</w:t>
      </w:r>
      <w:r w:rsidR="00710957">
        <w:rPr>
          <w:rFonts w:ascii="Sylfaen" w:hAnsi="Sylfaen" w:cs="Sylfaen"/>
          <w:sz w:val="22"/>
          <w:szCs w:val="22"/>
          <w:lang w:val="ka-GE"/>
        </w:rPr>
        <w:t xml:space="preserve"> სრულად შპს „ეკლეკტიკზე“ მოდის. აბსოლიტურ მაჩვენებლებში კომპანიის შემოსავალმა 2023 წლის </w:t>
      </w:r>
      <w:r w:rsidR="00710957" w:rsidRPr="00A84411">
        <w:rPr>
          <w:rFonts w:ascii="Sylfaen" w:hAnsi="Sylfaen" w:cs="Sylfaen"/>
          <w:sz w:val="22"/>
          <w:szCs w:val="22"/>
          <w:lang w:val="ka-GE"/>
        </w:rPr>
        <w:t xml:space="preserve">I </w:t>
      </w:r>
      <w:r w:rsidR="00710957">
        <w:rPr>
          <w:rFonts w:ascii="Sylfaen" w:hAnsi="Sylfaen" w:cs="Sylfaen"/>
          <w:sz w:val="22"/>
          <w:szCs w:val="22"/>
          <w:lang w:val="ka-GE"/>
        </w:rPr>
        <w:t>კვარტალში 155 ათასი ლარი შეადგინა.</w:t>
      </w:r>
    </w:p>
    <w:p w14:paraId="707163BB" w14:textId="002246C2" w:rsidR="00F11E8F" w:rsidRPr="001A530E" w:rsidRDefault="00CC3843" w:rsidP="00F11E8F">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A84411">
        <w:rPr>
          <w:rFonts w:ascii="Sylfaen" w:hAnsi="Sylfaen" w:cs="Sylfaen"/>
          <w:sz w:val="22"/>
          <w:szCs w:val="22"/>
          <w:shd w:val="clear" w:color="auto" w:fill="FFFFFF"/>
          <w:lang w:val="ka-GE"/>
        </w:rPr>
        <w:lastRenderedPageBreak/>
        <w:t>2022 წლის 29 დეკემბრის N გ-22-19/596 გადაწყვეტილებ</w:t>
      </w:r>
      <w:r>
        <w:rPr>
          <w:rFonts w:ascii="Sylfaen" w:hAnsi="Sylfaen" w:cs="Sylfaen"/>
          <w:sz w:val="22"/>
          <w:szCs w:val="22"/>
          <w:shd w:val="clear" w:color="auto" w:fill="FFFFFF"/>
          <w:lang w:val="ka-GE"/>
        </w:rPr>
        <w:t xml:space="preserve">აში ასევე აღინიშნა, რომ </w:t>
      </w:r>
      <w:r w:rsidR="00F1166A" w:rsidRPr="00765B67">
        <w:rPr>
          <w:rFonts w:ascii="Sylfaen" w:hAnsi="Sylfaen" w:cs="Sylfaen"/>
          <w:sz w:val="22"/>
          <w:szCs w:val="22"/>
          <w:lang w:val="ka-GE"/>
        </w:rPr>
        <w:t>კომუნიკაციების კომისია</w:t>
      </w:r>
      <w:r>
        <w:rPr>
          <w:rFonts w:ascii="Sylfaen" w:hAnsi="Sylfaen" w:cs="Sylfaen"/>
          <w:sz w:val="22"/>
          <w:szCs w:val="22"/>
          <w:lang w:val="ka-GE"/>
        </w:rPr>
        <w:t>ში მიმდინარე, კომპლექსური</w:t>
      </w:r>
      <w:r w:rsidRPr="00765B67">
        <w:rPr>
          <w:rFonts w:ascii="Sylfaen" w:hAnsi="Sylfaen" w:cs="Sylfaen"/>
          <w:sz w:val="22"/>
          <w:szCs w:val="22"/>
          <w:lang w:val="ka-GE"/>
        </w:rPr>
        <w:t xml:space="preserve"> </w:t>
      </w:r>
      <w:r w:rsidR="00F1166A" w:rsidRPr="00765B67">
        <w:rPr>
          <w:rFonts w:ascii="Sylfaen" w:hAnsi="Sylfaen" w:cs="Sylfaen"/>
          <w:sz w:val="22"/>
          <w:szCs w:val="22"/>
          <w:lang w:val="ka-GE"/>
        </w:rPr>
        <w:t>კვლევ</w:t>
      </w:r>
      <w:r w:rsidR="00050507">
        <w:rPr>
          <w:rFonts w:ascii="Sylfaen" w:hAnsi="Sylfaen" w:cs="Sylfaen"/>
          <w:sz w:val="22"/>
          <w:szCs w:val="22"/>
          <w:lang w:val="ka-GE"/>
        </w:rPr>
        <w:t xml:space="preserve">ის </w:t>
      </w:r>
      <w:r>
        <w:rPr>
          <w:rFonts w:ascii="Sylfaen" w:hAnsi="Sylfaen" w:cs="Sylfaen"/>
          <w:sz w:val="22"/>
          <w:szCs w:val="22"/>
          <w:lang w:val="ka-GE"/>
        </w:rPr>
        <w:t>ფა</w:t>
      </w:r>
      <w:r w:rsidR="00F1166A" w:rsidRPr="00765B67">
        <w:rPr>
          <w:rFonts w:ascii="Sylfaen" w:hAnsi="Sylfaen" w:cs="Sylfaen"/>
          <w:sz w:val="22"/>
          <w:szCs w:val="22"/>
          <w:lang w:val="ka-GE"/>
        </w:rPr>
        <w:t>რგლებში</w:t>
      </w:r>
      <w:r>
        <w:rPr>
          <w:rFonts w:ascii="Sylfaen" w:hAnsi="Sylfaen" w:cs="Sylfaen"/>
          <w:sz w:val="22"/>
          <w:szCs w:val="22"/>
          <w:lang w:val="ka-GE"/>
        </w:rPr>
        <w:t xml:space="preserve"> </w:t>
      </w:r>
      <w:r w:rsidR="00F11E8F" w:rsidRPr="00765B67">
        <w:rPr>
          <w:rFonts w:ascii="Sylfaen" w:hAnsi="Sylfaen" w:cs="Sylfaen"/>
          <w:sz w:val="22"/>
          <w:szCs w:val="22"/>
          <w:lang w:val="ka-GE"/>
        </w:rPr>
        <w:t xml:space="preserve">ევროკომისიის მიერ დადგენილი ბაზრის ანალიზის მეთოდოლოგიური წესების </w:t>
      </w:r>
      <w:r w:rsidR="00F11E8F">
        <w:rPr>
          <w:rFonts w:ascii="Sylfaen" w:hAnsi="Sylfaen" w:cs="Sylfaen"/>
          <w:sz w:val="22"/>
          <w:szCs w:val="22"/>
          <w:lang w:val="ka-GE"/>
        </w:rPr>
        <w:t xml:space="preserve">შესაბამისად </w:t>
      </w:r>
      <w:r>
        <w:rPr>
          <w:rFonts w:ascii="Sylfaen" w:hAnsi="Sylfaen" w:cs="Sylfaen"/>
          <w:sz w:val="22"/>
          <w:szCs w:val="22"/>
          <w:lang w:val="ka-GE"/>
        </w:rPr>
        <w:t xml:space="preserve">უნდა განისაზღვროს </w:t>
      </w:r>
      <w:r w:rsidR="00F1166A" w:rsidRPr="00765B67">
        <w:rPr>
          <w:rFonts w:ascii="Sylfaen" w:hAnsi="Sylfaen" w:cs="Sylfaen"/>
          <w:sz w:val="22"/>
          <w:szCs w:val="22"/>
          <w:lang w:val="ka-GE"/>
        </w:rPr>
        <w:t xml:space="preserve">ფიქსირებული ფართოზოლოვანი და მობილური მომსახურებების საცალო და საბითუმო სეგმენტებზე </w:t>
      </w:r>
      <w:r w:rsidR="00F11E8F" w:rsidRPr="001A530E">
        <w:rPr>
          <w:rFonts w:ascii="Sylfaen" w:hAnsi="Sylfaen" w:cs="Sylfaen"/>
          <w:sz w:val="22"/>
          <w:szCs w:val="22"/>
          <w:lang w:val="ka-GE"/>
        </w:rPr>
        <w:t>დაშვების ბაზრის რეგულირების საჭიროება.</w:t>
      </w:r>
    </w:p>
    <w:p w14:paraId="4E02B257" w14:textId="320F722A" w:rsidR="00F1166A" w:rsidRDefault="00F1166A" w:rsidP="00F1166A">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65B67">
        <w:rPr>
          <w:rFonts w:ascii="Sylfaen" w:hAnsi="Sylfaen" w:cs="Sylfaen"/>
          <w:sz w:val="22"/>
          <w:szCs w:val="22"/>
          <w:lang w:val="ka-GE"/>
        </w:rPr>
        <w:t xml:space="preserve">პროექტი ევროკავშირის დაფინანსებით, ევროკავშირსა და საქართველოს შორის ასოცირების შესახებ შეთანხმების ფარგლებში ხორციელდება, კერძოდ, ევროკავშირსა და საქართველოს შორის ასოცირების შესახებ შეთანხმების განხორციელების დახმარების </w:t>
      </w:r>
      <w:r w:rsidRPr="00377C29">
        <w:rPr>
          <w:rFonts w:ascii="Sylfaen" w:hAnsi="Sylfaen" w:cs="Sylfaen"/>
          <w:sz w:val="22"/>
          <w:szCs w:val="22"/>
        </w:rPr>
        <w:t>(Facility for the Implementation of the EU-Georgia Association Agreement, შემდგომში „AA Facility“)</w:t>
      </w:r>
      <w:r w:rsidRPr="00765B67">
        <w:rPr>
          <w:rFonts w:ascii="Sylfaen" w:hAnsi="Sylfaen" w:cs="Sylfaen"/>
          <w:sz w:val="22"/>
          <w:szCs w:val="22"/>
          <w:lang w:val="ka-GE"/>
        </w:rPr>
        <w:t xml:space="preserve"> ფარგლებში. კვლევას განახორციელებენ AA </w:t>
      </w:r>
      <w:r w:rsidRPr="00377C29">
        <w:rPr>
          <w:rFonts w:ascii="Sylfaen" w:hAnsi="Sylfaen" w:cs="Sylfaen"/>
          <w:sz w:val="22"/>
          <w:szCs w:val="22"/>
        </w:rPr>
        <w:t>Facility</w:t>
      </w:r>
      <w:r w:rsidRPr="00765B67">
        <w:rPr>
          <w:rFonts w:ascii="Sylfaen" w:hAnsi="Sylfaen" w:cs="Sylfaen"/>
          <w:sz w:val="22"/>
          <w:szCs w:val="22"/>
          <w:lang w:val="ka-GE"/>
        </w:rPr>
        <w:t xml:space="preserve"> პროექტის მიერ შერჩეული ევროკავშირის ექსპერტები, ევროკომისიასა და ევროპულ მარეგულირებელ ორგანოებში მუშაობის მრავალწლიანი გამოცდილებით. ექსპერტები კომუნიკაციების კომისიის გუნდთან ერთად უზრუნველყოფენ პროექტის ეკონომიკური, სამართლებრივი და ტექნიკური მიმართულებების განხორციელებას.</w:t>
      </w:r>
    </w:p>
    <w:p w14:paraId="07D551AF" w14:textId="389E2441" w:rsidR="00F1166A" w:rsidRPr="00C00E03" w:rsidRDefault="00F1166A" w:rsidP="00F1166A">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C00E03">
        <w:rPr>
          <w:rFonts w:ascii="Sylfaen" w:hAnsi="Sylfaen" w:cs="Sylfaen"/>
          <w:sz w:val="22"/>
          <w:szCs w:val="22"/>
          <w:lang w:val="ka-GE"/>
        </w:rPr>
        <w:t xml:space="preserve">ასევე მნიშვნელოვანია, რომ აღნიშნული კვლევის ჩარჩო და საბოლოო შედეგი შეთანხმებული იქნება ევროკომისიის ექსპერტებთან, რისთვისაც კომუნიკაციების კომისიამ უკვე მოიპოვა ევროკავშირის დახმარება ინსტიტუციონალური განვითარების, ტექნიკური დახმარების და ინფორმაციის გაცვლის ინსტრუმენტის (TAIEX) ფარგლებში. </w:t>
      </w:r>
    </w:p>
    <w:p w14:paraId="58808F3E" w14:textId="5B241247" w:rsidR="00F1166A" w:rsidRPr="00765B67" w:rsidRDefault="00F1166A" w:rsidP="00765B67">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65B67">
        <w:rPr>
          <w:rFonts w:ascii="Sylfaen" w:hAnsi="Sylfaen" w:cs="Sylfaen"/>
          <w:sz w:val="22"/>
          <w:szCs w:val="22"/>
          <w:lang w:val="ka-GE"/>
        </w:rPr>
        <w:t xml:space="preserve">კვლევის ფარგლებში </w:t>
      </w:r>
      <w:r w:rsidR="00761BFC" w:rsidRPr="00080E91">
        <w:rPr>
          <w:rFonts w:ascii="Sylfaen" w:hAnsi="Sylfaen" w:cs="Sylfaen"/>
          <w:sz w:val="22"/>
          <w:szCs w:val="22"/>
          <w:lang w:val="ka-GE"/>
        </w:rPr>
        <w:t xml:space="preserve">შეფასდება </w:t>
      </w:r>
      <w:r w:rsidRPr="00765B67">
        <w:rPr>
          <w:rFonts w:ascii="Sylfaen" w:hAnsi="Sylfaen" w:cs="Sylfaen"/>
          <w:sz w:val="22"/>
          <w:szCs w:val="22"/>
          <w:lang w:val="ka-GE"/>
        </w:rPr>
        <w:t xml:space="preserve">ტელეკომ ბაზარზე არსებული კონკურენცია და შედეგებიდან გამომდინარე, საჭიროებისამებრ </w:t>
      </w:r>
      <w:r w:rsidR="000F7B8D">
        <w:rPr>
          <w:rFonts w:ascii="Sylfaen" w:hAnsi="Sylfaen" w:cs="Sylfaen"/>
          <w:sz w:val="22"/>
          <w:szCs w:val="22"/>
          <w:lang w:val="ka-GE"/>
        </w:rPr>
        <w:t xml:space="preserve">კანონმდებლობის შესაბამისად </w:t>
      </w:r>
      <w:r w:rsidRPr="00765B67">
        <w:rPr>
          <w:rFonts w:ascii="Sylfaen" w:hAnsi="Sylfaen" w:cs="Sylfaen"/>
          <w:sz w:val="22"/>
          <w:szCs w:val="22"/>
          <w:lang w:val="ka-GE"/>
        </w:rPr>
        <w:t xml:space="preserve">დადგინდება შესაბამისი რეგულირებადი ბაზრები, განისაზღვრება მნიშვნელოვანი საბაზრო ძალაუფლების მქონე ოპერატორები  და  დაეკისრებათ სპეციფიური ვალდებულებები. კვლევის მიზანია, ფიქსირებული და მობილური მომსახურების ბაზრებზე შესვლის </w:t>
      </w:r>
      <w:r w:rsidRPr="004D2B94">
        <w:rPr>
          <w:rFonts w:ascii="Sylfaen" w:hAnsi="Sylfaen" w:cs="Sylfaen"/>
          <w:sz w:val="22"/>
          <w:szCs w:val="22"/>
          <w:lang w:val="ka-GE"/>
        </w:rPr>
        <w:t>ბარიერები</w:t>
      </w:r>
      <w:r w:rsidR="00194FF6" w:rsidRPr="004D2B94">
        <w:rPr>
          <w:rFonts w:ascii="Sylfaen" w:hAnsi="Sylfaen" w:cs="Sylfaen"/>
          <w:sz w:val="22"/>
          <w:szCs w:val="22"/>
          <w:lang w:val="ka-GE"/>
        </w:rPr>
        <w:t>ს გამოვლენა</w:t>
      </w:r>
      <w:r w:rsidRPr="004D2B94">
        <w:rPr>
          <w:rFonts w:ascii="Sylfaen" w:hAnsi="Sylfaen" w:cs="Sylfaen"/>
          <w:sz w:val="22"/>
          <w:szCs w:val="22"/>
          <w:lang w:val="ka-GE"/>
        </w:rPr>
        <w:t xml:space="preserve"> და კონკურენციის </w:t>
      </w:r>
      <w:r w:rsidR="00B50E3F" w:rsidRPr="004D2B94">
        <w:rPr>
          <w:rFonts w:ascii="Sylfaen" w:hAnsi="Sylfaen" w:cs="Sylfaen"/>
          <w:sz w:val="22"/>
          <w:szCs w:val="22"/>
          <w:lang w:val="ka-GE"/>
        </w:rPr>
        <w:t>ხელშემწყობი მექანიზმების დადგენა</w:t>
      </w:r>
      <w:r w:rsidRPr="004D2B94">
        <w:rPr>
          <w:rFonts w:ascii="Sylfaen" w:hAnsi="Sylfaen" w:cs="Sylfaen"/>
          <w:sz w:val="22"/>
          <w:szCs w:val="22"/>
          <w:lang w:val="ka-GE"/>
        </w:rPr>
        <w:t>.</w:t>
      </w:r>
      <w:r w:rsidRPr="00765B67">
        <w:rPr>
          <w:rFonts w:ascii="Sylfaen" w:hAnsi="Sylfaen" w:cs="Sylfaen"/>
          <w:sz w:val="22"/>
          <w:szCs w:val="22"/>
          <w:lang w:val="ka-GE"/>
        </w:rPr>
        <w:t xml:space="preserve"> აღნიშნული, ერთი მხრივ, მრავალფეროვან სატელეკომუნიკაციო მომსახურებებზე ხელმისაწვდომობას განაპირობებს, ხოლო მეორე მხრივ, მცირე ზომის კომპანიებს მისცემს შესაძლებლობას, განავითარონ საქმიანობა და შექმნან ალტერნატიული საკომუნიკაციო შეთავაზებები. ქსელის მფლობელი ოპერატორები კი მეტად აითვისებენ საკუთარი ქსელის შესაძლებლობებს, რითაც დამატებით შემოსავალს მიიღებენ.</w:t>
      </w:r>
    </w:p>
    <w:p w14:paraId="3A6AF21B" w14:textId="48CBA9B9" w:rsidR="00C82405" w:rsidRDefault="00C82405" w:rsidP="00C82405">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cs="Sylfaen"/>
          <w:sz w:val="22"/>
          <w:szCs w:val="22"/>
          <w:lang w:val="ka-GE"/>
        </w:rPr>
        <w:t xml:space="preserve">ყოველივე ზემოაღნიშნულიდან გამომდინარე, მიზანშეწონილია, რომ გამოყენებულ იქნას </w:t>
      </w:r>
      <w:r w:rsidR="00AC5A99">
        <w:rPr>
          <w:rFonts w:ascii="Sylfaen" w:hAnsi="Sylfaen" w:cs="Sylfaen"/>
          <w:sz w:val="22"/>
          <w:szCs w:val="22"/>
          <w:lang w:val="ka-GE"/>
        </w:rPr>
        <w:t>კომპლექსური</w:t>
      </w:r>
      <w:r>
        <w:rPr>
          <w:rFonts w:ascii="Sylfaen" w:hAnsi="Sylfaen" w:cs="Sylfaen"/>
          <w:sz w:val="22"/>
          <w:szCs w:val="22"/>
          <w:lang w:val="ka-GE"/>
        </w:rPr>
        <w:t xml:space="preserve"> კვლევის ჩარჩო და ბაზარზე არსებული/შეცვლილი მდგომარეობის გათვალისწინებით კომისიის </w:t>
      </w:r>
      <w:r w:rsidRPr="00AB5D48">
        <w:rPr>
          <w:rFonts w:ascii="Sylfaen" w:hAnsi="Sylfaen" w:cs="Sylfaen"/>
          <w:sz w:val="22"/>
          <w:szCs w:val="22"/>
          <w:lang w:val="ka-GE"/>
        </w:rPr>
        <w:t>Nგ-20-9/156 გადაწყვეტილებ</w:t>
      </w:r>
      <w:r>
        <w:rPr>
          <w:rFonts w:ascii="Sylfaen" w:hAnsi="Sylfaen" w:cs="Sylfaen"/>
          <w:sz w:val="22"/>
          <w:szCs w:val="22"/>
          <w:lang w:val="ka-GE"/>
        </w:rPr>
        <w:t xml:space="preserve">ის გადახედვის საჭიროება განისაზღვროს ამ კვლევის ფარგლებში. </w:t>
      </w:r>
    </w:p>
    <w:p w14:paraId="30BC39D4" w14:textId="3FF451CF" w:rsidR="000D3308" w:rsidRPr="00F77949" w:rsidRDefault="00C82405" w:rsidP="002A545E">
      <w:pPr>
        <w:pStyle w:val="NormalWeb"/>
        <w:shd w:val="clear" w:color="auto" w:fill="FFFFFF"/>
        <w:spacing w:before="120" w:beforeAutospacing="0" w:after="120" w:afterAutospacing="0" w:line="340" w:lineRule="atLeast"/>
        <w:jc w:val="both"/>
        <w:rPr>
          <w:rFonts w:ascii="Sylfaen" w:hAnsi="Sylfaen" w:cs="Sylfaen"/>
          <w:sz w:val="22"/>
          <w:szCs w:val="22"/>
          <w:lang w:val="ka-GE"/>
        </w:rPr>
      </w:pPr>
      <w:r w:rsidRPr="00F77949">
        <w:rPr>
          <w:rFonts w:ascii="Sylfaen" w:hAnsi="Sylfaen" w:cs="Sylfaen"/>
          <w:sz w:val="22"/>
          <w:szCs w:val="22"/>
          <w:lang w:val="ka-GE"/>
        </w:rPr>
        <w:t>მიმდინარე</w:t>
      </w:r>
      <w:r w:rsidR="00F11E8F" w:rsidRPr="00F77949">
        <w:rPr>
          <w:rFonts w:ascii="Sylfaen" w:hAnsi="Sylfaen" w:cs="Sylfaen"/>
          <w:sz w:val="22"/>
          <w:szCs w:val="22"/>
          <w:lang w:val="ka-GE"/>
        </w:rPr>
        <w:t xml:space="preserve"> ეტაპზე კომპლექსური კვლევის ფარგლებში </w:t>
      </w:r>
      <w:r w:rsidR="00050507" w:rsidRPr="00F77949">
        <w:rPr>
          <w:rFonts w:ascii="Sylfaen" w:hAnsi="Sylfaen" w:cs="Sylfaen"/>
          <w:sz w:val="22"/>
          <w:szCs w:val="22"/>
          <w:lang w:val="ka-GE"/>
        </w:rPr>
        <w:t>ხორციელდება</w:t>
      </w:r>
      <w:r w:rsidR="00F11E8F" w:rsidRPr="00F77949">
        <w:rPr>
          <w:rFonts w:ascii="Sylfaen" w:hAnsi="Sylfaen" w:cs="Sylfaen"/>
          <w:sz w:val="22"/>
          <w:szCs w:val="22"/>
          <w:lang w:val="ka-GE"/>
        </w:rPr>
        <w:t xml:space="preserve"> </w:t>
      </w:r>
      <w:r w:rsidR="003F76CC" w:rsidRPr="00F77949">
        <w:rPr>
          <w:rFonts w:ascii="Sylfaen" w:hAnsi="Sylfaen" w:cs="Sylfaen"/>
          <w:sz w:val="22"/>
          <w:szCs w:val="22"/>
          <w:lang w:val="ka-GE"/>
        </w:rPr>
        <w:t xml:space="preserve">ფიქსირებული და </w:t>
      </w:r>
      <w:r w:rsidR="00F11E8F" w:rsidRPr="00F77949">
        <w:rPr>
          <w:rFonts w:ascii="Sylfaen" w:hAnsi="Sylfaen" w:cs="Sylfaen"/>
          <w:sz w:val="22"/>
          <w:szCs w:val="22"/>
          <w:lang w:val="ka-GE"/>
        </w:rPr>
        <w:t xml:space="preserve">მობილური მომსახურებების </w:t>
      </w:r>
      <w:r w:rsidR="003F76CC" w:rsidRPr="00F77949">
        <w:rPr>
          <w:rFonts w:ascii="Sylfaen" w:hAnsi="Sylfaen" w:cs="Sylfaen"/>
          <w:sz w:val="22"/>
          <w:szCs w:val="22"/>
          <w:lang w:val="ka-GE"/>
        </w:rPr>
        <w:t>როგორც საცალო, ასევე შესაბამისი საბითუმო ბაზრების კვლევა</w:t>
      </w:r>
      <w:r w:rsidRPr="00F77949">
        <w:rPr>
          <w:rFonts w:ascii="Sylfaen" w:hAnsi="Sylfaen" w:cs="Sylfaen"/>
          <w:sz w:val="22"/>
          <w:szCs w:val="22"/>
          <w:lang w:val="ka-GE"/>
        </w:rPr>
        <w:t xml:space="preserve">, რომლის პირველადი შედეგები გაზიარებულ იქნა სექტორის წარმომადგენლებთან, თუმცა </w:t>
      </w:r>
      <w:r w:rsidR="003F76CC" w:rsidRPr="00F77949">
        <w:rPr>
          <w:rFonts w:ascii="Sylfaen" w:hAnsi="Sylfaen" w:cs="Sylfaen"/>
          <w:sz w:val="22"/>
          <w:szCs w:val="22"/>
          <w:lang w:val="ka-GE"/>
        </w:rPr>
        <w:lastRenderedPageBreak/>
        <w:t xml:space="preserve">შესაბამისი საბითუმო </w:t>
      </w:r>
      <w:r w:rsidR="002A545E" w:rsidRPr="00F77949">
        <w:rPr>
          <w:rFonts w:ascii="Sylfaen" w:hAnsi="Sylfaen" w:cs="Sylfaen"/>
          <w:sz w:val="22"/>
          <w:szCs w:val="22"/>
          <w:lang w:val="ka-GE"/>
        </w:rPr>
        <w:t>ბაზრ</w:t>
      </w:r>
      <w:r w:rsidR="003F76CC" w:rsidRPr="00F77949">
        <w:rPr>
          <w:rFonts w:ascii="Sylfaen" w:hAnsi="Sylfaen" w:cs="Sylfaen"/>
          <w:sz w:val="22"/>
          <w:szCs w:val="22"/>
          <w:lang w:val="ka-GE"/>
        </w:rPr>
        <w:t>ებ</w:t>
      </w:r>
      <w:r w:rsidR="002A545E" w:rsidRPr="00F77949">
        <w:rPr>
          <w:rFonts w:ascii="Sylfaen" w:hAnsi="Sylfaen" w:cs="Sylfaen"/>
          <w:sz w:val="22"/>
          <w:szCs w:val="22"/>
          <w:lang w:val="ka-GE"/>
        </w:rPr>
        <w:t>ის სიღრმისეული კვლევა</w:t>
      </w:r>
      <w:r w:rsidR="003F76CC" w:rsidRPr="00F77949">
        <w:rPr>
          <w:rFonts w:ascii="Sylfaen" w:hAnsi="Sylfaen" w:cs="Sylfaen"/>
          <w:sz w:val="22"/>
          <w:szCs w:val="22"/>
          <w:lang w:val="ka-GE"/>
        </w:rPr>
        <w:t xml:space="preserve"> და </w:t>
      </w:r>
      <w:r w:rsidR="002A545E" w:rsidRPr="00F77949">
        <w:rPr>
          <w:rFonts w:ascii="Sylfaen" w:hAnsi="Sylfaen" w:cs="Sylfaen"/>
          <w:sz w:val="22"/>
          <w:szCs w:val="22"/>
          <w:lang w:val="ka-GE"/>
        </w:rPr>
        <w:t>ოფიციალური</w:t>
      </w:r>
      <w:r w:rsidRPr="00F77949">
        <w:rPr>
          <w:rFonts w:ascii="Sylfaen" w:hAnsi="Sylfaen" w:cs="Sylfaen"/>
          <w:sz w:val="22"/>
          <w:szCs w:val="22"/>
          <w:lang w:val="ka-GE"/>
        </w:rPr>
        <w:t xml:space="preserve"> </w:t>
      </w:r>
      <w:r w:rsidR="00050507" w:rsidRPr="00F77949">
        <w:rPr>
          <w:rFonts w:ascii="Sylfaen" w:hAnsi="Sylfaen" w:cs="Sylfaen"/>
          <w:sz w:val="22"/>
          <w:szCs w:val="22"/>
          <w:lang w:val="ka-GE"/>
        </w:rPr>
        <w:t>საჯარო</w:t>
      </w:r>
      <w:r w:rsidR="003F76CC" w:rsidRPr="00F77949">
        <w:rPr>
          <w:rFonts w:ascii="Sylfaen" w:hAnsi="Sylfaen" w:cs="Sylfaen"/>
          <w:sz w:val="22"/>
          <w:szCs w:val="22"/>
          <w:lang w:val="ka-GE"/>
        </w:rPr>
        <w:t xml:space="preserve"> პროცედურებით დამტკიცებული შედეგების მიღება </w:t>
      </w:r>
      <w:r w:rsidRPr="00F77949">
        <w:rPr>
          <w:rFonts w:ascii="Sylfaen" w:hAnsi="Sylfaen" w:cs="Sylfaen"/>
          <w:sz w:val="22"/>
          <w:szCs w:val="22"/>
          <w:lang w:val="ka-GE"/>
        </w:rPr>
        <w:t>დამატებით დროს საჭიროებს</w:t>
      </w:r>
      <w:r w:rsidR="00377C29" w:rsidRPr="00F77949">
        <w:rPr>
          <w:rFonts w:ascii="Sylfaen" w:hAnsi="Sylfaen" w:cs="Sylfaen"/>
          <w:sz w:val="22"/>
          <w:szCs w:val="22"/>
          <w:lang w:val="ka-GE"/>
        </w:rPr>
        <w:t>.</w:t>
      </w:r>
      <w:r w:rsidR="000D3308" w:rsidRPr="00F77949">
        <w:rPr>
          <w:rFonts w:ascii="Sylfaen" w:hAnsi="Sylfaen" w:cs="Sylfaen"/>
          <w:sz w:val="22"/>
          <w:szCs w:val="22"/>
          <w:lang w:val="ka-GE"/>
        </w:rPr>
        <w:t xml:space="preserve"> როგორც აღინიშნა, </w:t>
      </w:r>
      <w:r w:rsidR="00377C29" w:rsidRPr="00F77949">
        <w:rPr>
          <w:rFonts w:ascii="Sylfaen" w:hAnsi="Sylfaen" w:cs="Sylfaen"/>
          <w:sz w:val="22"/>
          <w:szCs w:val="22"/>
          <w:lang w:val="ka-GE"/>
        </w:rPr>
        <w:t xml:space="preserve">კომისია </w:t>
      </w:r>
      <w:r w:rsidR="009F0BA2" w:rsidRPr="00F77949">
        <w:rPr>
          <w:rFonts w:ascii="Sylfaen" w:hAnsi="Sylfaen" w:cs="Sylfaen"/>
          <w:sz w:val="22"/>
          <w:szCs w:val="22"/>
          <w:lang w:val="ka-GE"/>
        </w:rPr>
        <w:t xml:space="preserve">კომპლექსური </w:t>
      </w:r>
      <w:r w:rsidR="00377C29" w:rsidRPr="00F77949">
        <w:rPr>
          <w:rFonts w:ascii="Sylfaen" w:hAnsi="Sylfaen" w:cs="Sylfaen"/>
          <w:sz w:val="22"/>
          <w:szCs w:val="22"/>
          <w:lang w:val="ka-GE"/>
        </w:rPr>
        <w:t>კვლევ</w:t>
      </w:r>
      <w:r w:rsidR="000D3308" w:rsidRPr="00F77949">
        <w:rPr>
          <w:rFonts w:ascii="Sylfaen" w:hAnsi="Sylfaen" w:cs="Sylfaen"/>
          <w:sz w:val="22"/>
          <w:szCs w:val="22"/>
          <w:lang w:val="ka-GE"/>
        </w:rPr>
        <w:t xml:space="preserve">ის შედეგების </w:t>
      </w:r>
      <w:r w:rsidR="005F1AD5" w:rsidRPr="00F77949">
        <w:rPr>
          <w:rFonts w:ascii="Sylfaen" w:hAnsi="Sylfaen" w:cs="Sylfaen"/>
          <w:sz w:val="22"/>
          <w:szCs w:val="22"/>
          <w:lang w:val="ka-GE"/>
        </w:rPr>
        <w:t xml:space="preserve">გათვალისწინებით </w:t>
      </w:r>
      <w:r w:rsidR="00377C29" w:rsidRPr="00F77949">
        <w:rPr>
          <w:rFonts w:ascii="Sylfaen" w:hAnsi="Sylfaen" w:cs="Sylfaen"/>
          <w:sz w:val="22"/>
          <w:szCs w:val="22"/>
          <w:lang w:val="ka-GE"/>
        </w:rPr>
        <w:t xml:space="preserve">იმსჯელებს მობილური მომსახურებების შესაბამის საბითუმო </w:t>
      </w:r>
      <w:r w:rsidR="005F1AD5" w:rsidRPr="00F77949">
        <w:rPr>
          <w:rFonts w:ascii="Sylfaen" w:hAnsi="Sylfaen" w:cs="Sylfaen"/>
          <w:sz w:val="22"/>
          <w:szCs w:val="22"/>
          <w:lang w:val="ka-GE"/>
        </w:rPr>
        <w:t xml:space="preserve">ბაზრის </w:t>
      </w:r>
      <w:r w:rsidR="00377C29" w:rsidRPr="00F77949">
        <w:rPr>
          <w:rFonts w:ascii="Sylfaen" w:hAnsi="Sylfaen" w:cs="Sylfaen"/>
          <w:sz w:val="22"/>
          <w:szCs w:val="22"/>
          <w:lang w:val="ka-GE"/>
        </w:rPr>
        <w:t>წინასწარი რეგულირების</w:t>
      </w:r>
      <w:r w:rsidR="005F1AD5" w:rsidRPr="00F77949">
        <w:rPr>
          <w:rFonts w:ascii="Sylfaen" w:hAnsi="Sylfaen" w:cs="Sylfaen"/>
          <w:sz w:val="22"/>
          <w:szCs w:val="22"/>
          <w:lang w:val="ka-GE"/>
        </w:rPr>
        <w:t>ა და სათანადო სპეციფიკური ვალდებულებების</w:t>
      </w:r>
      <w:r w:rsidR="00377C29" w:rsidRPr="00F77949">
        <w:rPr>
          <w:rFonts w:ascii="Sylfaen" w:hAnsi="Sylfaen" w:cs="Sylfaen"/>
          <w:sz w:val="22"/>
          <w:szCs w:val="22"/>
          <w:lang w:val="ka-GE"/>
        </w:rPr>
        <w:t xml:space="preserve"> საჭიროების</w:t>
      </w:r>
      <w:r w:rsidR="005F1AD5" w:rsidRPr="00F77949">
        <w:rPr>
          <w:rFonts w:ascii="Sylfaen" w:hAnsi="Sylfaen" w:cs="Sylfaen"/>
          <w:sz w:val="22"/>
          <w:szCs w:val="22"/>
          <w:lang w:val="ka-GE"/>
        </w:rPr>
        <w:t>ა</w:t>
      </w:r>
      <w:r w:rsidR="000D3308" w:rsidRPr="00F77949">
        <w:rPr>
          <w:rFonts w:ascii="Sylfaen" w:hAnsi="Sylfaen" w:cs="Sylfaen"/>
          <w:sz w:val="22"/>
          <w:szCs w:val="22"/>
          <w:lang w:val="ka-GE"/>
        </w:rPr>
        <w:t xml:space="preserve"> </w:t>
      </w:r>
      <w:r w:rsidR="005F1AD5" w:rsidRPr="00F77949">
        <w:rPr>
          <w:rFonts w:ascii="Sylfaen" w:hAnsi="Sylfaen" w:cs="Sylfaen"/>
          <w:sz w:val="22"/>
          <w:szCs w:val="22"/>
          <w:lang w:val="ka-GE"/>
        </w:rPr>
        <w:t xml:space="preserve">და ფარგლების </w:t>
      </w:r>
      <w:r w:rsidR="000D3308" w:rsidRPr="00F77949">
        <w:rPr>
          <w:rFonts w:ascii="Sylfaen" w:hAnsi="Sylfaen" w:cs="Sylfaen"/>
          <w:sz w:val="22"/>
          <w:szCs w:val="22"/>
          <w:lang w:val="ka-GE"/>
        </w:rPr>
        <w:t>განსაზღვრაზე</w:t>
      </w:r>
      <w:r w:rsidR="009F0BA2" w:rsidRPr="00F77949">
        <w:rPr>
          <w:rFonts w:ascii="Sylfaen" w:hAnsi="Sylfaen" w:cs="Sylfaen"/>
          <w:sz w:val="22"/>
          <w:szCs w:val="22"/>
          <w:lang w:val="ka-GE"/>
        </w:rPr>
        <w:t>.</w:t>
      </w:r>
      <w:r w:rsidR="000D3308" w:rsidRPr="00F77949">
        <w:rPr>
          <w:rFonts w:ascii="Sylfaen" w:hAnsi="Sylfaen" w:cs="Sylfaen"/>
          <w:sz w:val="22"/>
          <w:szCs w:val="22"/>
          <w:lang w:val="ka-GE"/>
        </w:rPr>
        <w:t xml:space="preserve"> </w:t>
      </w:r>
      <w:r w:rsidR="009F0BA2" w:rsidRPr="00F77949">
        <w:rPr>
          <w:rFonts w:ascii="Sylfaen" w:hAnsi="Sylfaen" w:cs="Sylfaen"/>
          <w:sz w:val="22"/>
          <w:szCs w:val="22"/>
          <w:lang w:val="ka-GE"/>
        </w:rPr>
        <w:t>კომპლექსური კვლევა, კი,</w:t>
      </w:r>
      <w:r w:rsidR="000D3308" w:rsidRPr="00F77949">
        <w:rPr>
          <w:rFonts w:ascii="Sylfaen" w:hAnsi="Sylfaen" w:cs="Sylfaen"/>
          <w:sz w:val="22"/>
          <w:szCs w:val="22"/>
          <w:lang w:val="ka-GE"/>
        </w:rPr>
        <w:t xml:space="preserve"> კვლევის მასშტაბებისა და სამუშაო მოცულობის გათვალისწინებით პროექტის დაგეგმილი ვადებიდან გამომდინარე მოსალოდნელია </w:t>
      </w:r>
      <w:r w:rsidR="005F1AD5" w:rsidRPr="00F77949">
        <w:rPr>
          <w:rFonts w:ascii="Sylfaen" w:hAnsi="Sylfaen" w:cs="Sylfaen"/>
          <w:sz w:val="22"/>
          <w:szCs w:val="22"/>
          <w:lang w:val="ka-GE"/>
        </w:rPr>
        <w:t xml:space="preserve">დასრულდეს </w:t>
      </w:r>
      <w:r w:rsidR="000D3308" w:rsidRPr="00F77949">
        <w:rPr>
          <w:rFonts w:ascii="Sylfaen" w:hAnsi="Sylfaen" w:cs="Sylfaen"/>
          <w:sz w:val="22"/>
          <w:szCs w:val="22"/>
          <w:lang w:val="ka-GE"/>
        </w:rPr>
        <w:t>2023 წლის შემდგომ პერიოდ</w:t>
      </w:r>
      <w:r w:rsidR="005F1AD5" w:rsidRPr="00F77949">
        <w:rPr>
          <w:rFonts w:ascii="Sylfaen" w:hAnsi="Sylfaen" w:cs="Sylfaen"/>
          <w:sz w:val="22"/>
          <w:szCs w:val="22"/>
          <w:lang w:val="ka-GE"/>
        </w:rPr>
        <w:t>ში</w:t>
      </w:r>
      <w:r w:rsidR="000D3308" w:rsidRPr="00F77949">
        <w:rPr>
          <w:rFonts w:ascii="Sylfaen" w:hAnsi="Sylfaen" w:cs="Sylfaen"/>
          <w:sz w:val="22"/>
          <w:szCs w:val="22"/>
          <w:lang w:val="ka-GE"/>
        </w:rPr>
        <w:t xml:space="preserve">. </w:t>
      </w:r>
    </w:p>
    <w:p w14:paraId="159CDFCE" w14:textId="1AF336E9" w:rsidR="009F0BA2" w:rsidRPr="00F77949" w:rsidRDefault="009F0BA2" w:rsidP="009F0BA2">
      <w:pPr>
        <w:pStyle w:val="NormalWeb"/>
        <w:shd w:val="clear" w:color="auto" w:fill="FFFFFF"/>
        <w:spacing w:before="120" w:beforeAutospacing="0" w:after="120" w:afterAutospacing="0" w:line="340" w:lineRule="atLeast"/>
        <w:jc w:val="both"/>
        <w:rPr>
          <w:rFonts w:ascii="Sylfaen" w:hAnsi="Sylfaen" w:cs="Sylfaen"/>
          <w:sz w:val="22"/>
          <w:szCs w:val="22"/>
          <w:lang w:val="ka-GE"/>
        </w:rPr>
      </w:pPr>
      <w:r w:rsidRPr="00F77949">
        <w:rPr>
          <w:rFonts w:ascii="Sylfaen" w:hAnsi="Sylfaen" w:cs="Sylfaen"/>
          <w:sz w:val="22"/>
          <w:szCs w:val="22"/>
          <w:lang w:val="ka-GE"/>
        </w:rPr>
        <w:t xml:space="preserve">რაც შეეხება დაშვების მსურველი სხვა კომპანიების მიერ ქსელის მფლობელ ოპერატორებთან ურთიერთხელსაყრელი პირობით მოლაპარაკებების წარმართვას, კომპანიები, რომლებიც 2020 წლიდან ღიად გამოხატავენ ინტერესს მოიპოვონ დაშვება საქართველოში მოქმედი მობილური ოპერატორების ქსელზე, მიუხედავად მოლაპარაკებების პროცესის გარკვეული პროგრესისა, ამ მომენტამდე დაშვების მოპოვება ვერ ხერხდება, რაც კიდევ ერთხელ დადასტურდა კომისიის მხრიდან დაშვების მსურველ ოპერატორებთან კომუნიკაციით. </w:t>
      </w:r>
    </w:p>
    <w:p w14:paraId="6C32E164" w14:textId="40033489" w:rsidR="002A545E" w:rsidRDefault="002A545E" w:rsidP="002A545E">
      <w:pPr>
        <w:pStyle w:val="NormalWeb"/>
        <w:shd w:val="clear" w:color="auto" w:fill="FFFFFF"/>
        <w:spacing w:before="120" w:beforeAutospacing="0" w:after="120" w:afterAutospacing="0" w:line="340" w:lineRule="atLeast"/>
        <w:jc w:val="both"/>
        <w:rPr>
          <w:rFonts w:ascii="Sylfaen" w:hAnsi="Sylfaen" w:cs="Sylfaen"/>
          <w:sz w:val="22"/>
          <w:szCs w:val="22"/>
          <w:lang w:val="ka-GE"/>
        </w:rPr>
      </w:pPr>
      <w:r w:rsidRPr="00F77949">
        <w:rPr>
          <w:rFonts w:ascii="Sylfaen" w:hAnsi="Sylfaen" w:cs="Sylfaen"/>
          <w:sz w:val="22"/>
          <w:szCs w:val="22"/>
          <w:lang w:val="ka-GE"/>
        </w:rPr>
        <w:t xml:space="preserve">შესაბამისად, </w:t>
      </w:r>
      <w:r w:rsidR="003F76CC" w:rsidRPr="00F77949">
        <w:rPr>
          <w:rFonts w:ascii="Sylfaen" w:hAnsi="Sylfaen" w:cs="Sylfaen"/>
          <w:sz w:val="22"/>
          <w:szCs w:val="22"/>
          <w:lang w:val="ka-GE"/>
        </w:rPr>
        <w:t xml:space="preserve">მიმდინარე ეტაპზე </w:t>
      </w:r>
      <w:r w:rsidRPr="00F77949">
        <w:rPr>
          <w:rFonts w:ascii="Sylfaen" w:hAnsi="Sylfaen" w:cs="Sylfaen"/>
          <w:sz w:val="22"/>
          <w:szCs w:val="22"/>
          <w:lang w:val="ka-GE"/>
        </w:rPr>
        <w:t>კვლავ სახეზეა მოცემულობა</w:t>
      </w:r>
      <w:r w:rsidR="00666302" w:rsidRPr="00F77949">
        <w:rPr>
          <w:rFonts w:ascii="Sylfaen" w:hAnsi="Sylfaen" w:cs="Sylfaen"/>
          <w:sz w:val="22"/>
          <w:szCs w:val="22"/>
          <w:lang w:val="ka-GE"/>
        </w:rPr>
        <w:t>,</w:t>
      </w:r>
      <w:r w:rsidRPr="00F77949">
        <w:rPr>
          <w:rFonts w:ascii="Sylfaen" w:hAnsi="Sylfaen" w:cs="Sylfaen"/>
          <w:sz w:val="22"/>
          <w:szCs w:val="22"/>
          <w:lang w:val="ka-GE"/>
        </w:rPr>
        <w:t xml:space="preserve"> რომლის მიხედვითაც კომისიის </w:t>
      </w:r>
      <w:r w:rsidR="00260809" w:rsidRPr="00F77949">
        <w:rPr>
          <w:rFonts w:ascii="Sylfaen" w:hAnsi="Sylfaen" w:cs="Sylfaen"/>
          <w:sz w:val="22"/>
          <w:szCs w:val="22"/>
          <w:lang w:val="ka-GE"/>
        </w:rPr>
        <w:t xml:space="preserve">მიერ Nგ-20-9/156 გადაწყვეტილების ამოქმედების ვადის გადაწევასთან დაკავშირებული, </w:t>
      </w:r>
      <w:r w:rsidRPr="00F77949">
        <w:rPr>
          <w:rFonts w:ascii="Sylfaen" w:hAnsi="Sylfaen" w:cs="Sylfaen"/>
          <w:sz w:val="22"/>
          <w:szCs w:val="22"/>
          <w:shd w:val="clear" w:color="auto" w:fill="FFFFFF"/>
          <w:lang w:val="ka-GE"/>
        </w:rPr>
        <w:t xml:space="preserve">2022 წლის 29 დეკემბრის N გ-22-19/596 </w:t>
      </w:r>
      <w:r w:rsidRPr="00F77949">
        <w:rPr>
          <w:rFonts w:ascii="Sylfaen" w:hAnsi="Sylfaen" w:cs="Sylfaen"/>
          <w:sz w:val="22"/>
          <w:szCs w:val="22"/>
          <w:lang w:val="ka-GE"/>
        </w:rPr>
        <w:t xml:space="preserve">გადაწყვეტილების მიღების წინაპირობები </w:t>
      </w:r>
      <w:r w:rsidR="00260809" w:rsidRPr="00F77949">
        <w:rPr>
          <w:rFonts w:ascii="Sylfaen" w:hAnsi="Sylfaen" w:cs="Sylfaen"/>
          <w:sz w:val="22"/>
          <w:szCs w:val="22"/>
          <w:lang w:val="ka-GE"/>
        </w:rPr>
        <w:t>კვლავ ძალაში რჩება.</w:t>
      </w:r>
    </w:p>
    <w:p w14:paraId="1A614E90" w14:textId="7547A771" w:rsidR="005B232F" w:rsidRPr="00260809" w:rsidRDefault="002A545E" w:rsidP="00765B67">
      <w:pPr>
        <w:pStyle w:val="NormalWeb"/>
        <w:shd w:val="clear" w:color="auto" w:fill="FFFFFF"/>
        <w:spacing w:before="0" w:beforeAutospacing="0" w:after="120" w:afterAutospacing="0" w:line="340" w:lineRule="atLeast"/>
        <w:jc w:val="both"/>
        <w:rPr>
          <w:rFonts w:ascii="Sylfaen" w:hAnsi="Sylfaen" w:cs="Sylfaen"/>
          <w:color w:val="FF0000"/>
          <w:sz w:val="22"/>
          <w:szCs w:val="22"/>
          <w:lang w:val="ka-GE"/>
        </w:rPr>
      </w:pPr>
      <w:r>
        <w:rPr>
          <w:rFonts w:ascii="Sylfaen" w:hAnsi="Sylfaen" w:cs="Sylfaen"/>
          <w:sz w:val="22"/>
          <w:szCs w:val="22"/>
          <w:lang w:val="ka-GE"/>
        </w:rPr>
        <w:t xml:space="preserve">აღნიშნულიდან გამომდინარე, კომისია </w:t>
      </w:r>
      <w:r w:rsidR="00C82405">
        <w:rPr>
          <w:rFonts w:ascii="Sylfaen" w:hAnsi="Sylfaen" w:cs="Sylfaen"/>
          <w:sz w:val="22"/>
          <w:szCs w:val="22"/>
          <w:lang w:val="ka-GE"/>
        </w:rPr>
        <w:t>მიზანშეწონილად მიიჩნევ</w:t>
      </w:r>
      <w:r>
        <w:rPr>
          <w:rFonts w:ascii="Sylfaen" w:hAnsi="Sylfaen" w:cs="Sylfaen"/>
          <w:sz w:val="22"/>
          <w:szCs w:val="22"/>
          <w:lang w:val="ka-GE"/>
        </w:rPr>
        <w:t>ს</w:t>
      </w:r>
      <w:r w:rsidR="00C82405">
        <w:rPr>
          <w:rFonts w:ascii="Sylfaen" w:hAnsi="Sylfaen" w:cs="Sylfaen"/>
          <w:sz w:val="22"/>
          <w:szCs w:val="22"/>
          <w:lang w:val="ka-GE"/>
        </w:rPr>
        <w:t xml:space="preserve"> კომისიის </w:t>
      </w:r>
      <w:r w:rsidR="00C82405" w:rsidRPr="00AB5D48">
        <w:rPr>
          <w:rFonts w:ascii="Sylfaen" w:hAnsi="Sylfaen" w:cs="Sylfaen"/>
          <w:sz w:val="22"/>
          <w:szCs w:val="22"/>
          <w:lang w:val="ka-GE"/>
        </w:rPr>
        <w:t>Nგ-20-9/156 გადაწყვეტილებ</w:t>
      </w:r>
      <w:r w:rsidR="00C82405">
        <w:rPr>
          <w:rFonts w:ascii="Sylfaen" w:hAnsi="Sylfaen" w:cs="Sylfaen"/>
          <w:sz w:val="22"/>
          <w:szCs w:val="22"/>
          <w:lang w:val="ka-GE"/>
        </w:rPr>
        <w:t xml:space="preserve">ით გათვალისწინებული სპეციფიკური ვალდებულებების ამოქმედება გადავადდეს </w:t>
      </w:r>
      <w:r w:rsidR="00C82405" w:rsidRPr="00C2545B">
        <w:rPr>
          <w:rFonts w:ascii="Sylfaen" w:hAnsi="Sylfaen" w:cs="Sylfaen"/>
          <w:sz w:val="22"/>
          <w:szCs w:val="22"/>
          <w:lang w:val="ka-GE"/>
        </w:rPr>
        <w:t>202</w:t>
      </w:r>
      <w:r w:rsidR="009D2D9E">
        <w:rPr>
          <w:rFonts w:ascii="Sylfaen" w:hAnsi="Sylfaen" w:cs="Sylfaen"/>
          <w:sz w:val="22"/>
          <w:szCs w:val="22"/>
          <w:lang w:val="ka-GE"/>
        </w:rPr>
        <w:t>4</w:t>
      </w:r>
      <w:r w:rsidR="00C82405" w:rsidRPr="00C2545B">
        <w:rPr>
          <w:rFonts w:ascii="Sylfaen" w:hAnsi="Sylfaen" w:cs="Sylfaen"/>
          <w:sz w:val="22"/>
          <w:szCs w:val="22"/>
          <w:lang w:val="ka-GE"/>
        </w:rPr>
        <w:t xml:space="preserve"> წლის 30 ივნის</w:t>
      </w:r>
      <w:r w:rsidR="00C82405">
        <w:rPr>
          <w:rFonts w:ascii="Sylfaen" w:hAnsi="Sylfaen" w:cs="Sylfaen"/>
          <w:sz w:val="22"/>
          <w:szCs w:val="22"/>
          <w:lang w:val="ka-GE"/>
        </w:rPr>
        <w:t xml:space="preserve">ამდე. </w:t>
      </w:r>
      <w:r>
        <w:rPr>
          <w:rFonts w:ascii="Sylfaen" w:hAnsi="Sylfaen" w:cs="Sylfaen"/>
          <w:sz w:val="22"/>
          <w:szCs w:val="22"/>
          <w:lang w:val="ka-GE"/>
        </w:rPr>
        <w:t>აღნიშნულ პერიოდამდე, კომპლექსური კვლევის ფარგლებში</w:t>
      </w:r>
      <w:r w:rsidR="00666302">
        <w:rPr>
          <w:rFonts w:ascii="Sylfaen" w:hAnsi="Sylfaen" w:cs="Sylfaen"/>
          <w:sz w:val="22"/>
          <w:szCs w:val="22"/>
          <w:lang w:val="ka-GE"/>
        </w:rPr>
        <w:t>, ამავე კვლევით</w:t>
      </w:r>
      <w:r>
        <w:rPr>
          <w:rFonts w:ascii="Sylfaen" w:hAnsi="Sylfaen" w:cs="Sylfaen"/>
          <w:sz w:val="22"/>
          <w:szCs w:val="22"/>
          <w:lang w:val="ka-GE"/>
        </w:rPr>
        <w:t xml:space="preserve"> დამდგარი შედეგების შესაბამისად განიხილავს და </w:t>
      </w:r>
      <w:r w:rsidR="00AC5A99">
        <w:rPr>
          <w:rFonts w:ascii="Sylfaen" w:hAnsi="Sylfaen" w:cs="Sylfaen"/>
          <w:sz w:val="22"/>
          <w:szCs w:val="22"/>
          <w:lang w:val="ka-GE"/>
        </w:rPr>
        <w:t xml:space="preserve">შეაფასებს </w:t>
      </w:r>
      <w:r w:rsidR="00AC5A99" w:rsidRPr="00AB5D48">
        <w:rPr>
          <w:rFonts w:ascii="Sylfaen" w:hAnsi="Sylfaen" w:cs="Sylfaen"/>
          <w:sz w:val="22"/>
          <w:szCs w:val="22"/>
          <w:lang w:val="ka-GE"/>
        </w:rPr>
        <w:t>Nგ-20-9/156 გადაწყვეტილებ</w:t>
      </w:r>
      <w:r w:rsidR="00AC5A99">
        <w:rPr>
          <w:rFonts w:ascii="Sylfaen" w:hAnsi="Sylfaen" w:cs="Sylfaen"/>
          <w:sz w:val="22"/>
          <w:szCs w:val="22"/>
          <w:lang w:val="ka-GE"/>
        </w:rPr>
        <w:t xml:space="preserve">ის გადახედვის საჭიროებას. </w:t>
      </w:r>
    </w:p>
    <w:p w14:paraId="585FE6FF" w14:textId="7379BD5B" w:rsidR="00AF1E90" w:rsidRDefault="004D2B94" w:rsidP="00AF1E90">
      <w:pPr>
        <w:pStyle w:val="NormalWeb"/>
        <w:shd w:val="clear" w:color="auto" w:fill="FFFFFF"/>
        <w:spacing w:before="0" w:beforeAutospacing="0" w:after="120" w:afterAutospacing="0" w:line="340" w:lineRule="atLeast"/>
        <w:jc w:val="both"/>
        <w:rPr>
          <w:rFonts w:ascii="Sylfaen" w:hAnsi="Sylfaen" w:cs="Sylfaen"/>
          <w:sz w:val="22"/>
          <w:szCs w:val="22"/>
          <w:lang w:val="ka-GE"/>
        </w:rPr>
      </w:pPr>
      <w:bookmarkStart w:id="2" w:name="part_2"/>
      <w:r w:rsidRPr="004D2B94">
        <w:rPr>
          <w:rFonts w:ascii="Sylfaen" w:hAnsi="Sylfaen" w:cs="Sylfaen"/>
          <w:sz w:val="22"/>
          <w:szCs w:val="22"/>
          <w:lang w:val="ka-GE"/>
        </w:rPr>
        <w:t>კომუნიკაციების კომისიის 2021 წლის 9 დეკემბრის N6  დადგენილებით</w:t>
      </w:r>
      <w:r>
        <w:rPr>
          <w:rFonts w:ascii="Sylfaen" w:hAnsi="Sylfaen" w:cs="Sylfaen"/>
          <w:sz w:val="22"/>
          <w:szCs w:val="22"/>
          <w:lang w:val="ka-GE"/>
        </w:rPr>
        <w:t xml:space="preserve"> </w:t>
      </w:r>
      <w:r w:rsidRPr="004D2B94">
        <w:rPr>
          <w:rFonts w:ascii="Sylfaen" w:hAnsi="Sylfaen" w:cs="Sylfaen"/>
          <w:sz w:val="22"/>
          <w:szCs w:val="22"/>
          <w:lang w:val="ka-GE"/>
        </w:rPr>
        <w:t xml:space="preserve">დამტკიცებული </w:t>
      </w:r>
      <w:r w:rsidR="00AF1E90" w:rsidRPr="004D2B94">
        <w:rPr>
          <w:rFonts w:ascii="Sylfaen" w:hAnsi="Sylfaen" w:cs="Sylfaen"/>
          <w:sz w:val="22"/>
          <w:szCs w:val="22"/>
          <w:lang w:val="ka-GE"/>
        </w:rPr>
        <w:t>საჯარო კონსულტაციების მარეგულირებელი წესების</w:t>
      </w:r>
      <w:r w:rsidR="00AF1E90" w:rsidRPr="008270D9">
        <w:rPr>
          <w:rFonts w:ascii="Sylfaen" w:hAnsi="Sylfaen" w:cs="Sylfaen"/>
          <w:sz w:val="22"/>
          <w:szCs w:val="22"/>
          <w:lang w:val="ka-GE"/>
        </w:rPr>
        <w:t xml:space="preserve"> მე-4 მუხლის „ა“ ქვეპუნქტის თანახმად,</w:t>
      </w:r>
      <w:bookmarkEnd w:id="2"/>
      <w:r w:rsidR="00AF1E90">
        <w:rPr>
          <w:rFonts w:ascii="Sylfaen" w:hAnsi="Sylfaen" w:cs="Sylfaen"/>
          <w:sz w:val="22"/>
          <w:szCs w:val="22"/>
          <w:lang w:val="ka-GE"/>
        </w:rPr>
        <w:t xml:space="preserve"> კომისია ადმინისტრაციულ-სამართლებრივი აქტის მიღებამდე (გამოცემამდე) აღნიშნული წესის შესაბამისად საჯარო კონსულტაციებს გამართავს </w:t>
      </w:r>
      <w:r w:rsidR="00AF1E90" w:rsidRPr="00CB3F8E">
        <w:rPr>
          <w:rFonts w:ascii="Sylfaen" w:hAnsi="Sylfaen" w:cs="Sylfaen"/>
          <w:sz w:val="22"/>
          <w:szCs w:val="22"/>
          <w:lang w:val="ka-GE"/>
        </w:rPr>
        <w:t>საჯარო</w:t>
      </w:r>
      <w:r w:rsidR="00AF1E90">
        <w:rPr>
          <w:rFonts w:ascii="Sylfaen" w:hAnsi="Sylfaen" w:cs="Sylfaen"/>
          <w:sz w:val="22"/>
          <w:szCs w:val="22"/>
          <w:lang w:val="ka-GE"/>
        </w:rPr>
        <w:t xml:space="preserve"> ადმინისტრაციული წარმოების ფარგლებში „ელექტრონული კომუნიკაციების შესახებ საქართველოს კანონის 22-ე - 24-ე მუხლებით და ამავე კანონის </w:t>
      </w:r>
      <w:r w:rsidR="00AF1E90" w:rsidRPr="008270D9">
        <w:rPr>
          <w:rFonts w:ascii="Sylfaen" w:hAnsi="Sylfaen" w:cs="Sylfaen"/>
          <w:sz w:val="22"/>
          <w:szCs w:val="22"/>
          <w:lang w:val="ka-GE"/>
        </w:rPr>
        <w:t xml:space="preserve">V </w:t>
      </w:r>
      <w:r w:rsidR="00AF1E90">
        <w:rPr>
          <w:rFonts w:ascii="Sylfaen" w:hAnsi="Sylfaen" w:cs="Sylfaen"/>
          <w:sz w:val="22"/>
          <w:szCs w:val="22"/>
          <w:lang w:val="ka-GE"/>
        </w:rPr>
        <w:t xml:space="preserve">თავით გათვალისწინებულ  კონკურენციის წინასწარ რეგულირებასთან დაკავშირებული ბაზრის ანალიზის პროცედურების განხორციელებისას. </w:t>
      </w:r>
      <w:r w:rsidR="00AF1E90" w:rsidRPr="008270D9">
        <w:rPr>
          <w:rFonts w:ascii="Sylfaen" w:hAnsi="Sylfaen" w:cs="Sylfaen"/>
          <w:sz w:val="22"/>
          <w:szCs w:val="22"/>
          <w:lang w:val="ka-GE"/>
        </w:rPr>
        <w:t xml:space="preserve">ამდენად, </w:t>
      </w:r>
      <w:r w:rsidR="00AF1E90" w:rsidRPr="001A3612">
        <w:rPr>
          <w:rFonts w:ascii="Sylfaen" w:hAnsi="Sylfaen" w:cs="Sylfaen"/>
          <w:sz w:val="22"/>
          <w:szCs w:val="22"/>
          <w:lang w:val="ka-GE"/>
        </w:rPr>
        <w:t xml:space="preserve">“მობილური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 კომისიის 2019 წლის 31 დეკემბრის N გ-20-9/156 გადაწყვეტილებაში ცვლილების შეტანის თაობაზე </w:t>
      </w:r>
      <w:r w:rsidR="00AF1E90" w:rsidRPr="008270D9">
        <w:rPr>
          <w:rFonts w:ascii="Sylfaen" w:hAnsi="Sylfaen" w:cs="Sylfaen"/>
          <w:sz w:val="22"/>
          <w:szCs w:val="22"/>
          <w:lang w:val="ka-GE"/>
        </w:rPr>
        <w:t xml:space="preserve">გამართული საჯარო ადმინისტრაციული წარმოების პროცესში, კომისიამ უნდა გამართოს საჯარო კონსულტაციები, რაც გულისხმობს, რომ კომისიის მიერ მომზადებულ ადმინისტრაციულ-სამართლებრივი აქტის პროექტთან დაკავშირებით ყველა დაინტერესებულ მხარეს მიეცემა </w:t>
      </w:r>
      <w:r w:rsidR="00AF1E90" w:rsidRPr="008270D9">
        <w:rPr>
          <w:rFonts w:ascii="Sylfaen" w:hAnsi="Sylfaen" w:cs="Sylfaen"/>
          <w:sz w:val="22"/>
          <w:szCs w:val="22"/>
          <w:lang w:val="ka-GE"/>
        </w:rPr>
        <w:lastRenderedPageBreak/>
        <w:t>წერილობითი კომენტარების, მოსაზრებების, შენიშვნების, განცხადებების ან/და წინადადებების (შემდგომში - კომენტარების) წარდგენის შესაძლებლობა. დაინტერესებული მხარეების მიერ წარ</w:t>
      </w:r>
      <w:r w:rsidR="00AF1E90">
        <w:rPr>
          <w:rFonts w:ascii="Sylfaen" w:hAnsi="Sylfaen" w:cs="Sylfaen"/>
          <w:sz w:val="22"/>
          <w:szCs w:val="22"/>
          <w:lang w:val="ka-GE"/>
        </w:rPr>
        <w:t>მო</w:t>
      </w:r>
      <w:r w:rsidR="00AF1E90" w:rsidRPr="008270D9">
        <w:rPr>
          <w:rFonts w:ascii="Sylfaen" w:hAnsi="Sylfaen" w:cs="Sylfaen"/>
          <w:sz w:val="22"/>
          <w:szCs w:val="22"/>
          <w:lang w:val="ka-GE"/>
        </w:rPr>
        <w:t xml:space="preserve">დგენილი კომენტარები კომისიის პასუხებთან ერთად საჯაროდ გამოქვეყნდება </w:t>
      </w:r>
      <w:r w:rsidR="00AF1E90">
        <w:rPr>
          <w:rFonts w:ascii="Sylfaen" w:hAnsi="Sylfaen" w:cs="Sylfaen"/>
          <w:sz w:val="22"/>
          <w:szCs w:val="22"/>
          <w:lang w:val="ka-GE"/>
        </w:rPr>
        <w:t>ზეპირი მოსმენის დასრულების შემდეგ, საბოლოო გადაწყვეტილების მიღებიდან 7 სამუშაო დღის ვადაში, კანონით დადგენილი წესით</w:t>
      </w:r>
      <w:r w:rsidR="00AF1E90" w:rsidRPr="008270D9">
        <w:rPr>
          <w:rFonts w:ascii="Sylfaen" w:hAnsi="Sylfaen" w:cs="Sylfaen"/>
          <w:sz w:val="22"/>
          <w:szCs w:val="22"/>
          <w:lang w:val="ka-GE"/>
        </w:rPr>
        <w:t xml:space="preserve">. </w:t>
      </w:r>
    </w:p>
    <w:p w14:paraId="0E7BBBDB" w14:textId="748B0BD8" w:rsidR="00286AEC" w:rsidRDefault="00286AEC" w:rsidP="00AF1E90">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286AEC">
        <w:rPr>
          <w:rFonts w:ascii="Sylfaen" w:hAnsi="Sylfaen" w:cs="Sylfaen"/>
          <w:sz w:val="22"/>
          <w:szCs w:val="22"/>
          <w:lang w:val="ka-GE"/>
        </w:rPr>
        <w:t xml:space="preserve">საჯარო კონსულტაციების გამართვის მიზნით, “მობილური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 კომისიის 2019 წლის 31 დეკემბრის N გ-20-9/156 გადაწყვეტილებაში ცვლილების შეტანის პროექტთან დაკავშირებით, დაინტერესებული მხარეების მიერ კომენტარების წარდგენის ვადად განისაზღვრა </w:t>
      </w:r>
      <w:r w:rsidR="00AC1906">
        <w:rPr>
          <w:rFonts w:ascii="Sylfaen" w:hAnsi="Sylfaen" w:cs="Sylfaen"/>
          <w:sz w:val="22"/>
          <w:szCs w:val="22"/>
          <w:lang w:val="ka-GE"/>
        </w:rPr>
        <w:t>გადაწყვეტილების გამოქვეყნებიდან 30 კალენდარული დღე</w:t>
      </w:r>
      <w:r w:rsidR="00C82405">
        <w:rPr>
          <w:rFonts w:ascii="Sylfaen" w:hAnsi="Sylfaen" w:cs="Sylfaen"/>
          <w:sz w:val="22"/>
          <w:szCs w:val="22"/>
          <w:lang w:val="ka-GE"/>
        </w:rPr>
        <w:t>,</w:t>
      </w:r>
      <w:r w:rsidR="00AC1906">
        <w:rPr>
          <w:rFonts w:ascii="Sylfaen" w:hAnsi="Sylfaen" w:cs="Sylfaen"/>
          <w:sz w:val="22"/>
          <w:szCs w:val="22"/>
          <w:lang w:val="ka-GE"/>
        </w:rPr>
        <w:t xml:space="preserve"> არაუგვიანეს 2023 წლის 20 ივნისსა,</w:t>
      </w:r>
      <w:r w:rsidR="00C82405">
        <w:rPr>
          <w:rFonts w:ascii="Sylfaen" w:hAnsi="Sylfaen" w:cs="Sylfaen"/>
          <w:sz w:val="22"/>
          <w:szCs w:val="22"/>
          <w:lang w:val="ka-GE"/>
        </w:rPr>
        <w:t xml:space="preserve"> </w:t>
      </w:r>
      <w:r>
        <w:rPr>
          <w:rFonts w:ascii="Sylfaen" w:hAnsi="Sylfaen" w:cs="Sylfaen"/>
          <w:sz w:val="22"/>
          <w:szCs w:val="22"/>
          <w:lang w:val="ka-GE"/>
        </w:rPr>
        <w:t>ხოლო ზეპირი მოსმენ</w:t>
      </w:r>
      <w:r w:rsidR="00AC1906">
        <w:rPr>
          <w:rFonts w:ascii="Sylfaen" w:hAnsi="Sylfaen" w:cs="Sylfaen"/>
          <w:sz w:val="22"/>
          <w:szCs w:val="22"/>
          <w:lang w:val="ka-GE"/>
        </w:rPr>
        <w:t xml:space="preserve">ის თარიღად </w:t>
      </w:r>
      <w:r w:rsidRPr="00286AEC">
        <w:rPr>
          <w:rFonts w:ascii="Sylfaen" w:hAnsi="Sylfaen" w:cs="Sylfaen"/>
          <w:sz w:val="22"/>
          <w:szCs w:val="22"/>
          <w:lang w:val="ka-GE"/>
        </w:rPr>
        <w:t>202</w:t>
      </w:r>
      <w:r w:rsidR="00D65C45">
        <w:rPr>
          <w:rFonts w:ascii="Sylfaen" w:hAnsi="Sylfaen" w:cs="Sylfaen"/>
          <w:sz w:val="22"/>
          <w:szCs w:val="22"/>
          <w:lang w:val="ka-GE"/>
        </w:rPr>
        <w:t>3</w:t>
      </w:r>
      <w:r w:rsidRPr="00286AEC">
        <w:rPr>
          <w:rFonts w:ascii="Sylfaen" w:hAnsi="Sylfaen" w:cs="Sylfaen"/>
          <w:sz w:val="22"/>
          <w:szCs w:val="22"/>
          <w:lang w:val="ka-GE"/>
        </w:rPr>
        <w:t xml:space="preserve"> წლის </w:t>
      </w:r>
      <w:r w:rsidR="00C82405">
        <w:rPr>
          <w:rFonts w:ascii="Sylfaen" w:hAnsi="Sylfaen" w:cs="Sylfaen"/>
          <w:sz w:val="22"/>
          <w:szCs w:val="22"/>
          <w:lang w:val="ka-GE"/>
        </w:rPr>
        <w:t>22</w:t>
      </w:r>
      <w:r w:rsidR="00C82405" w:rsidRPr="00286AEC">
        <w:rPr>
          <w:rFonts w:ascii="Sylfaen" w:hAnsi="Sylfaen" w:cs="Sylfaen"/>
          <w:sz w:val="22"/>
          <w:szCs w:val="22"/>
          <w:lang w:val="ka-GE"/>
        </w:rPr>
        <w:t xml:space="preserve"> </w:t>
      </w:r>
      <w:r w:rsidR="00C82405">
        <w:rPr>
          <w:rFonts w:ascii="Sylfaen" w:hAnsi="Sylfaen" w:cs="Sylfaen"/>
          <w:sz w:val="22"/>
          <w:szCs w:val="22"/>
          <w:lang w:val="ka-GE"/>
        </w:rPr>
        <w:t>ივნის</w:t>
      </w:r>
      <w:r w:rsidR="00AC1906">
        <w:rPr>
          <w:rFonts w:ascii="Sylfaen" w:hAnsi="Sylfaen" w:cs="Sylfaen"/>
          <w:sz w:val="22"/>
          <w:szCs w:val="22"/>
          <w:lang w:val="ka-GE"/>
        </w:rPr>
        <w:t>ი</w:t>
      </w:r>
      <w:r w:rsidR="00C82405">
        <w:rPr>
          <w:rFonts w:ascii="Sylfaen" w:hAnsi="Sylfaen" w:cs="Sylfaen"/>
          <w:sz w:val="22"/>
          <w:szCs w:val="22"/>
          <w:lang w:val="ka-GE"/>
        </w:rPr>
        <w:t>,</w:t>
      </w:r>
      <w:r w:rsidR="00C82405" w:rsidRPr="00286AEC">
        <w:rPr>
          <w:rFonts w:ascii="Sylfaen" w:hAnsi="Sylfaen" w:cs="Sylfaen"/>
          <w:sz w:val="22"/>
          <w:szCs w:val="22"/>
          <w:lang w:val="ka-GE"/>
        </w:rPr>
        <w:t xml:space="preserve"> </w:t>
      </w:r>
      <w:r w:rsidRPr="00286AEC">
        <w:rPr>
          <w:rFonts w:ascii="Sylfaen" w:hAnsi="Sylfaen" w:cs="Sylfaen"/>
          <w:sz w:val="22"/>
          <w:szCs w:val="22"/>
          <w:lang w:val="ka-GE"/>
        </w:rPr>
        <w:t>15:00 საათ</w:t>
      </w:r>
      <w:r w:rsidR="005B4CBA">
        <w:rPr>
          <w:rFonts w:ascii="Sylfaen" w:hAnsi="Sylfaen" w:cs="Sylfaen"/>
          <w:sz w:val="22"/>
          <w:szCs w:val="22"/>
          <w:lang w:val="ka-GE"/>
        </w:rPr>
        <w:t>ი</w:t>
      </w:r>
      <w:r w:rsidRPr="00286AEC">
        <w:rPr>
          <w:rFonts w:ascii="Sylfaen" w:hAnsi="Sylfaen" w:cs="Sylfaen"/>
          <w:sz w:val="22"/>
          <w:szCs w:val="22"/>
          <w:lang w:val="ka-GE"/>
        </w:rPr>
        <w:t>.</w:t>
      </w:r>
    </w:p>
    <w:p w14:paraId="2B9F71D0" w14:textId="77777777" w:rsidR="0058026C" w:rsidRPr="001A530E" w:rsidRDefault="00AF1E90" w:rsidP="000218C1">
      <w:pPr>
        <w:pStyle w:val="NormalWeb"/>
        <w:shd w:val="clear" w:color="auto" w:fill="FFFFFF"/>
        <w:spacing w:before="0" w:beforeAutospacing="0" w:after="120" w:afterAutospacing="0" w:line="340" w:lineRule="atLeast"/>
        <w:jc w:val="both"/>
        <w:rPr>
          <w:rFonts w:ascii="Sylfaen" w:hAnsi="Sylfaen" w:cs="Sylfaen"/>
          <w:i/>
          <w:iCs/>
          <w:sz w:val="22"/>
          <w:szCs w:val="22"/>
          <w:lang w:val="ka-GE"/>
        </w:rPr>
      </w:pPr>
      <w:r w:rsidRPr="001A530E">
        <w:rPr>
          <w:rFonts w:ascii="Sylfaen" w:hAnsi="Sylfaen" w:cs="Sylfaen"/>
          <w:i/>
          <w:iCs/>
          <w:sz w:val="22"/>
          <w:szCs w:val="22"/>
          <w:lang w:val="ka-GE"/>
        </w:rPr>
        <w:t xml:space="preserve">საჯარო კონსულტაციების ფარგლებში წარმოდგენილი </w:t>
      </w:r>
      <w:r w:rsidR="00F93B1E" w:rsidRPr="001A530E">
        <w:rPr>
          <w:rFonts w:ascii="Sylfaen" w:hAnsi="Sylfaen" w:cs="Sylfaen"/>
          <w:i/>
          <w:iCs/>
          <w:sz w:val="22"/>
          <w:szCs w:val="22"/>
          <w:lang w:val="ka-GE"/>
        </w:rPr>
        <w:t>კომენტარები და კომისიის პასუხები</w:t>
      </w:r>
      <w:r w:rsidRPr="001A530E">
        <w:rPr>
          <w:rFonts w:ascii="Sylfaen" w:hAnsi="Sylfaen" w:cs="Sylfaen"/>
          <w:i/>
          <w:iCs/>
          <w:sz w:val="22"/>
          <w:szCs w:val="22"/>
          <w:lang w:val="ka-GE"/>
        </w:rPr>
        <w:t xml:space="preserve">:  </w:t>
      </w:r>
    </w:p>
    <w:p w14:paraId="702593CD" w14:textId="13A62B96" w:rsidR="009D2D9E" w:rsidRDefault="009D2D9E" w:rsidP="002C482F">
      <w:pPr>
        <w:pStyle w:val="NormalWeb"/>
        <w:shd w:val="clear" w:color="auto" w:fill="FFFFFF"/>
        <w:spacing w:before="0" w:beforeAutospacing="0" w:after="120" w:afterAutospacing="0" w:line="340" w:lineRule="atLeast"/>
        <w:jc w:val="both"/>
        <w:rPr>
          <w:rFonts w:ascii="Sylfaen" w:hAnsi="Sylfaen" w:cs="Sylfaen"/>
          <w:sz w:val="22"/>
          <w:szCs w:val="22"/>
          <w:lang w:val="ka-GE"/>
        </w:rPr>
      </w:pPr>
      <w:r>
        <w:rPr>
          <w:rFonts w:ascii="Sylfaen" w:hAnsi="Sylfaen"/>
          <w:sz w:val="22"/>
          <w:szCs w:val="22"/>
          <w:lang w:val="ka-GE"/>
        </w:rPr>
        <w:t xml:space="preserve">---- </w:t>
      </w:r>
    </w:p>
    <w:p w14:paraId="3F1D1D20" w14:textId="77777777" w:rsidR="009D2D9E" w:rsidRDefault="009D2D9E" w:rsidP="002C482F">
      <w:pPr>
        <w:pStyle w:val="NormalWeb"/>
        <w:shd w:val="clear" w:color="auto" w:fill="FFFFFF"/>
        <w:spacing w:before="0" w:beforeAutospacing="0" w:after="120" w:afterAutospacing="0" w:line="340" w:lineRule="atLeast"/>
        <w:jc w:val="both"/>
        <w:rPr>
          <w:rFonts w:ascii="Sylfaen" w:hAnsi="Sylfaen" w:cs="Sylfaen"/>
          <w:sz w:val="22"/>
          <w:szCs w:val="22"/>
          <w:lang w:val="ka-GE"/>
        </w:rPr>
      </w:pPr>
    </w:p>
    <w:p w14:paraId="05CD9B10" w14:textId="63F57B8D" w:rsidR="007C619C" w:rsidRPr="00A70D64" w:rsidRDefault="00AF1E90"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bookmarkStart w:id="3" w:name="_Hlk120291148"/>
      <w:r w:rsidRPr="00765B67">
        <w:rPr>
          <w:rFonts w:ascii="Sylfaen" w:hAnsi="Sylfaen" w:cs="Sylfaen"/>
          <w:sz w:val="22"/>
          <w:szCs w:val="22"/>
          <w:lang w:val="ka-GE"/>
        </w:rPr>
        <w:t>ყოველივე ზემოაღნიშნულიდან გამომდინარე, საქართველოს ზოგადი ადმინისტრაციული კოდექსის 63-ე მუხლისა და ამავე კოდექსის VII და IX თავების,</w:t>
      </w:r>
      <w:r>
        <w:rPr>
          <w:rFonts w:ascii="Sylfaen" w:hAnsi="Sylfaen" w:cs="Sylfaen"/>
          <w:sz w:val="22"/>
          <w:szCs w:val="22"/>
          <w:lang w:val="ka-GE"/>
        </w:rPr>
        <w:t xml:space="preserve"> </w:t>
      </w:r>
      <w:r w:rsidRPr="008270D9">
        <w:rPr>
          <w:rFonts w:ascii="Sylfaen" w:hAnsi="Sylfaen" w:cs="Sylfaen"/>
          <w:sz w:val="22"/>
          <w:szCs w:val="22"/>
          <w:lang w:val="ka-GE"/>
        </w:rPr>
        <w:t xml:space="preserve">საქართველოს კომუნიკაციების ეროვნული კომისიის </w:t>
      </w:r>
      <w:r w:rsidR="00DD45B5" w:rsidRPr="004D2B94">
        <w:rPr>
          <w:rFonts w:ascii="Sylfaen" w:hAnsi="Sylfaen" w:cs="Sylfaen"/>
          <w:sz w:val="22"/>
          <w:szCs w:val="22"/>
          <w:lang w:val="ka-GE"/>
        </w:rPr>
        <w:t>2021 წლის 9 დეკემბრის N6  დადგენილებით</w:t>
      </w:r>
      <w:r w:rsidR="00DD45B5">
        <w:rPr>
          <w:rFonts w:ascii="Sylfaen" w:hAnsi="Sylfaen" w:cs="Sylfaen"/>
          <w:sz w:val="22"/>
          <w:szCs w:val="22"/>
          <w:lang w:val="ka-GE"/>
        </w:rPr>
        <w:t xml:space="preserve"> </w:t>
      </w:r>
      <w:r w:rsidR="00DD45B5" w:rsidRPr="004D2B94">
        <w:rPr>
          <w:rFonts w:ascii="Sylfaen" w:hAnsi="Sylfaen" w:cs="Sylfaen"/>
          <w:sz w:val="22"/>
          <w:szCs w:val="22"/>
          <w:lang w:val="ka-GE"/>
        </w:rPr>
        <w:t>დამტკიცებული საჯარო კონსულტაციების მარეგულირებელი წესების</w:t>
      </w:r>
      <w:r w:rsidR="00DD45B5" w:rsidRPr="008270D9">
        <w:rPr>
          <w:rFonts w:ascii="Sylfaen" w:hAnsi="Sylfaen" w:cs="Sylfaen"/>
          <w:sz w:val="22"/>
          <w:szCs w:val="22"/>
          <w:lang w:val="ka-GE"/>
        </w:rPr>
        <w:t xml:space="preserve"> </w:t>
      </w:r>
      <w:r w:rsidRPr="008270D9">
        <w:rPr>
          <w:rFonts w:ascii="Sylfaen" w:hAnsi="Sylfaen" w:cs="Sylfaen"/>
          <w:sz w:val="22"/>
          <w:szCs w:val="22"/>
          <w:lang w:val="ka-GE"/>
        </w:rPr>
        <w:t xml:space="preserve">  </w:t>
      </w:r>
      <w:r w:rsidRPr="00765B67">
        <w:rPr>
          <w:rFonts w:ascii="Sylfaen" w:hAnsi="Sylfaen" w:cs="Sylfaen"/>
          <w:sz w:val="22"/>
          <w:szCs w:val="22"/>
          <w:lang w:val="ka-GE"/>
        </w:rPr>
        <w:t xml:space="preserve"> </w:t>
      </w:r>
      <w:r w:rsidRPr="00C00E03">
        <w:rPr>
          <w:rFonts w:ascii="Sylfaen" w:hAnsi="Sylfaen" w:cs="Sylfaen"/>
          <w:sz w:val="22"/>
          <w:szCs w:val="22"/>
          <w:lang w:val="ka-GE"/>
        </w:rPr>
        <w:t>შესაბამისად</w:t>
      </w:r>
      <w:r>
        <w:rPr>
          <w:rFonts w:ascii="Sylfaen" w:hAnsi="Sylfaen" w:cs="Sylfaen"/>
          <w:sz w:val="22"/>
          <w:szCs w:val="22"/>
          <w:lang w:val="ka-GE"/>
        </w:rPr>
        <w:t xml:space="preserve">, </w:t>
      </w:r>
      <w:bookmarkEnd w:id="3"/>
      <w:r w:rsidRPr="00765B67">
        <w:rPr>
          <w:rFonts w:ascii="Sylfaen" w:hAnsi="Sylfaen" w:cs="Sylfaen"/>
          <w:sz w:val="22"/>
          <w:szCs w:val="22"/>
          <w:lang w:val="ka-GE"/>
        </w:rPr>
        <w:t xml:space="preserve">კომისიამ კენჭისყრის შედეგად, </w:t>
      </w:r>
    </w:p>
    <w:p w14:paraId="2C688F86" w14:textId="5C39B96F" w:rsidR="00343322" w:rsidRPr="00965DCA" w:rsidRDefault="00343322" w:rsidP="00190E8B">
      <w:pPr>
        <w:pStyle w:val="NormalWeb"/>
        <w:shd w:val="clear" w:color="auto" w:fill="FFFFFF"/>
        <w:spacing w:before="0" w:beforeAutospacing="0" w:after="120" w:afterAutospacing="0" w:line="340" w:lineRule="atLeast"/>
        <w:jc w:val="both"/>
        <w:rPr>
          <w:rFonts w:ascii="Sylfaen" w:hAnsi="Sylfaen" w:cs="Sylfaen"/>
          <w:sz w:val="22"/>
          <w:szCs w:val="22"/>
          <w:lang w:val="ka-GE"/>
        </w:rPr>
      </w:pPr>
    </w:p>
    <w:p w14:paraId="4256DD06" w14:textId="40026D21" w:rsidR="00343322" w:rsidRDefault="00343322" w:rsidP="00343322">
      <w:pPr>
        <w:jc w:val="both"/>
        <w:rPr>
          <w:rFonts w:ascii="Sylfaen" w:hAnsi="Sylfaen"/>
          <w:b/>
          <w:bCs/>
          <w:lang w:val="ka-GE"/>
        </w:rPr>
      </w:pPr>
      <w:r w:rsidRPr="009E0A1A">
        <w:rPr>
          <w:rFonts w:ascii="Sylfaen" w:hAnsi="Sylfaen"/>
          <w:b/>
          <w:bCs/>
          <w:lang w:val="ka-GE"/>
        </w:rPr>
        <w:t>გადაწყვიტა:</w:t>
      </w:r>
    </w:p>
    <w:p w14:paraId="3821716B" w14:textId="77777777" w:rsidR="000218C1" w:rsidRPr="009E0A1A" w:rsidRDefault="000218C1" w:rsidP="00343322">
      <w:pPr>
        <w:jc w:val="both"/>
        <w:rPr>
          <w:rFonts w:ascii="Sylfaen" w:hAnsi="Sylfaen"/>
          <w:b/>
          <w:bCs/>
          <w:lang w:val="ka-GE"/>
        </w:rPr>
      </w:pPr>
    </w:p>
    <w:p w14:paraId="3F0AE2D6" w14:textId="1758003E" w:rsidR="00796B8C" w:rsidRPr="000218C1" w:rsidRDefault="00796B8C"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 xml:space="preserve">1. </w:t>
      </w:r>
      <w:r w:rsidR="00030F15">
        <w:rPr>
          <w:rFonts w:ascii="Sylfaen" w:hAnsi="Sylfaen" w:cs="Sylfaen"/>
          <w:sz w:val="22"/>
          <w:szCs w:val="22"/>
          <w:lang w:val="ka-GE"/>
        </w:rPr>
        <w:t xml:space="preserve">შევიდეს ცვლილება </w:t>
      </w:r>
      <w:r w:rsidR="00CD4EED" w:rsidRPr="000218C1">
        <w:rPr>
          <w:rFonts w:ascii="Sylfaen" w:hAnsi="Sylfaen" w:cs="Sylfaen"/>
          <w:sz w:val="22"/>
          <w:szCs w:val="22"/>
          <w:lang w:val="ka-GE"/>
        </w:rPr>
        <w:t xml:space="preserve">“მობილური ქსელით მომსახურების საბითუმო ბაზრის შესაბამის სეგმენტზე კონკურენციის კვლევისა და ანალიზის შედეგების შესახებ” კომისიის 2019 წლის 31 დეკემბრის N გ-20-9/156 გადაწყვეტილებაში და </w:t>
      </w:r>
      <w:r w:rsidRPr="000218C1">
        <w:rPr>
          <w:rFonts w:ascii="Sylfaen" w:hAnsi="Sylfaen" w:cs="Sylfaen"/>
          <w:sz w:val="22"/>
          <w:szCs w:val="22"/>
          <w:lang w:val="ka-GE"/>
        </w:rPr>
        <w:t xml:space="preserve">ამ გადაწყვეტილების </w:t>
      </w:r>
      <w:r w:rsidRPr="00796B8C">
        <w:rPr>
          <w:rFonts w:ascii="Sylfaen" w:hAnsi="Sylfaen" w:cs="Sylfaen"/>
          <w:sz w:val="22"/>
          <w:szCs w:val="22"/>
          <w:lang w:val="ka-GE"/>
        </w:rPr>
        <w:t>3.1.</w:t>
      </w:r>
      <w:r w:rsidRPr="000218C1">
        <w:rPr>
          <w:rFonts w:ascii="Sylfaen" w:hAnsi="Sylfaen" w:cs="Sylfaen"/>
          <w:sz w:val="22"/>
          <w:szCs w:val="22"/>
          <w:lang w:val="ka-GE"/>
        </w:rPr>
        <w:t xml:space="preserve"> </w:t>
      </w:r>
      <w:r w:rsidRPr="00796B8C">
        <w:rPr>
          <w:rFonts w:ascii="Sylfaen" w:hAnsi="Sylfaen" w:cs="Sylfaen"/>
          <w:sz w:val="22"/>
          <w:szCs w:val="22"/>
          <w:lang w:val="ka-GE"/>
        </w:rPr>
        <w:t>პუნქტი ჩამოყალიბდეს შემდეგი რედაქციით: </w:t>
      </w:r>
    </w:p>
    <w:p w14:paraId="1FAD1445" w14:textId="72198436" w:rsidR="00796B8C" w:rsidRPr="00796B8C" w:rsidRDefault="00796B8C"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796B8C">
        <w:rPr>
          <w:rFonts w:ascii="Sylfaen" w:hAnsi="Sylfaen" w:cs="Sylfaen"/>
          <w:sz w:val="22"/>
          <w:szCs w:val="22"/>
          <w:lang w:val="ka-GE"/>
        </w:rPr>
        <w:t xml:space="preserve">„3.1 ინფორმაციის გამჭვირვალობის უზრუნველყოფის ვალდებულება, შემდეგი კონკრეტული პირობებით: მნიშვნელოვანი საბაზრო ძალაუფლების მქონე ავტორიზებული პირი ვალდებულია გამოაქვეყნოს მობილური ვირტუალური ქსელის ოპერატორის (MVNO) საკუთარი ქსელის შესაბამის ელემენტებთან დაშვების შეთავაზების წინადადება (მოწვევის ოფერტა), </w:t>
      </w:r>
      <w:r w:rsidR="002C482F" w:rsidRPr="00C2545B">
        <w:rPr>
          <w:rFonts w:ascii="Sylfaen" w:hAnsi="Sylfaen" w:cs="Sylfaen"/>
          <w:sz w:val="22"/>
          <w:szCs w:val="22"/>
          <w:lang w:val="ka-GE"/>
        </w:rPr>
        <w:t xml:space="preserve">არაუგვიანეს </w:t>
      </w:r>
      <w:r w:rsidR="00C87908" w:rsidRPr="00C2545B">
        <w:rPr>
          <w:rFonts w:ascii="Sylfaen" w:hAnsi="Sylfaen" w:cs="Sylfaen"/>
          <w:sz w:val="22"/>
          <w:szCs w:val="22"/>
          <w:lang w:val="ka-GE"/>
        </w:rPr>
        <w:t>202</w:t>
      </w:r>
      <w:r w:rsidR="00C87908">
        <w:rPr>
          <w:rFonts w:ascii="Sylfaen" w:hAnsi="Sylfaen" w:cs="Sylfaen"/>
          <w:sz w:val="22"/>
          <w:szCs w:val="22"/>
          <w:lang w:val="ka-GE"/>
        </w:rPr>
        <w:t>4</w:t>
      </w:r>
      <w:r w:rsidR="00C87908" w:rsidRPr="00C2545B">
        <w:rPr>
          <w:rFonts w:ascii="Sylfaen" w:hAnsi="Sylfaen" w:cs="Sylfaen"/>
          <w:sz w:val="22"/>
          <w:szCs w:val="22"/>
          <w:lang w:val="ka-GE"/>
        </w:rPr>
        <w:t xml:space="preserve"> </w:t>
      </w:r>
      <w:r w:rsidR="002C482F" w:rsidRPr="00C2545B">
        <w:rPr>
          <w:rFonts w:ascii="Sylfaen" w:hAnsi="Sylfaen" w:cs="Sylfaen"/>
          <w:sz w:val="22"/>
          <w:szCs w:val="22"/>
          <w:lang w:val="ka-GE"/>
        </w:rPr>
        <w:t>წლის 30 ივნისისა</w:t>
      </w:r>
      <w:r w:rsidRPr="00C2545B">
        <w:rPr>
          <w:rFonts w:ascii="Sylfaen" w:hAnsi="Sylfaen" w:cs="Sylfaen"/>
          <w:sz w:val="22"/>
          <w:szCs w:val="22"/>
          <w:lang w:val="ka-GE"/>
        </w:rPr>
        <w:t>.</w:t>
      </w:r>
      <w:r w:rsidRPr="00796B8C">
        <w:rPr>
          <w:rFonts w:ascii="Sylfaen" w:hAnsi="Sylfaen" w:cs="Sylfaen"/>
          <w:sz w:val="22"/>
          <w:szCs w:val="22"/>
          <w:lang w:val="ka-GE"/>
        </w:rPr>
        <w:t> მოწვევის ოფერტა უნდა შეიცავდეს დეტალურ ინფორმაციას: შეთავაზებული ტექნოლოგიების, მომსახურების ტიპების, ქსელური ელემენტების (ქვესისტემების დონეზე) ჩამონათვალს და მათთან დაშვების პირობებს, ნუმერაციის რესურსის გამოყენების პირობებს;“</w:t>
      </w:r>
    </w:p>
    <w:p w14:paraId="0C11FA8F" w14:textId="77777777" w:rsidR="00CD4EED" w:rsidRPr="000218C1" w:rsidRDefault="00CD4EED"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 xml:space="preserve">2. გადაწყვეტილება ძალაში შევიდეს კომისიის სხდომაზე გამოცხადებისთანავე; </w:t>
      </w:r>
    </w:p>
    <w:p w14:paraId="28C5FBF8" w14:textId="58EF9C93" w:rsidR="00CD4EED" w:rsidRPr="000218C1" w:rsidRDefault="00CD4EED"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lastRenderedPageBreak/>
        <w:t xml:space="preserve">3. დაევალოს კომისიის აპარატის ადმინისტრაციას (ო. ვოტ) წინამდებარე გადაწყვეტილების დამოწმებული ასლის შპს „მაგთიკომისთვის“, სს „სილქნეტისთვის“ და შპს </w:t>
      </w:r>
      <w:r w:rsidR="009171F4">
        <w:rPr>
          <w:rFonts w:ascii="Sylfaen" w:hAnsi="Sylfaen" w:cs="Sylfaen"/>
          <w:sz w:val="22"/>
          <w:szCs w:val="22"/>
          <w:lang w:val="ka-GE"/>
        </w:rPr>
        <w:t>სელფი მობაილისთვის</w:t>
      </w:r>
      <w:r w:rsidRPr="000218C1">
        <w:rPr>
          <w:rFonts w:ascii="Sylfaen" w:hAnsi="Sylfaen" w:cs="Sylfaen"/>
          <w:sz w:val="22"/>
          <w:szCs w:val="22"/>
          <w:lang w:val="ka-GE"/>
        </w:rPr>
        <w:t xml:space="preserve">“ გაგზავნა და კომისიის ვებგვერდზე (www.comcom.ge) გამოქვეყნება; </w:t>
      </w:r>
    </w:p>
    <w:p w14:paraId="4E601F87" w14:textId="77777777" w:rsidR="00CD4EED" w:rsidRPr="000218C1" w:rsidRDefault="00CD4EED"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4. გადაწყვეტილება შეიძლება გასაჩივრდეს ქ. თბილისის საქალაქო სასამართლოს ადმინისტრაციულ საქმეთა კოლეგიაში (მისამართი: ქ. თბილისი, დავით აღმაშენებლის ხეივანი №64) მხარეებისთვის გადაწყვეტილების დამოწმებული ასლის ჩაბარების დღიდან ერთი თვის ვადაში.</w:t>
      </w:r>
    </w:p>
    <w:p w14:paraId="58A64DFE" w14:textId="77777777" w:rsidR="00CD4EED" w:rsidRPr="000218C1" w:rsidRDefault="00CD4EED" w:rsidP="000218C1">
      <w:pPr>
        <w:pStyle w:val="NormalWeb"/>
        <w:shd w:val="clear" w:color="auto" w:fill="FFFFFF"/>
        <w:spacing w:before="0" w:beforeAutospacing="0" w:after="120" w:afterAutospacing="0" w:line="340" w:lineRule="atLeast"/>
        <w:jc w:val="both"/>
        <w:rPr>
          <w:rFonts w:ascii="Sylfaen" w:hAnsi="Sylfaen" w:cs="Sylfaen"/>
          <w:sz w:val="22"/>
          <w:szCs w:val="22"/>
          <w:lang w:val="ka-GE"/>
        </w:rPr>
      </w:pPr>
      <w:r w:rsidRPr="000218C1">
        <w:rPr>
          <w:rFonts w:ascii="Sylfaen" w:hAnsi="Sylfaen" w:cs="Sylfaen"/>
          <w:sz w:val="22"/>
          <w:szCs w:val="22"/>
          <w:lang w:val="ka-GE"/>
        </w:rPr>
        <w:t>5. კონტროლი აღნიშნული გადაწყვეტილების შესრულებაზე დაევალოს კომისიის აპარატის სატელეკომუნიკაციო ბაზრის რეგულირების დეპარტამენტს (ე. სიჭინავა).</w:t>
      </w:r>
    </w:p>
    <w:p w14:paraId="30524F85" w14:textId="77777777" w:rsidR="00673A56" w:rsidRPr="000218C1" w:rsidRDefault="00673A56" w:rsidP="000218C1">
      <w:pPr>
        <w:pStyle w:val="NormalWeb"/>
        <w:shd w:val="clear" w:color="auto" w:fill="FFFFFF"/>
        <w:spacing w:before="0" w:beforeAutospacing="0" w:after="120" w:afterAutospacing="0" w:line="340" w:lineRule="atLeast"/>
        <w:jc w:val="both"/>
        <w:rPr>
          <w:rFonts w:ascii="Sylfaen" w:hAnsi="Sylfaen" w:cs="Sylfaen"/>
          <w:color w:val="0070C0"/>
          <w:sz w:val="22"/>
          <w:szCs w:val="22"/>
          <w:lang w:val="ka-GE"/>
        </w:rPr>
      </w:pPr>
    </w:p>
    <w:sectPr w:rsidR="00673A56" w:rsidRPr="000218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DA2E4" w14:textId="77777777" w:rsidR="003509DB" w:rsidRDefault="003509DB" w:rsidP="00A321F9">
      <w:r>
        <w:separator/>
      </w:r>
    </w:p>
  </w:endnote>
  <w:endnote w:type="continuationSeparator" w:id="0">
    <w:p w14:paraId="2431D664" w14:textId="77777777" w:rsidR="003509DB" w:rsidRDefault="003509DB" w:rsidP="00A32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82E77" w14:textId="77777777" w:rsidR="003509DB" w:rsidRDefault="003509DB" w:rsidP="00A321F9">
      <w:r>
        <w:separator/>
      </w:r>
    </w:p>
  </w:footnote>
  <w:footnote w:type="continuationSeparator" w:id="0">
    <w:p w14:paraId="483E4AF0" w14:textId="77777777" w:rsidR="003509DB" w:rsidRDefault="003509DB" w:rsidP="00A32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072EAC"/>
    <w:multiLevelType w:val="hybridMultilevel"/>
    <w:tmpl w:val="BF3A9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606E76"/>
    <w:multiLevelType w:val="hybridMultilevel"/>
    <w:tmpl w:val="E4B47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7566663">
    <w:abstractNumId w:val="0"/>
  </w:num>
  <w:num w:numId="2" w16cid:durableId="376511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C4A"/>
    <w:rsid w:val="000011A6"/>
    <w:rsid w:val="00002353"/>
    <w:rsid w:val="00005648"/>
    <w:rsid w:val="00016B1C"/>
    <w:rsid w:val="000214B9"/>
    <w:rsid w:val="000218C1"/>
    <w:rsid w:val="00030F15"/>
    <w:rsid w:val="000451F8"/>
    <w:rsid w:val="000453AC"/>
    <w:rsid w:val="00050507"/>
    <w:rsid w:val="0007506B"/>
    <w:rsid w:val="0008674F"/>
    <w:rsid w:val="000950B8"/>
    <w:rsid w:val="000A0242"/>
    <w:rsid w:val="000A37C1"/>
    <w:rsid w:val="000A58CA"/>
    <w:rsid w:val="000A6863"/>
    <w:rsid w:val="000A6CF9"/>
    <w:rsid w:val="000B1220"/>
    <w:rsid w:val="000C657B"/>
    <w:rsid w:val="000D3308"/>
    <w:rsid w:val="000E3DC1"/>
    <w:rsid w:val="000E5032"/>
    <w:rsid w:val="000F22CA"/>
    <w:rsid w:val="000F7B8D"/>
    <w:rsid w:val="00101B42"/>
    <w:rsid w:val="001047AE"/>
    <w:rsid w:val="00106DD2"/>
    <w:rsid w:val="00117D2D"/>
    <w:rsid w:val="001265F9"/>
    <w:rsid w:val="00130231"/>
    <w:rsid w:val="00132924"/>
    <w:rsid w:val="00154672"/>
    <w:rsid w:val="001568D5"/>
    <w:rsid w:val="00173261"/>
    <w:rsid w:val="00176C1F"/>
    <w:rsid w:val="0018178F"/>
    <w:rsid w:val="00190E8B"/>
    <w:rsid w:val="00194FF6"/>
    <w:rsid w:val="00196326"/>
    <w:rsid w:val="00196ADC"/>
    <w:rsid w:val="001A21E2"/>
    <w:rsid w:val="001A530E"/>
    <w:rsid w:val="001B2AD7"/>
    <w:rsid w:val="001B6E6F"/>
    <w:rsid w:val="001B73F8"/>
    <w:rsid w:val="001D1ABA"/>
    <w:rsid w:val="001D1C2B"/>
    <w:rsid w:val="001E43C3"/>
    <w:rsid w:val="001F1584"/>
    <w:rsid w:val="002044CA"/>
    <w:rsid w:val="00224D13"/>
    <w:rsid w:val="00224E62"/>
    <w:rsid w:val="00230057"/>
    <w:rsid w:val="002331C7"/>
    <w:rsid w:val="00240D91"/>
    <w:rsid w:val="00260809"/>
    <w:rsid w:val="00260D93"/>
    <w:rsid w:val="002656BC"/>
    <w:rsid w:val="00266F85"/>
    <w:rsid w:val="00270862"/>
    <w:rsid w:val="00271676"/>
    <w:rsid w:val="00286AEC"/>
    <w:rsid w:val="0029341A"/>
    <w:rsid w:val="002A0FFD"/>
    <w:rsid w:val="002A545E"/>
    <w:rsid w:val="002B28E1"/>
    <w:rsid w:val="002C482F"/>
    <w:rsid w:val="002D0DF0"/>
    <w:rsid w:val="002D47A5"/>
    <w:rsid w:val="002D7640"/>
    <w:rsid w:val="002E4045"/>
    <w:rsid w:val="002E5746"/>
    <w:rsid w:val="0031078C"/>
    <w:rsid w:val="00310F12"/>
    <w:rsid w:val="003160BA"/>
    <w:rsid w:val="00326E45"/>
    <w:rsid w:val="003279B3"/>
    <w:rsid w:val="00336CC7"/>
    <w:rsid w:val="00343322"/>
    <w:rsid w:val="003509DB"/>
    <w:rsid w:val="003601B7"/>
    <w:rsid w:val="003669F3"/>
    <w:rsid w:val="00377C29"/>
    <w:rsid w:val="003902E2"/>
    <w:rsid w:val="003A40B2"/>
    <w:rsid w:val="003B38E8"/>
    <w:rsid w:val="003C30B5"/>
    <w:rsid w:val="003D70AC"/>
    <w:rsid w:val="003D7798"/>
    <w:rsid w:val="003E6A11"/>
    <w:rsid w:val="003F76CC"/>
    <w:rsid w:val="0040145D"/>
    <w:rsid w:val="004111A5"/>
    <w:rsid w:val="0041484E"/>
    <w:rsid w:val="004238C0"/>
    <w:rsid w:val="00423C6C"/>
    <w:rsid w:val="004315C3"/>
    <w:rsid w:val="00434514"/>
    <w:rsid w:val="00435910"/>
    <w:rsid w:val="0043776B"/>
    <w:rsid w:val="004443F5"/>
    <w:rsid w:val="0044596C"/>
    <w:rsid w:val="0046294E"/>
    <w:rsid w:val="00470C8D"/>
    <w:rsid w:val="00476A06"/>
    <w:rsid w:val="00480192"/>
    <w:rsid w:val="00480A6D"/>
    <w:rsid w:val="00487FF2"/>
    <w:rsid w:val="004A1FC7"/>
    <w:rsid w:val="004A2C5E"/>
    <w:rsid w:val="004B147B"/>
    <w:rsid w:val="004B1562"/>
    <w:rsid w:val="004C0311"/>
    <w:rsid w:val="004C3A80"/>
    <w:rsid w:val="004D2B94"/>
    <w:rsid w:val="004E517E"/>
    <w:rsid w:val="005073B8"/>
    <w:rsid w:val="005133E4"/>
    <w:rsid w:val="005163F7"/>
    <w:rsid w:val="005272F3"/>
    <w:rsid w:val="00531A51"/>
    <w:rsid w:val="00541484"/>
    <w:rsid w:val="005441B2"/>
    <w:rsid w:val="00557723"/>
    <w:rsid w:val="005654AC"/>
    <w:rsid w:val="0058026C"/>
    <w:rsid w:val="00582D2A"/>
    <w:rsid w:val="00585067"/>
    <w:rsid w:val="0058596F"/>
    <w:rsid w:val="00586515"/>
    <w:rsid w:val="005961D4"/>
    <w:rsid w:val="005A4892"/>
    <w:rsid w:val="005B232F"/>
    <w:rsid w:val="005B33EE"/>
    <w:rsid w:val="005B4CBA"/>
    <w:rsid w:val="005B5A42"/>
    <w:rsid w:val="005C5B20"/>
    <w:rsid w:val="005D09BF"/>
    <w:rsid w:val="005E65E4"/>
    <w:rsid w:val="005F1AD5"/>
    <w:rsid w:val="0060747C"/>
    <w:rsid w:val="00612444"/>
    <w:rsid w:val="006175B7"/>
    <w:rsid w:val="006222DA"/>
    <w:rsid w:val="00624064"/>
    <w:rsid w:val="0062435F"/>
    <w:rsid w:val="00631FA1"/>
    <w:rsid w:val="006328CA"/>
    <w:rsid w:val="00633890"/>
    <w:rsid w:val="00637BAF"/>
    <w:rsid w:val="00644F74"/>
    <w:rsid w:val="00652DA4"/>
    <w:rsid w:val="00652E33"/>
    <w:rsid w:val="006563F6"/>
    <w:rsid w:val="00660F8D"/>
    <w:rsid w:val="00665F0E"/>
    <w:rsid w:val="00666302"/>
    <w:rsid w:val="00673A56"/>
    <w:rsid w:val="00685064"/>
    <w:rsid w:val="006A2F9A"/>
    <w:rsid w:val="006A43A9"/>
    <w:rsid w:val="006B10CD"/>
    <w:rsid w:val="006C3733"/>
    <w:rsid w:val="006D200F"/>
    <w:rsid w:val="006D4A6A"/>
    <w:rsid w:val="006E2318"/>
    <w:rsid w:val="006F7B08"/>
    <w:rsid w:val="00705740"/>
    <w:rsid w:val="00707FFD"/>
    <w:rsid w:val="00710957"/>
    <w:rsid w:val="00714050"/>
    <w:rsid w:val="007142F0"/>
    <w:rsid w:val="0072139E"/>
    <w:rsid w:val="0073685F"/>
    <w:rsid w:val="00761BFC"/>
    <w:rsid w:val="00765B67"/>
    <w:rsid w:val="00771FCC"/>
    <w:rsid w:val="0078489E"/>
    <w:rsid w:val="00795E75"/>
    <w:rsid w:val="00796B8C"/>
    <w:rsid w:val="007A20F2"/>
    <w:rsid w:val="007A365F"/>
    <w:rsid w:val="007A471F"/>
    <w:rsid w:val="007B74C8"/>
    <w:rsid w:val="007C31B9"/>
    <w:rsid w:val="007C619C"/>
    <w:rsid w:val="007E296D"/>
    <w:rsid w:val="007F4396"/>
    <w:rsid w:val="007F4A92"/>
    <w:rsid w:val="007F689A"/>
    <w:rsid w:val="00802E81"/>
    <w:rsid w:val="0080325C"/>
    <w:rsid w:val="008036C2"/>
    <w:rsid w:val="00810D2D"/>
    <w:rsid w:val="00817622"/>
    <w:rsid w:val="00820658"/>
    <w:rsid w:val="00847B11"/>
    <w:rsid w:val="00851A3F"/>
    <w:rsid w:val="0086090D"/>
    <w:rsid w:val="00872C14"/>
    <w:rsid w:val="00873919"/>
    <w:rsid w:val="00880432"/>
    <w:rsid w:val="00894F6B"/>
    <w:rsid w:val="008A2ABB"/>
    <w:rsid w:val="008A4690"/>
    <w:rsid w:val="008A54F5"/>
    <w:rsid w:val="008B3E04"/>
    <w:rsid w:val="008C2945"/>
    <w:rsid w:val="008F40C8"/>
    <w:rsid w:val="008F4345"/>
    <w:rsid w:val="0090404A"/>
    <w:rsid w:val="00912FD5"/>
    <w:rsid w:val="00916D4D"/>
    <w:rsid w:val="009171F4"/>
    <w:rsid w:val="00926C86"/>
    <w:rsid w:val="009273E2"/>
    <w:rsid w:val="0093167D"/>
    <w:rsid w:val="009347E3"/>
    <w:rsid w:val="00936064"/>
    <w:rsid w:val="00945DFA"/>
    <w:rsid w:val="009460E4"/>
    <w:rsid w:val="00965900"/>
    <w:rsid w:val="00965DCA"/>
    <w:rsid w:val="00967BDA"/>
    <w:rsid w:val="009818DE"/>
    <w:rsid w:val="00986F7C"/>
    <w:rsid w:val="00987C39"/>
    <w:rsid w:val="00990988"/>
    <w:rsid w:val="00995F32"/>
    <w:rsid w:val="009A3DB8"/>
    <w:rsid w:val="009A7246"/>
    <w:rsid w:val="009B1461"/>
    <w:rsid w:val="009D2D9E"/>
    <w:rsid w:val="009D521E"/>
    <w:rsid w:val="009D6572"/>
    <w:rsid w:val="009E0A1A"/>
    <w:rsid w:val="009F0B09"/>
    <w:rsid w:val="009F0BA2"/>
    <w:rsid w:val="009F4A6F"/>
    <w:rsid w:val="00A007A1"/>
    <w:rsid w:val="00A0683A"/>
    <w:rsid w:val="00A16CB1"/>
    <w:rsid w:val="00A31738"/>
    <w:rsid w:val="00A321F9"/>
    <w:rsid w:val="00A32A37"/>
    <w:rsid w:val="00A34D99"/>
    <w:rsid w:val="00A55A93"/>
    <w:rsid w:val="00A56B69"/>
    <w:rsid w:val="00A70628"/>
    <w:rsid w:val="00A70D64"/>
    <w:rsid w:val="00A81045"/>
    <w:rsid w:val="00A83FB2"/>
    <w:rsid w:val="00A84411"/>
    <w:rsid w:val="00A868ED"/>
    <w:rsid w:val="00A877AA"/>
    <w:rsid w:val="00A933CF"/>
    <w:rsid w:val="00A94A97"/>
    <w:rsid w:val="00AB087D"/>
    <w:rsid w:val="00AB5D48"/>
    <w:rsid w:val="00AC1906"/>
    <w:rsid w:val="00AC5A99"/>
    <w:rsid w:val="00AD41F7"/>
    <w:rsid w:val="00AF1E90"/>
    <w:rsid w:val="00B0064A"/>
    <w:rsid w:val="00B00B17"/>
    <w:rsid w:val="00B04485"/>
    <w:rsid w:val="00B23988"/>
    <w:rsid w:val="00B26C84"/>
    <w:rsid w:val="00B46FCE"/>
    <w:rsid w:val="00B50E3F"/>
    <w:rsid w:val="00B61EA5"/>
    <w:rsid w:val="00B675BA"/>
    <w:rsid w:val="00B81C7F"/>
    <w:rsid w:val="00B83385"/>
    <w:rsid w:val="00BA0BEA"/>
    <w:rsid w:val="00BA3FC7"/>
    <w:rsid w:val="00BA78C3"/>
    <w:rsid w:val="00BB2AE9"/>
    <w:rsid w:val="00BC1E08"/>
    <w:rsid w:val="00BC65BE"/>
    <w:rsid w:val="00BD3FE4"/>
    <w:rsid w:val="00BE4AF1"/>
    <w:rsid w:val="00BE6528"/>
    <w:rsid w:val="00BF3B7B"/>
    <w:rsid w:val="00C01BA4"/>
    <w:rsid w:val="00C120F5"/>
    <w:rsid w:val="00C12EAD"/>
    <w:rsid w:val="00C243A9"/>
    <w:rsid w:val="00C2545B"/>
    <w:rsid w:val="00C417BC"/>
    <w:rsid w:val="00C56255"/>
    <w:rsid w:val="00C60551"/>
    <w:rsid w:val="00C82405"/>
    <w:rsid w:val="00C87908"/>
    <w:rsid w:val="00C90FBC"/>
    <w:rsid w:val="00CA378B"/>
    <w:rsid w:val="00CA699C"/>
    <w:rsid w:val="00CB0073"/>
    <w:rsid w:val="00CB11EB"/>
    <w:rsid w:val="00CB1314"/>
    <w:rsid w:val="00CB1E46"/>
    <w:rsid w:val="00CB5F15"/>
    <w:rsid w:val="00CC3843"/>
    <w:rsid w:val="00CD0673"/>
    <w:rsid w:val="00CD4EED"/>
    <w:rsid w:val="00CD5F54"/>
    <w:rsid w:val="00CE73F8"/>
    <w:rsid w:val="00CF27DC"/>
    <w:rsid w:val="00CF5817"/>
    <w:rsid w:val="00CF73E5"/>
    <w:rsid w:val="00CF7FF6"/>
    <w:rsid w:val="00D0486B"/>
    <w:rsid w:val="00D207A1"/>
    <w:rsid w:val="00D2235F"/>
    <w:rsid w:val="00D35411"/>
    <w:rsid w:val="00D3788F"/>
    <w:rsid w:val="00D40673"/>
    <w:rsid w:val="00D450D6"/>
    <w:rsid w:val="00D50BBF"/>
    <w:rsid w:val="00D5761E"/>
    <w:rsid w:val="00D63331"/>
    <w:rsid w:val="00D65C45"/>
    <w:rsid w:val="00D738D1"/>
    <w:rsid w:val="00D7641A"/>
    <w:rsid w:val="00D842AC"/>
    <w:rsid w:val="00D874D2"/>
    <w:rsid w:val="00D91EE4"/>
    <w:rsid w:val="00D93A82"/>
    <w:rsid w:val="00DA0DE6"/>
    <w:rsid w:val="00DA7497"/>
    <w:rsid w:val="00DB304F"/>
    <w:rsid w:val="00DB357C"/>
    <w:rsid w:val="00DC2E2D"/>
    <w:rsid w:val="00DC3605"/>
    <w:rsid w:val="00DD45B5"/>
    <w:rsid w:val="00DD48AE"/>
    <w:rsid w:val="00DD5EDC"/>
    <w:rsid w:val="00DE5C83"/>
    <w:rsid w:val="00DF4D75"/>
    <w:rsid w:val="00E202BF"/>
    <w:rsid w:val="00E21312"/>
    <w:rsid w:val="00E339EB"/>
    <w:rsid w:val="00E35807"/>
    <w:rsid w:val="00E454A0"/>
    <w:rsid w:val="00E4713A"/>
    <w:rsid w:val="00E51819"/>
    <w:rsid w:val="00E51B18"/>
    <w:rsid w:val="00E54F71"/>
    <w:rsid w:val="00E6431C"/>
    <w:rsid w:val="00E6685F"/>
    <w:rsid w:val="00E82363"/>
    <w:rsid w:val="00E91D64"/>
    <w:rsid w:val="00E935B1"/>
    <w:rsid w:val="00E95282"/>
    <w:rsid w:val="00E9747B"/>
    <w:rsid w:val="00EA4E4B"/>
    <w:rsid w:val="00EA6B07"/>
    <w:rsid w:val="00EB5930"/>
    <w:rsid w:val="00EC1A0E"/>
    <w:rsid w:val="00ED3455"/>
    <w:rsid w:val="00ED60E7"/>
    <w:rsid w:val="00ED6FAD"/>
    <w:rsid w:val="00EF0D32"/>
    <w:rsid w:val="00EF4FB9"/>
    <w:rsid w:val="00F02C4A"/>
    <w:rsid w:val="00F033F4"/>
    <w:rsid w:val="00F04430"/>
    <w:rsid w:val="00F1166A"/>
    <w:rsid w:val="00F11E8F"/>
    <w:rsid w:val="00F25897"/>
    <w:rsid w:val="00F269D6"/>
    <w:rsid w:val="00F307C0"/>
    <w:rsid w:val="00F32FC1"/>
    <w:rsid w:val="00F358E8"/>
    <w:rsid w:val="00F36DEF"/>
    <w:rsid w:val="00F52369"/>
    <w:rsid w:val="00F53E94"/>
    <w:rsid w:val="00F548CB"/>
    <w:rsid w:val="00F60BA2"/>
    <w:rsid w:val="00F6397D"/>
    <w:rsid w:val="00F63E53"/>
    <w:rsid w:val="00F66212"/>
    <w:rsid w:val="00F7293E"/>
    <w:rsid w:val="00F76D62"/>
    <w:rsid w:val="00F77949"/>
    <w:rsid w:val="00F87A8B"/>
    <w:rsid w:val="00F93B1E"/>
    <w:rsid w:val="00FA3228"/>
    <w:rsid w:val="00FB6F8F"/>
    <w:rsid w:val="00FC10A0"/>
    <w:rsid w:val="00FC5DBC"/>
    <w:rsid w:val="00FC6894"/>
    <w:rsid w:val="00FD07EF"/>
    <w:rsid w:val="00FD36BD"/>
    <w:rsid w:val="00FD40EA"/>
    <w:rsid w:val="00FD4C6C"/>
    <w:rsid w:val="00FE1F4F"/>
    <w:rsid w:val="00FE2019"/>
    <w:rsid w:val="00FF2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D016"/>
  <w15:chartTrackingRefBased/>
  <w15:docId w15:val="{170B4516-695F-401E-9140-F072682C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C4A"/>
    <w:pPr>
      <w:spacing w:after="0" w:line="240" w:lineRule="auto"/>
    </w:pPr>
    <w:rPr>
      <w:rFonts w:ascii="Calibri" w:hAnsi="Calibri" w:cs="Calibri"/>
    </w:rPr>
  </w:style>
  <w:style w:type="paragraph" w:styleId="Heading1">
    <w:name w:val="heading 1"/>
    <w:basedOn w:val="Normal"/>
    <w:link w:val="Heading1Char"/>
    <w:uiPriority w:val="9"/>
    <w:qFormat/>
    <w:rsid w:val="003E6A1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933CF"/>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0628"/>
    <w:rPr>
      <w:sz w:val="16"/>
      <w:szCs w:val="16"/>
    </w:rPr>
  </w:style>
  <w:style w:type="paragraph" w:styleId="CommentText">
    <w:name w:val="annotation text"/>
    <w:basedOn w:val="Normal"/>
    <w:link w:val="CommentTextChar"/>
    <w:uiPriority w:val="99"/>
    <w:unhideWhenUsed/>
    <w:rsid w:val="00A70628"/>
    <w:rPr>
      <w:sz w:val="20"/>
      <w:szCs w:val="20"/>
    </w:rPr>
  </w:style>
  <w:style w:type="character" w:customStyle="1" w:styleId="CommentTextChar">
    <w:name w:val="Comment Text Char"/>
    <w:basedOn w:val="DefaultParagraphFont"/>
    <w:link w:val="CommentText"/>
    <w:uiPriority w:val="99"/>
    <w:rsid w:val="00A7062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A70628"/>
    <w:rPr>
      <w:b/>
      <w:bCs/>
    </w:rPr>
  </w:style>
  <w:style w:type="character" w:customStyle="1" w:styleId="CommentSubjectChar">
    <w:name w:val="Comment Subject Char"/>
    <w:basedOn w:val="CommentTextChar"/>
    <w:link w:val="CommentSubject"/>
    <w:uiPriority w:val="99"/>
    <w:semiHidden/>
    <w:rsid w:val="00A70628"/>
    <w:rPr>
      <w:rFonts w:ascii="Calibri" w:hAnsi="Calibri" w:cs="Calibri"/>
      <w:b/>
      <w:bCs/>
      <w:sz w:val="20"/>
      <w:szCs w:val="20"/>
    </w:rPr>
  </w:style>
  <w:style w:type="paragraph" w:styleId="NormalWeb">
    <w:name w:val="Normal (Web)"/>
    <w:basedOn w:val="Normal"/>
    <w:uiPriority w:val="99"/>
    <w:unhideWhenUsed/>
    <w:rsid w:val="00106DD2"/>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06DD2"/>
    <w:rPr>
      <w:b/>
      <w:bCs/>
    </w:rPr>
  </w:style>
  <w:style w:type="paragraph" w:customStyle="1" w:styleId="Date1">
    <w:name w:val="Date1"/>
    <w:basedOn w:val="Normal"/>
    <w:rsid w:val="00C243A9"/>
    <w:pPr>
      <w:spacing w:before="100" w:beforeAutospacing="1" w:after="100" w:afterAutospacing="1"/>
    </w:pPr>
    <w:rPr>
      <w:rFonts w:ascii="Times New Roman" w:eastAsia="Times New Roman" w:hAnsi="Times New Roman" w:cs="Times New Roman"/>
      <w:sz w:val="24"/>
      <w:szCs w:val="24"/>
    </w:rPr>
  </w:style>
  <w:style w:type="paragraph" w:customStyle="1" w:styleId="Date2">
    <w:name w:val="Date2"/>
    <w:basedOn w:val="Normal"/>
    <w:rsid w:val="009460E4"/>
    <w:pPr>
      <w:spacing w:before="100" w:beforeAutospacing="1" w:after="100" w:afterAutospacing="1"/>
    </w:pPr>
    <w:rPr>
      <w:rFonts w:ascii="Times New Roman" w:eastAsia="Times New Roman" w:hAnsi="Times New Roman" w:cs="Times New Roman"/>
      <w:sz w:val="24"/>
      <w:szCs w:val="24"/>
    </w:rPr>
  </w:style>
  <w:style w:type="character" w:customStyle="1" w:styleId="ng-binding">
    <w:name w:val="ng-binding"/>
    <w:basedOn w:val="DefaultParagraphFont"/>
    <w:rsid w:val="00266F85"/>
  </w:style>
  <w:style w:type="paragraph" w:styleId="Revision">
    <w:name w:val="Revision"/>
    <w:hidden/>
    <w:uiPriority w:val="99"/>
    <w:semiHidden/>
    <w:rsid w:val="00916D4D"/>
    <w:pPr>
      <w:spacing w:after="0" w:line="240" w:lineRule="auto"/>
    </w:pPr>
    <w:rPr>
      <w:rFonts w:ascii="Calibri" w:hAnsi="Calibri" w:cs="Calibri"/>
    </w:rPr>
  </w:style>
  <w:style w:type="paragraph" w:styleId="ListParagraph">
    <w:name w:val="List Paragraph"/>
    <w:aliases w:val="Odrážky 1,seznam písmena"/>
    <w:basedOn w:val="Normal"/>
    <w:link w:val="ListParagraphChar"/>
    <w:uiPriority w:val="34"/>
    <w:qFormat/>
    <w:rsid w:val="00D2235F"/>
    <w:pPr>
      <w:ind w:left="720"/>
      <w:contextualSpacing/>
    </w:pPr>
  </w:style>
  <w:style w:type="paragraph" w:customStyle="1" w:styleId="muxlixml">
    <w:name w:val="muxlixml"/>
    <w:basedOn w:val="Normal"/>
    <w:rsid w:val="00986F7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6F7C"/>
    <w:rPr>
      <w:color w:val="0000FF"/>
      <w:u w:val="single"/>
    </w:rPr>
  </w:style>
  <w:style w:type="paragraph" w:customStyle="1" w:styleId="abzacixml">
    <w:name w:val="abzacixml"/>
    <w:basedOn w:val="Normal"/>
    <w:rsid w:val="00986F7C"/>
    <w:pPr>
      <w:spacing w:before="100" w:beforeAutospacing="1" w:after="100" w:afterAutospacing="1"/>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E6A11"/>
    <w:rPr>
      <w:rFonts w:ascii="Times New Roman" w:eastAsia="Times New Roman" w:hAnsi="Times New Roman" w:cs="Times New Roman"/>
      <w:b/>
      <w:bCs/>
      <w:kern w:val="36"/>
      <w:sz w:val="48"/>
      <w:szCs w:val="48"/>
    </w:rPr>
  </w:style>
  <w:style w:type="character" w:customStyle="1" w:styleId="color18">
    <w:name w:val="color_18"/>
    <w:basedOn w:val="DefaultParagraphFont"/>
    <w:rsid w:val="003E6A11"/>
  </w:style>
  <w:style w:type="paragraph" w:styleId="FootnoteText">
    <w:name w:val="footnote text"/>
    <w:basedOn w:val="Normal"/>
    <w:link w:val="FootnoteTextChar"/>
    <w:uiPriority w:val="99"/>
    <w:semiHidden/>
    <w:unhideWhenUsed/>
    <w:rsid w:val="00A321F9"/>
    <w:rPr>
      <w:sz w:val="20"/>
      <w:szCs w:val="20"/>
    </w:rPr>
  </w:style>
  <w:style w:type="character" w:customStyle="1" w:styleId="FootnoteTextChar">
    <w:name w:val="Footnote Text Char"/>
    <w:basedOn w:val="DefaultParagraphFont"/>
    <w:link w:val="FootnoteText"/>
    <w:uiPriority w:val="99"/>
    <w:semiHidden/>
    <w:rsid w:val="00A321F9"/>
    <w:rPr>
      <w:rFonts w:ascii="Calibri" w:hAnsi="Calibri" w:cs="Calibri"/>
      <w:sz w:val="20"/>
      <w:szCs w:val="20"/>
    </w:rPr>
  </w:style>
  <w:style w:type="character" w:styleId="FootnoteReference">
    <w:name w:val="footnote reference"/>
    <w:basedOn w:val="DefaultParagraphFont"/>
    <w:uiPriority w:val="99"/>
    <w:semiHidden/>
    <w:unhideWhenUsed/>
    <w:rsid w:val="00A321F9"/>
    <w:rPr>
      <w:vertAlign w:val="superscript"/>
    </w:rPr>
  </w:style>
  <w:style w:type="character" w:customStyle="1" w:styleId="cf01">
    <w:name w:val="cf01"/>
    <w:basedOn w:val="DefaultParagraphFont"/>
    <w:rsid w:val="00A007A1"/>
    <w:rPr>
      <w:rFonts w:ascii="Segoe UI" w:hAnsi="Segoe UI" w:cs="Segoe UI" w:hint="default"/>
      <w:color w:val="333333"/>
      <w:sz w:val="18"/>
      <w:szCs w:val="18"/>
      <w:shd w:val="clear" w:color="auto" w:fill="FFFFFF"/>
    </w:rPr>
  </w:style>
  <w:style w:type="character" w:customStyle="1" w:styleId="cf11">
    <w:name w:val="cf11"/>
    <w:basedOn w:val="DefaultParagraphFont"/>
    <w:rsid w:val="00A007A1"/>
    <w:rPr>
      <w:rFonts w:ascii="Segoe UI" w:hAnsi="Segoe UI" w:cs="Segoe UI" w:hint="default"/>
      <w:color w:val="333333"/>
      <w:sz w:val="18"/>
      <w:szCs w:val="18"/>
      <w:shd w:val="clear" w:color="auto" w:fill="FFFFFF"/>
    </w:rPr>
  </w:style>
  <w:style w:type="character" w:customStyle="1" w:styleId="ListParagraphChar">
    <w:name w:val="List Paragraph Char"/>
    <w:aliases w:val="Odrážky 1 Char,seznam písmena Char"/>
    <w:basedOn w:val="DefaultParagraphFont"/>
    <w:link w:val="ListParagraph"/>
    <w:uiPriority w:val="34"/>
    <w:locked/>
    <w:rsid w:val="002C482F"/>
    <w:rPr>
      <w:rFonts w:ascii="Calibri" w:hAnsi="Calibri" w:cs="Calibri"/>
    </w:rPr>
  </w:style>
  <w:style w:type="character" w:customStyle="1" w:styleId="Heading2Char">
    <w:name w:val="Heading 2 Char"/>
    <w:basedOn w:val="DefaultParagraphFont"/>
    <w:link w:val="Heading2"/>
    <w:uiPriority w:val="9"/>
    <w:rsid w:val="00A933C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2526">
      <w:bodyDiv w:val="1"/>
      <w:marLeft w:val="0"/>
      <w:marRight w:val="0"/>
      <w:marTop w:val="0"/>
      <w:marBottom w:val="0"/>
      <w:divBdr>
        <w:top w:val="none" w:sz="0" w:space="0" w:color="auto"/>
        <w:left w:val="none" w:sz="0" w:space="0" w:color="auto"/>
        <w:bottom w:val="none" w:sz="0" w:space="0" w:color="auto"/>
        <w:right w:val="none" w:sz="0" w:space="0" w:color="auto"/>
      </w:divBdr>
    </w:div>
    <w:div w:id="482280248">
      <w:bodyDiv w:val="1"/>
      <w:marLeft w:val="0"/>
      <w:marRight w:val="0"/>
      <w:marTop w:val="0"/>
      <w:marBottom w:val="0"/>
      <w:divBdr>
        <w:top w:val="none" w:sz="0" w:space="0" w:color="auto"/>
        <w:left w:val="none" w:sz="0" w:space="0" w:color="auto"/>
        <w:bottom w:val="none" w:sz="0" w:space="0" w:color="auto"/>
        <w:right w:val="none" w:sz="0" w:space="0" w:color="auto"/>
      </w:divBdr>
      <w:divsChild>
        <w:div w:id="1252398796">
          <w:marLeft w:val="0"/>
          <w:marRight w:val="0"/>
          <w:marTop w:val="0"/>
          <w:marBottom w:val="0"/>
          <w:divBdr>
            <w:top w:val="none" w:sz="0" w:space="0" w:color="auto"/>
            <w:left w:val="none" w:sz="0" w:space="0" w:color="auto"/>
            <w:bottom w:val="none" w:sz="0" w:space="0" w:color="auto"/>
            <w:right w:val="none" w:sz="0" w:space="0" w:color="auto"/>
          </w:divBdr>
        </w:div>
      </w:divsChild>
    </w:div>
    <w:div w:id="546912062">
      <w:bodyDiv w:val="1"/>
      <w:marLeft w:val="0"/>
      <w:marRight w:val="0"/>
      <w:marTop w:val="0"/>
      <w:marBottom w:val="0"/>
      <w:divBdr>
        <w:top w:val="none" w:sz="0" w:space="0" w:color="auto"/>
        <w:left w:val="none" w:sz="0" w:space="0" w:color="auto"/>
        <w:bottom w:val="none" w:sz="0" w:space="0" w:color="auto"/>
        <w:right w:val="none" w:sz="0" w:space="0" w:color="auto"/>
      </w:divBdr>
    </w:div>
    <w:div w:id="627585904">
      <w:bodyDiv w:val="1"/>
      <w:marLeft w:val="0"/>
      <w:marRight w:val="0"/>
      <w:marTop w:val="0"/>
      <w:marBottom w:val="0"/>
      <w:divBdr>
        <w:top w:val="none" w:sz="0" w:space="0" w:color="auto"/>
        <w:left w:val="none" w:sz="0" w:space="0" w:color="auto"/>
        <w:bottom w:val="none" w:sz="0" w:space="0" w:color="auto"/>
        <w:right w:val="none" w:sz="0" w:space="0" w:color="auto"/>
      </w:divBdr>
      <w:divsChild>
        <w:div w:id="1601404838">
          <w:marLeft w:val="0"/>
          <w:marRight w:val="0"/>
          <w:marTop w:val="750"/>
          <w:marBottom w:val="315"/>
          <w:divBdr>
            <w:top w:val="none" w:sz="0" w:space="0" w:color="auto"/>
            <w:left w:val="none" w:sz="0" w:space="0" w:color="auto"/>
            <w:bottom w:val="none" w:sz="0" w:space="0" w:color="auto"/>
            <w:right w:val="none" w:sz="0" w:space="0" w:color="auto"/>
          </w:divBdr>
          <w:divsChild>
            <w:div w:id="110102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634605">
      <w:bodyDiv w:val="1"/>
      <w:marLeft w:val="0"/>
      <w:marRight w:val="0"/>
      <w:marTop w:val="0"/>
      <w:marBottom w:val="0"/>
      <w:divBdr>
        <w:top w:val="none" w:sz="0" w:space="0" w:color="auto"/>
        <w:left w:val="none" w:sz="0" w:space="0" w:color="auto"/>
        <w:bottom w:val="none" w:sz="0" w:space="0" w:color="auto"/>
        <w:right w:val="none" w:sz="0" w:space="0" w:color="auto"/>
      </w:divBdr>
    </w:div>
    <w:div w:id="1298291563">
      <w:bodyDiv w:val="1"/>
      <w:marLeft w:val="0"/>
      <w:marRight w:val="0"/>
      <w:marTop w:val="0"/>
      <w:marBottom w:val="0"/>
      <w:divBdr>
        <w:top w:val="none" w:sz="0" w:space="0" w:color="auto"/>
        <w:left w:val="none" w:sz="0" w:space="0" w:color="auto"/>
        <w:bottom w:val="none" w:sz="0" w:space="0" w:color="auto"/>
        <w:right w:val="none" w:sz="0" w:space="0" w:color="auto"/>
      </w:divBdr>
    </w:div>
    <w:div w:id="1419138841">
      <w:bodyDiv w:val="1"/>
      <w:marLeft w:val="0"/>
      <w:marRight w:val="0"/>
      <w:marTop w:val="0"/>
      <w:marBottom w:val="0"/>
      <w:divBdr>
        <w:top w:val="none" w:sz="0" w:space="0" w:color="auto"/>
        <w:left w:val="none" w:sz="0" w:space="0" w:color="auto"/>
        <w:bottom w:val="none" w:sz="0" w:space="0" w:color="auto"/>
        <w:right w:val="none" w:sz="0" w:space="0" w:color="auto"/>
      </w:divBdr>
      <w:divsChild>
        <w:div w:id="229342706">
          <w:marLeft w:val="0"/>
          <w:marRight w:val="0"/>
          <w:marTop w:val="0"/>
          <w:marBottom w:val="0"/>
          <w:divBdr>
            <w:top w:val="none" w:sz="0" w:space="0" w:color="auto"/>
            <w:left w:val="none" w:sz="0" w:space="0" w:color="auto"/>
            <w:bottom w:val="none" w:sz="0" w:space="0" w:color="auto"/>
            <w:right w:val="none" w:sz="0" w:space="0" w:color="auto"/>
          </w:divBdr>
        </w:div>
      </w:divsChild>
    </w:div>
    <w:div w:id="1614944129">
      <w:bodyDiv w:val="1"/>
      <w:marLeft w:val="0"/>
      <w:marRight w:val="0"/>
      <w:marTop w:val="0"/>
      <w:marBottom w:val="0"/>
      <w:divBdr>
        <w:top w:val="none" w:sz="0" w:space="0" w:color="auto"/>
        <w:left w:val="none" w:sz="0" w:space="0" w:color="auto"/>
        <w:bottom w:val="none" w:sz="0" w:space="0" w:color="auto"/>
        <w:right w:val="none" w:sz="0" w:space="0" w:color="auto"/>
      </w:divBdr>
    </w:div>
    <w:div w:id="1646738930">
      <w:bodyDiv w:val="1"/>
      <w:marLeft w:val="0"/>
      <w:marRight w:val="0"/>
      <w:marTop w:val="0"/>
      <w:marBottom w:val="0"/>
      <w:divBdr>
        <w:top w:val="none" w:sz="0" w:space="0" w:color="auto"/>
        <w:left w:val="none" w:sz="0" w:space="0" w:color="auto"/>
        <w:bottom w:val="none" w:sz="0" w:space="0" w:color="auto"/>
        <w:right w:val="none" w:sz="0" w:space="0" w:color="auto"/>
      </w:divBdr>
    </w:div>
    <w:div w:id="1746367948">
      <w:bodyDiv w:val="1"/>
      <w:marLeft w:val="0"/>
      <w:marRight w:val="0"/>
      <w:marTop w:val="0"/>
      <w:marBottom w:val="0"/>
      <w:divBdr>
        <w:top w:val="none" w:sz="0" w:space="0" w:color="auto"/>
        <w:left w:val="none" w:sz="0" w:space="0" w:color="auto"/>
        <w:bottom w:val="none" w:sz="0" w:space="0" w:color="auto"/>
        <w:right w:val="none" w:sz="0" w:space="0" w:color="auto"/>
      </w:divBdr>
    </w:div>
    <w:div w:id="1787384028">
      <w:bodyDiv w:val="1"/>
      <w:marLeft w:val="0"/>
      <w:marRight w:val="0"/>
      <w:marTop w:val="0"/>
      <w:marBottom w:val="0"/>
      <w:divBdr>
        <w:top w:val="none" w:sz="0" w:space="0" w:color="auto"/>
        <w:left w:val="none" w:sz="0" w:space="0" w:color="auto"/>
        <w:bottom w:val="none" w:sz="0" w:space="0" w:color="auto"/>
        <w:right w:val="none" w:sz="0" w:space="0" w:color="auto"/>
      </w:divBdr>
    </w:div>
    <w:div w:id="1818759041">
      <w:bodyDiv w:val="1"/>
      <w:marLeft w:val="0"/>
      <w:marRight w:val="0"/>
      <w:marTop w:val="0"/>
      <w:marBottom w:val="0"/>
      <w:divBdr>
        <w:top w:val="none" w:sz="0" w:space="0" w:color="auto"/>
        <w:left w:val="none" w:sz="0" w:space="0" w:color="auto"/>
        <w:bottom w:val="none" w:sz="0" w:space="0" w:color="auto"/>
        <w:right w:val="none" w:sz="0" w:space="0" w:color="auto"/>
      </w:divBdr>
      <w:divsChild>
        <w:div w:id="2003436117">
          <w:marLeft w:val="0"/>
          <w:marRight w:val="0"/>
          <w:marTop w:val="0"/>
          <w:marBottom w:val="0"/>
          <w:divBdr>
            <w:top w:val="none" w:sz="0" w:space="0" w:color="auto"/>
            <w:left w:val="none" w:sz="0" w:space="0" w:color="auto"/>
            <w:bottom w:val="none" w:sz="0" w:space="0" w:color="auto"/>
            <w:right w:val="none" w:sz="0" w:space="0" w:color="auto"/>
          </w:divBdr>
        </w:div>
      </w:divsChild>
    </w:div>
    <w:div w:id="1876118823">
      <w:bodyDiv w:val="1"/>
      <w:marLeft w:val="0"/>
      <w:marRight w:val="0"/>
      <w:marTop w:val="0"/>
      <w:marBottom w:val="0"/>
      <w:divBdr>
        <w:top w:val="none" w:sz="0" w:space="0" w:color="auto"/>
        <w:left w:val="none" w:sz="0" w:space="0" w:color="auto"/>
        <w:bottom w:val="none" w:sz="0" w:space="0" w:color="auto"/>
        <w:right w:val="none" w:sz="0" w:space="0" w:color="auto"/>
      </w:divBdr>
    </w:div>
    <w:div w:id="2090035653">
      <w:bodyDiv w:val="1"/>
      <w:marLeft w:val="0"/>
      <w:marRight w:val="0"/>
      <w:marTop w:val="0"/>
      <w:marBottom w:val="0"/>
      <w:divBdr>
        <w:top w:val="none" w:sz="0" w:space="0" w:color="auto"/>
        <w:left w:val="none" w:sz="0" w:space="0" w:color="auto"/>
        <w:bottom w:val="none" w:sz="0" w:space="0" w:color="auto"/>
        <w:right w:val="none" w:sz="0" w:space="0" w:color="auto"/>
      </w:divBdr>
    </w:div>
    <w:div w:id="2096776709">
      <w:bodyDiv w:val="1"/>
      <w:marLeft w:val="0"/>
      <w:marRight w:val="0"/>
      <w:marTop w:val="0"/>
      <w:marBottom w:val="0"/>
      <w:divBdr>
        <w:top w:val="none" w:sz="0" w:space="0" w:color="auto"/>
        <w:left w:val="none" w:sz="0" w:space="0" w:color="auto"/>
        <w:bottom w:val="none" w:sz="0" w:space="0" w:color="auto"/>
        <w:right w:val="none" w:sz="0" w:space="0" w:color="auto"/>
      </w:divBdr>
      <w:divsChild>
        <w:div w:id="658702709">
          <w:marLeft w:val="0"/>
          <w:marRight w:val="0"/>
          <w:marTop w:val="750"/>
          <w:marBottom w:val="315"/>
          <w:divBdr>
            <w:top w:val="none" w:sz="0" w:space="0" w:color="auto"/>
            <w:left w:val="none" w:sz="0" w:space="0" w:color="auto"/>
            <w:bottom w:val="none" w:sz="0" w:space="0" w:color="auto"/>
            <w:right w:val="none" w:sz="0" w:space="0" w:color="auto"/>
          </w:divBdr>
          <w:divsChild>
            <w:div w:id="27672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katerine%20Sichinava\Downloads\form_2_2_(202305170416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katerine%20Sichinava\Downloads\form_2_2_(202305170416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katerine%20Sichinava\Downloads\form_2_2_(202305170416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ka-GE" sz="1200"/>
              <a:t>აბონენტების რაოდენობა კომპანიების მიხედვით(მლნ)</a:t>
            </a:r>
            <a:endParaRPr lang="en-US" sz="1200"/>
          </a:p>
        </c:rich>
      </c:tx>
      <c:layout>
        <c:manualLayout>
          <c:xMode val="edge"/>
          <c:yMode val="edge"/>
          <c:x val="0.23143459915611811"/>
          <c:y val="2.9535864978902954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Sheet2!$A$21</c:f>
              <c:strCache>
                <c:ptCount val="1"/>
                <c:pt idx="0">
                  <c:v>მაგთიკომი</c:v>
                </c:pt>
              </c:strCache>
            </c:strRef>
          </c:tx>
          <c:spPr>
            <a:solidFill>
              <a:schemeClr val="accent1"/>
            </a:solidFill>
            <a:ln>
              <a:noFill/>
            </a:ln>
            <a:effectLst/>
          </c:spPr>
          <c:invertIfNegative val="0"/>
          <c:cat>
            <c:strRef>
              <c:f>Sheet2!$B$15:$G$15</c:f>
              <c:strCache>
                <c:ptCount val="6"/>
                <c:pt idx="0">
                  <c:v>IV კვ. 2018</c:v>
                </c:pt>
                <c:pt idx="1">
                  <c:v>IV კვ. 2019</c:v>
                </c:pt>
                <c:pt idx="2">
                  <c:v>IV კვ. 2020</c:v>
                </c:pt>
                <c:pt idx="3">
                  <c:v>IV კვ. 2021</c:v>
                </c:pt>
                <c:pt idx="4">
                  <c:v>IV კვ. 2022</c:v>
                </c:pt>
                <c:pt idx="5">
                  <c:v>I კვ. 2023</c:v>
                </c:pt>
              </c:strCache>
            </c:strRef>
          </c:cat>
          <c:val>
            <c:numRef>
              <c:f>Sheet2!$B$21:$G$21</c:f>
              <c:numCache>
                <c:formatCode>_(* #,##0.00_);_(* \(#,##0.00\);_(* "-"??_);_(@_)</c:formatCode>
                <c:ptCount val="6"/>
                <c:pt idx="0">
                  <c:v>2.148409</c:v>
                </c:pt>
                <c:pt idx="1">
                  <c:v>2.0356019999999999</c:v>
                </c:pt>
                <c:pt idx="2">
                  <c:v>2.0715089999999998</c:v>
                </c:pt>
                <c:pt idx="3">
                  <c:v>2.3059159999999999</c:v>
                </c:pt>
                <c:pt idx="4">
                  <c:v>2.4372419999999999</c:v>
                </c:pt>
                <c:pt idx="5">
                  <c:v>2.401548</c:v>
                </c:pt>
              </c:numCache>
            </c:numRef>
          </c:val>
          <c:extLst>
            <c:ext xmlns:c16="http://schemas.microsoft.com/office/drawing/2014/chart" uri="{C3380CC4-5D6E-409C-BE32-E72D297353CC}">
              <c16:uniqueId val="{00000000-610D-4642-ACCD-976A40ACC5BE}"/>
            </c:ext>
          </c:extLst>
        </c:ser>
        <c:ser>
          <c:idx val="1"/>
          <c:order val="1"/>
          <c:tx>
            <c:strRef>
              <c:f>Sheet2!$A$22</c:f>
              <c:strCache>
                <c:ptCount val="1"/>
                <c:pt idx="0">
                  <c:v>სილქნეტი</c:v>
                </c:pt>
              </c:strCache>
            </c:strRef>
          </c:tx>
          <c:spPr>
            <a:solidFill>
              <a:schemeClr val="accent2"/>
            </a:solidFill>
            <a:ln>
              <a:noFill/>
            </a:ln>
            <a:effectLst/>
          </c:spPr>
          <c:invertIfNegative val="0"/>
          <c:cat>
            <c:strRef>
              <c:f>Sheet2!$B$15:$G$15</c:f>
              <c:strCache>
                <c:ptCount val="6"/>
                <c:pt idx="0">
                  <c:v>IV კვ. 2018</c:v>
                </c:pt>
                <c:pt idx="1">
                  <c:v>IV კვ. 2019</c:v>
                </c:pt>
                <c:pt idx="2">
                  <c:v>IV კვ. 2020</c:v>
                </c:pt>
                <c:pt idx="3">
                  <c:v>IV კვ. 2021</c:v>
                </c:pt>
                <c:pt idx="4">
                  <c:v>IV კვ. 2022</c:v>
                </c:pt>
                <c:pt idx="5">
                  <c:v>I კვ. 2023</c:v>
                </c:pt>
              </c:strCache>
            </c:strRef>
          </c:cat>
          <c:val>
            <c:numRef>
              <c:f>Sheet2!$B$22:$G$22</c:f>
              <c:numCache>
                <c:formatCode>_(* #,##0.00_);_(* \(#,##0.00\);_(* "-"??_);_(@_)</c:formatCode>
                <c:ptCount val="6"/>
                <c:pt idx="0">
                  <c:v>1.86551</c:v>
                </c:pt>
                <c:pt idx="1">
                  <c:v>1.7937289999999999</c:v>
                </c:pt>
                <c:pt idx="2">
                  <c:v>1.6953389999999999</c:v>
                </c:pt>
                <c:pt idx="3">
                  <c:v>1.8514470000000001</c:v>
                </c:pt>
                <c:pt idx="4">
                  <c:v>1.955265</c:v>
                </c:pt>
                <c:pt idx="5">
                  <c:v>1.9306179999999999</c:v>
                </c:pt>
              </c:numCache>
            </c:numRef>
          </c:val>
          <c:extLst>
            <c:ext xmlns:c16="http://schemas.microsoft.com/office/drawing/2014/chart" uri="{C3380CC4-5D6E-409C-BE32-E72D297353CC}">
              <c16:uniqueId val="{00000001-610D-4642-ACCD-976A40ACC5BE}"/>
            </c:ext>
          </c:extLst>
        </c:ser>
        <c:ser>
          <c:idx val="2"/>
          <c:order val="2"/>
          <c:tx>
            <c:strRef>
              <c:f>Sheet2!$A$23</c:f>
              <c:strCache>
                <c:ptCount val="1"/>
                <c:pt idx="0">
                  <c:v>სელფი მობაილ</c:v>
                </c:pt>
              </c:strCache>
            </c:strRef>
          </c:tx>
          <c:spPr>
            <a:solidFill>
              <a:schemeClr val="accent3"/>
            </a:solidFill>
            <a:ln>
              <a:noFill/>
            </a:ln>
            <a:effectLst/>
          </c:spPr>
          <c:invertIfNegative val="0"/>
          <c:cat>
            <c:strRef>
              <c:f>Sheet2!$B$15:$G$15</c:f>
              <c:strCache>
                <c:ptCount val="6"/>
                <c:pt idx="0">
                  <c:v>IV კვ. 2018</c:v>
                </c:pt>
                <c:pt idx="1">
                  <c:v>IV კვ. 2019</c:v>
                </c:pt>
                <c:pt idx="2">
                  <c:v>IV კვ. 2020</c:v>
                </c:pt>
                <c:pt idx="3">
                  <c:v>IV კვ. 2021</c:v>
                </c:pt>
                <c:pt idx="4">
                  <c:v>IV კვ. 2022</c:v>
                </c:pt>
                <c:pt idx="5">
                  <c:v>I კვ. 2023</c:v>
                </c:pt>
              </c:strCache>
            </c:strRef>
          </c:cat>
          <c:val>
            <c:numRef>
              <c:f>Sheet2!$B$23:$G$23</c:f>
              <c:numCache>
                <c:formatCode>_(* #,##0.00_);_(* \(#,##0.00\);_(* "-"??_);_(@_)</c:formatCode>
                <c:ptCount val="6"/>
                <c:pt idx="0">
                  <c:v>1.273568</c:v>
                </c:pt>
                <c:pt idx="1">
                  <c:v>1.3988430000000001</c:v>
                </c:pt>
                <c:pt idx="2">
                  <c:v>1.3330919999999999</c:v>
                </c:pt>
                <c:pt idx="3">
                  <c:v>1.395124</c:v>
                </c:pt>
                <c:pt idx="4">
                  <c:v>1.448037</c:v>
                </c:pt>
                <c:pt idx="5">
                  <c:v>1.4366779999999999</c:v>
                </c:pt>
              </c:numCache>
            </c:numRef>
          </c:val>
          <c:extLst>
            <c:ext xmlns:c16="http://schemas.microsoft.com/office/drawing/2014/chart" uri="{C3380CC4-5D6E-409C-BE32-E72D297353CC}">
              <c16:uniqueId val="{00000002-610D-4642-ACCD-976A40ACC5BE}"/>
            </c:ext>
          </c:extLst>
        </c:ser>
        <c:ser>
          <c:idx val="3"/>
          <c:order val="3"/>
          <c:tx>
            <c:strRef>
              <c:f>Sheet2!$A$24</c:f>
              <c:strCache>
                <c:ptCount val="1"/>
                <c:pt idx="0">
                  <c:v>სხვა</c:v>
                </c:pt>
              </c:strCache>
            </c:strRef>
          </c:tx>
          <c:spPr>
            <a:solidFill>
              <a:schemeClr val="accent4"/>
            </a:solidFill>
            <a:ln>
              <a:noFill/>
            </a:ln>
            <a:effectLst/>
          </c:spPr>
          <c:invertIfNegative val="0"/>
          <c:cat>
            <c:strRef>
              <c:f>Sheet2!$B$15:$G$15</c:f>
              <c:strCache>
                <c:ptCount val="6"/>
                <c:pt idx="0">
                  <c:v>IV კვ. 2018</c:v>
                </c:pt>
                <c:pt idx="1">
                  <c:v>IV კვ. 2019</c:v>
                </c:pt>
                <c:pt idx="2">
                  <c:v>IV კვ. 2020</c:v>
                </c:pt>
                <c:pt idx="3">
                  <c:v>IV კვ. 2021</c:v>
                </c:pt>
                <c:pt idx="4">
                  <c:v>IV კვ. 2022</c:v>
                </c:pt>
                <c:pt idx="5">
                  <c:v>I კვ. 2023</c:v>
                </c:pt>
              </c:strCache>
            </c:strRef>
          </c:cat>
          <c:val>
            <c:numRef>
              <c:f>Sheet2!$B$24:$G$24</c:f>
              <c:numCache>
                <c:formatCode>_(* #,##0.000_);_(* \(#,##0.000\);_(* "-"??_);_(@_)</c:formatCode>
                <c:ptCount val="6"/>
                <c:pt idx="0">
                  <c:v>3.8999999999999998E-3</c:v>
                </c:pt>
                <c:pt idx="1">
                  <c:v>3.2000000000000003E-4</c:v>
                </c:pt>
                <c:pt idx="2">
                  <c:v>1.6100000000000001E-4</c:v>
                </c:pt>
                <c:pt idx="3">
                  <c:v>1.12E-4</c:v>
                </c:pt>
                <c:pt idx="4">
                  <c:v>3.9379999999999997E-3</c:v>
                </c:pt>
                <c:pt idx="5">
                  <c:v>1.1603E-2</c:v>
                </c:pt>
              </c:numCache>
            </c:numRef>
          </c:val>
          <c:extLst>
            <c:ext xmlns:c16="http://schemas.microsoft.com/office/drawing/2014/chart" uri="{C3380CC4-5D6E-409C-BE32-E72D297353CC}">
              <c16:uniqueId val="{00000003-610D-4642-ACCD-976A40ACC5BE}"/>
            </c:ext>
          </c:extLst>
        </c:ser>
        <c:dLbls>
          <c:showLegendKey val="0"/>
          <c:showVal val="0"/>
          <c:showCatName val="0"/>
          <c:showSerName val="0"/>
          <c:showPercent val="0"/>
          <c:showBubbleSize val="0"/>
        </c:dLbls>
        <c:gapWidth val="219"/>
        <c:overlap val="-27"/>
        <c:axId val="542620063"/>
        <c:axId val="542618143"/>
      </c:barChart>
      <c:catAx>
        <c:axId val="542620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618143"/>
        <c:crossesAt val="0"/>
        <c:auto val="1"/>
        <c:lblAlgn val="ctr"/>
        <c:lblOffset val="100"/>
        <c:noMultiLvlLbl val="0"/>
      </c:catAx>
      <c:valAx>
        <c:axId val="542618143"/>
        <c:scaling>
          <c:orientation val="minMax"/>
        </c:scaling>
        <c:delete val="0"/>
        <c:axPos val="l"/>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620063"/>
        <c:crosses val="autoZero"/>
        <c:crossBetween val="between"/>
        <c:dispUnits>
          <c:builtInUnit val="millions"/>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ka-GE" sz="1200"/>
              <a:t>კომპანიების</a:t>
            </a:r>
            <a:r>
              <a:rPr lang="ka-GE" sz="1200" baseline="0"/>
              <a:t> საბაზრო წილები აბონენტების რაოდენობის მიხედვით</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3"/>
          <c:order val="0"/>
          <c:tx>
            <c:strRef>
              <c:f>Sheet2!$A$34</c:f>
              <c:strCache>
                <c:ptCount val="1"/>
                <c:pt idx="0">
                  <c:v>სხვა</c:v>
                </c:pt>
              </c:strCache>
            </c:strRef>
          </c:tx>
          <c:spPr>
            <a:solidFill>
              <a:schemeClr val="accent4"/>
            </a:solidFill>
            <a:ln>
              <a:noFill/>
            </a:ln>
            <a:effectLst/>
          </c:spPr>
          <c:invertIfNegative val="0"/>
          <c:cat>
            <c:strRef>
              <c:f>Sheet2!$B$30:$G$30</c:f>
              <c:strCache>
                <c:ptCount val="6"/>
                <c:pt idx="0">
                  <c:v>IV კვ. 2018</c:v>
                </c:pt>
                <c:pt idx="1">
                  <c:v>IV კვ. 2019</c:v>
                </c:pt>
                <c:pt idx="2">
                  <c:v>IV კვ. 2020</c:v>
                </c:pt>
                <c:pt idx="3">
                  <c:v>IV კვ. 2021</c:v>
                </c:pt>
                <c:pt idx="4">
                  <c:v>IV კვ. 2022</c:v>
                </c:pt>
                <c:pt idx="5">
                  <c:v>I კვ. 2023</c:v>
                </c:pt>
              </c:strCache>
            </c:strRef>
          </c:cat>
          <c:val>
            <c:numRef>
              <c:f>Sheet2!$B$34:$G$34</c:f>
              <c:numCache>
                <c:formatCode>0.0%</c:formatCode>
                <c:ptCount val="6"/>
                <c:pt idx="0">
                  <c:v>7.370468272307431E-4</c:v>
                </c:pt>
                <c:pt idx="1">
                  <c:v>6.1203092133222306E-5</c:v>
                </c:pt>
                <c:pt idx="2">
                  <c:v>3.1568002280739149E-5</c:v>
                </c:pt>
                <c:pt idx="3">
                  <c:v>2.0170734461465704E-5</c:v>
                </c:pt>
                <c:pt idx="4">
                  <c:v>6.7379795164053879E-4</c:v>
                </c:pt>
                <c:pt idx="5">
                  <c:v>2.0072842117573263E-3</c:v>
                </c:pt>
              </c:numCache>
            </c:numRef>
          </c:val>
          <c:extLst>
            <c:ext xmlns:c16="http://schemas.microsoft.com/office/drawing/2014/chart" uri="{C3380CC4-5D6E-409C-BE32-E72D297353CC}">
              <c16:uniqueId val="{00000000-5F12-4097-B5BB-3CABD5B38EF6}"/>
            </c:ext>
          </c:extLst>
        </c:ser>
        <c:ser>
          <c:idx val="2"/>
          <c:order val="1"/>
          <c:tx>
            <c:strRef>
              <c:f>Sheet2!$A$33</c:f>
              <c:strCache>
                <c:ptCount val="1"/>
                <c:pt idx="0">
                  <c:v>სელფი მობაილ</c:v>
                </c:pt>
              </c:strCache>
            </c:strRef>
          </c:tx>
          <c:spPr>
            <a:solidFill>
              <a:schemeClr val="accent3"/>
            </a:solidFill>
            <a:ln>
              <a:noFill/>
            </a:ln>
            <a:effectLst/>
          </c:spPr>
          <c:invertIfNegative val="0"/>
          <c:cat>
            <c:strRef>
              <c:f>Sheet2!$B$30:$G$30</c:f>
              <c:strCache>
                <c:ptCount val="6"/>
                <c:pt idx="0">
                  <c:v>IV კვ. 2018</c:v>
                </c:pt>
                <c:pt idx="1">
                  <c:v>IV კვ. 2019</c:v>
                </c:pt>
                <c:pt idx="2">
                  <c:v>IV კვ. 2020</c:v>
                </c:pt>
                <c:pt idx="3">
                  <c:v>IV კვ. 2021</c:v>
                </c:pt>
                <c:pt idx="4">
                  <c:v>IV კვ. 2022</c:v>
                </c:pt>
                <c:pt idx="5">
                  <c:v>I კვ. 2023</c:v>
                </c:pt>
              </c:strCache>
            </c:strRef>
          </c:cat>
          <c:val>
            <c:numRef>
              <c:f>Sheet2!$B$33:$G$33</c:f>
              <c:numCache>
                <c:formatCode>0%</c:formatCode>
                <c:ptCount val="6"/>
                <c:pt idx="0">
                  <c:v>0.24068698811861619</c:v>
                </c:pt>
                <c:pt idx="1">
                  <c:v>0.26754224065285337</c:v>
                </c:pt>
                <c:pt idx="2">
                  <c:v>0.26138541177910007</c:v>
                </c:pt>
                <c:pt idx="3">
                  <c:v>0.25125603343587394</c:v>
                </c:pt>
                <c:pt idx="4">
                  <c:v>0.24776139271196318</c:v>
                </c:pt>
                <c:pt idx="5">
                  <c:v>0.24854098653616233</c:v>
                </c:pt>
              </c:numCache>
            </c:numRef>
          </c:val>
          <c:extLst>
            <c:ext xmlns:c16="http://schemas.microsoft.com/office/drawing/2014/chart" uri="{C3380CC4-5D6E-409C-BE32-E72D297353CC}">
              <c16:uniqueId val="{00000001-5F12-4097-B5BB-3CABD5B38EF6}"/>
            </c:ext>
          </c:extLst>
        </c:ser>
        <c:ser>
          <c:idx val="1"/>
          <c:order val="2"/>
          <c:tx>
            <c:strRef>
              <c:f>Sheet2!$A$32</c:f>
              <c:strCache>
                <c:ptCount val="1"/>
                <c:pt idx="0">
                  <c:v>სილქნეტი</c:v>
                </c:pt>
              </c:strCache>
            </c:strRef>
          </c:tx>
          <c:spPr>
            <a:solidFill>
              <a:schemeClr val="accent2"/>
            </a:solidFill>
            <a:ln>
              <a:noFill/>
            </a:ln>
            <a:effectLst/>
          </c:spPr>
          <c:invertIfNegative val="0"/>
          <c:cat>
            <c:strRef>
              <c:f>Sheet2!$B$30:$G$30</c:f>
              <c:strCache>
                <c:ptCount val="6"/>
                <c:pt idx="0">
                  <c:v>IV კვ. 2018</c:v>
                </c:pt>
                <c:pt idx="1">
                  <c:v>IV კვ. 2019</c:v>
                </c:pt>
                <c:pt idx="2">
                  <c:v>IV კვ. 2020</c:v>
                </c:pt>
                <c:pt idx="3">
                  <c:v>IV კვ. 2021</c:v>
                </c:pt>
                <c:pt idx="4">
                  <c:v>IV კვ. 2022</c:v>
                </c:pt>
                <c:pt idx="5">
                  <c:v>I კვ. 2023</c:v>
                </c:pt>
              </c:strCache>
            </c:strRef>
          </c:cat>
          <c:val>
            <c:numRef>
              <c:f>Sheet2!$B$32:$G$32</c:f>
              <c:numCache>
                <c:formatCode>0%</c:formatCode>
                <c:ptCount val="6"/>
                <c:pt idx="0">
                  <c:v>0.35255595555569841</c:v>
                </c:pt>
                <c:pt idx="1">
                  <c:v>0.34306800390322717</c:v>
                </c:pt>
                <c:pt idx="2">
                  <c:v>0.33241282868711819</c:v>
                </c:pt>
                <c:pt idx="3">
                  <c:v>0.33343790898640441</c:v>
                </c:pt>
                <c:pt idx="4">
                  <c:v>0.33454889586450948</c:v>
                </c:pt>
                <c:pt idx="5">
                  <c:v>0.33399112559980226</c:v>
                </c:pt>
              </c:numCache>
            </c:numRef>
          </c:val>
          <c:extLst>
            <c:ext xmlns:c16="http://schemas.microsoft.com/office/drawing/2014/chart" uri="{C3380CC4-5D6E-409C-BE32-E72D297353CC}">
              <c16:uniqueId val="{00000002-5F12-4097-B5BB-3CABD5B38EF6}"/>
            </c:ext>
          </c:extLst>
        </c:ser>
        <c:ser>
          <c:idx val="0"/>
          <c:order val="3"/>
          <c:tx>
            <c:strRef>
              <c:f>Sheet2!$A$31</c:f>
              <c:strCache>
                <c:ptCount val="1"/>
                <c:pt idx="0">
                  <c:v>მაგთიკომი</c:v>
                </c:pt>
              </c:strCache>
            </c:strRef>
          </c:tx>
          <c:spPr>
            <a:solidFill>
              <a:schemeClr val="accent1"/>
            </a:solidFill>
            <a:ln>
              <a:noFill/>
            </a:ln>
            <a:effectLst/>
          </c:spPr>
          <c:invertIfNegative val="0"/>
          <c:cat>
            <c:strRef>
              <c:f>Sheet2!$B$30:$G$30</c:f>
              <c:strCache>
                <c:ptCount val="6"/>
                <c:pt idx="0">
                  <c:v>IV კვ. 2018</c:v>
                </c:pt>
                <c:pt idx="1">
                  <c:v>IV კვ. 2019</c:v>
                </c:pt>
                <c:pt idx="2">
                  <c:v>IV კვ. 2020</c:v>
                </c:pt>
                <c:pt idx="3">
                  <c:v>IV კვ. 2021</c:v>
                </c:pt>
                <c:pt idx="4">
                  <c:v>IV კვ. 2022</c:v>
                </c:pt>
                <c:pt idx="5">
                  <c:v>I კვ. 2023</c:v>
                </c:pt>
              </c:strCache>
            </c:strRef>
          </c:cat>
          <c:val>
            <c:numRef>
              <c:f>Sheet2!$B$31:$G$31</c:f>
              <c:numCache>
                <c:formatCode>0%</c:formatCode>
                <c:ptCount val="6"/>
                <c:pt idx="0">
                  <c:v>0.40602000949845479</c:v>
                </c:pt>
                <c:pt idx="1">
                  <c:v>0.38932855235178615</c:v>
                </c:pt>
                <c:pt idx="2">
                  <c:v>0.40617019153150102</c:v>
                </c:pt>
                <c:pt idx="3">
                  <c:v>0.41528588684326023</c:v>
                </c:pt>
                <c:pt idx="4">
                  <c:v>0.41701591347188677</c:v>
                </c:pt>
                <c:pt idx="5">
                  <c:v>0.4154606036522781</c:v>
                </c:pt>
              </c:numCache>
            </c:numRef>
          </c:val>
          <c:extLst>
            <c:ext xmlns:c16="http://schemas.microsoft.com/office/drawing/2014/chart" uri="{C3380CC4-5D6E-409C-BE32-E72D297353CC}">
              <c16:uniqueId val="{00000003-5F12-4097-B5BB-3CABD5B38EF6}"/>
            </c:ext>
          </c:extLst>
        </c:ser>
        <c:dLbls>
          <c:showLegendKey val="0"/>
          <c:showVal val="0"/>
          <c:showCatName val="0"/>
          <c:showSerName val="0"/>
          <c:showPercent val="0"/>
          <c:showBubbleSize val="0"/>
        </c:dLbls>
        <c:gapWidth val="150"/>
        <c:overlap val="100"/>
        <c:axId val="865573455"/>
        <c:axId val="865570575"/>
      </c:barChart>
      <c:catAx>
        <c:axId val="865573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570575"/>
        <c:crosses val="autoZero"/>
        <c:auto val="1"/>
        <c:lblAlgn val="ctr"/>
        <c:lblOffset val="100"/>
        <c:noMultiLvlLbl val="0"/>
      </c:catAx>
      <c:valAx>
        <c:axId val="865570575"/>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5573455"/>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ka-GE"/>
              <a:t>კომპანიების საბაზრო წილი შემოსავლების მიხედვით</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3"/>
          <c:order val="0"/>
          <c:tx>
            <c:strRef>
              <c:f>Sheet5!$A$32</c:f>
              <c:strCache>
                <c:ptCount val="1"/>
                <c:pt idx="0">
                  <c:v>სხვა</c:v>
                </c:pt>
              </c:strCache>
            </c:strRef>
          </c:tx>
          <c:spPr>
            <a:solidFill>
              <a:schemeClr val="accent4"/>
            </a:solidFill>
            <a:ln>
              <a:noFill/>
            </a:ln>
            <a:effectLst/>
          </c:spPr>
          <c:invertIfNegative val="0"/>
          <c:cat>
            <c:strRef>
              <c:f>Sheet5!$B$28:$G$28</c:f>
              <c:strCache>
                <c:ptCount val="6"/>
                <c:pt idx="0">
                  <c:v>2018</c:v>
                </c:pt>
                <c:pt idx="1">
                  <c:v>2019</c:v>
                </c:pt>
                <c:pt idx="2">
                  <c:v>2020</c:v>
                </c:pt>
                <c:pt idx="3">
                  <c:v>2021</c:v>
                </c:pt>
                <c:pt idx="4">
                  <c:v>2022</c:v>
                </c:pt>
                <c:pt idx="5">
                  <c:v>I კვ. 2023</c:v>
                </c:pt>
              </c:strCache>
            </c:strRef>
          </c:cat>
          <c:val>
            <c:numRef>
              <c:f>Sheet5!$B$32:$G$32</c:f>
              <c:numCache>
                <c:formatCode>0.00%</c:formatCode>
                <c:ptCount val="6"/>
                <c:pt idx="0">
                  <c:v>4.7060258108593195E-4</c:v>
                </c:pt>
                <c:pt idx="1">
                  <c:v>2.1935278895135579E-4</c:v>
                </c:pt>
                <c:pt idx="2">
                  <c:v>4.1595874856119828E-7</c:v>
                </c:pt>
                <c:pt idx="3">
                  <c:v>4.1514812088947726E-7</c:v>
                </c:pt>
                <c:pt idx="4">
                  <c:v>5.0451477763777225E-5</c:v>
                </c:pt>
                <c:pt idx="5">
                  <c:v>8.6139777056838131E-4</c:v>
                </c:pt>
              </c:numCache>
            </c:numRef>
          </c:val>
          <c:extLst>
            <c:ext xmlns:c16="http://schemas.microsoft.com/office/drawing/2014/chart" uri="{C3380CC4-5D6E-409C-BE32-E72D297353CC}">
              <c16:uniqueId val="{00000000-8FFD-42BD-9981-B478E4E706B1}"/>
            </c:ext>
          </c:extLst>
        </c:ser>
        <c:ser>
          <c:idx val="2"/>
          <c:order val="1"/>
          <c:tx>
            <c:strRef>
              <c:f>Sheet5!$A$31</c:f>
              <c:strCache>
                <c:ptCount val="1"/>
                <c:pt idx="0">
                  <c:v>სელფი მობაილ</c:v>
                </c:pt>
              </c:strCache>
            </c:strRef>
          </c:tx>
          <c:spPr>
            <a:solidFill>
              <a:schemeClr val="accent3"/>
            </a:solidFill>
            <a:ln>
              <a:noFill/>
            </a:ln>
            <a:effectLst/>
          </c:spPr>
          <c:invertIfNegative val="0"/>
          <c:cat>
            <c:strRef>
              <c:f>Sheet5!$B$28:$G$28</c:f>
              <c:strCache>
                <c:ptCount val="6"/>
                <c:pt idx="0">
                  <c:v>2018</c:v>
                </c:pt>
                <c:pt idx="1">
                  <c:v>2019</c:v>
                </c:pt>
                <c:pt idx="2">
                  <c:v>2020</c:v>
                </c:pt>
                <c:pt idx="3">
                  <c:v>2021</c:v>
                </c:pt>
                <c:pt idx="4">
                  <c:v>2022</c:v>
                </c:pt>
                <c:pt idx="5">
                  <c:v>I კვ. 2023</c:v>
                </c:pt>
              </c:strCache>
            </c:strRef>
          </c:cat>
          <c:val>
            <c:numRef>
              <c:f>Sheet5!$B$31:$G$31</c:f>
              <c:numCache>
                <c:formatCode>0%</c:formatCode>
                <c:ptCount val="6"/>
                <c:pt idx="0">
                  <c:v>0.16347720643959673</c:v>
                </c:pt>
                <c:pt idx="1">
                  <c:v>0.18098985449534069</c:v>
                </c:pt>
                <c:pt idx="2">
                  <c:v>0.18080743858566242</c:v>
                </c:pt>
                <c:pt idx="3">
                  <c:v>0.18130860669148247</c:v>
                </c:pt>
                <c:pt idx="4">
                  <c:v>0.16280109968925255</c:v>
                </c:pt>
                <c:pt idx="5">
                  <c:v>0.1587075773268018</c:v>
                </c:pt>
              </c:numCache>
            </c:numRef>
          </c:val>
          <c:extLst>
            <c:ext xmlns:c16="http://schemas.microsoft.com/office/drawing/2014/chart" uri="{C3380CC4-5D6E-409C-BE32-E72D297353CC}">
              <c16:uniqueId val="{00000001-8FFD-42BD-9981-B478E4E706B1}"/>
            </c:ext>
          </c:extLst>
        </c:ser>
        <c:ser>
          <c:idx val="1"/>
          <c:order val="2"/>
          <c:tx>
            <c:strRef>
              <c:f>Sheet5!$A$30</c:f>
              <c:strCache>
                <c:ptCount val="1"/>
                <c:pt idx="0">
                  <c:v>სილქნეტი</c:v>
                </c:pt>
              </c:strCache>
            </c:strRef>
          </c:tx>
          <c:spPr>
            <a:solidFill>
              <a:schemeClr val="accent2"/>
            </a:solidFill>
            <a:ln>
              <a:noFill/>
            </a:ln>
            <a:effectLst/>
          </c:spPr>
          <c:invertIfNegative val="0"/>
          <c:cat>
            <c:strRef>
              <c:f>Sheet5!$B$28:$G$28</c:f>
              <c:strCache>
                <c:ptCount val="6"/>
                <c:pt idx="0">
                  <c:v>2018</c:v>
                </c:pt>
                <c:pt idx="1">
                  <c:v>2019</c:v>
                </c:pt>
                <c:pt idx="2">
                  <c:v>2020</c:v>
                </c:pt>
                <c:pt idx="3">
                  <c:v>2021</c:v>
                </c:pt>
                <c:pt idx="4">
                  <c:v>2022</c:v>
                </c:pt>
                <c:pt idx="5">
                  <c:v>I კვ. 2023</c:v>
                </c:pt>
              </c:strCache>
            </c:strRef>
          </c:cat>
          <c:val>
            <c:numRef>
              <c:f>Sheet5!$B$30:$G$30</c:f>
              <c:numCache>
                <c:formatCode>0%</c:formatCode>
                <c:ptCount val="6"/>
                <c:pt idx="0">
                  <c:v>0.36760476875901887</c:v>
                </c:pt>
                <c:pt idx="1">
                  <c:v>0.35802382150362544</c:v>
                </c:pt>
                <c:pt idx="2">
                  <c:v>0.36456268063089675</c:v>
                </c:pt>
                <c:pt idx="3">
                  <c:v>0.3524095973357726</c:v>
                </c:pt>
                <c:pt idx="4">
                  <c:v>0.34404930189873162</c:v>
                </c:pt>
                <c:pt idx="5">
                  <c:v>0.34256383958371001</c:v>
                </c:pt>
              </c:numCache>
            </c:numRef>
          </c:val>
          <c:extLst>
            <c:ext xmlns:c16="http://schemas.microsoft.com/office/drawing/2014/chart" uri="{C3380CC4-5D6E-409C-BE32-E72D297353CC}">
              <c16:uniqueId val="{00000002-8FFD-42BD-9981-B478E4E706B1}"/>
            </c:ext>
          </c:extLst>
        </c:ser>
        <c:ser>
          <c:idx val="0"/>
          <c:order val="3"/>
          <c:tx>
            <c:strRef>
              <c:f>Sheet5!$A$29</c:f>
              <c:strCache>
                <c:ptCount val="1"/>
                <c:pt idx="0">
                  <c:v>მაგთიკომი</c:v>
                </c:pt>
              </c:strCache>
            </c:strRef>
          </c:tx>
          <c:spPr>
            <a:solidFill>
              <a:schemeClr val="accent1"/>
            </a:solidFill>
            <a:ln>
              <a:noFill/>
            </a:ln>
            <a:effectLst/>
          </c:spPr>
          <c:invertIfNegative val="0"/>
          <c:cat>
            <c:strRef>
              <c:f>Sheet5!$B$28:$G$28</c:f>
              <c:strCache>
                <c:ptCount val="6"/>
                <c:pt idx="0">
                  <c:v>2018</c:v>
                </c:pt>
                <c:pt idx="1">
                  <c:v>2019</c:v>
                </c:pt>
                <c:pt idx="2">
                  <c:v>2020</c:v>
                </c:pt>
                <c:pt idx="3">
                  <c:v>2021</c:v>
                </c:pt>
                <c:pt idx="4">
                  <c:v>2022</c:v>
                </c:pt>
                <c:pt idx="5">
                  <c:v>I კვ. 2023</c:v>
                </c:pt>
              </c:strCache>
            </c:strRef>
          </c:cat>
          <c:val>
            <c:numRef>
              <c:f>Sheet5!$B$29:$G$29</c:f>
              <c:numCache>
                <c:formatCode>0%</c:formatCode>
                <c:ptCount val="6"/>
                <c:pt idx="0">
                  <c:v>0.46844742222029845</c:v>
                </c:pt>
                <c:pt idx="1">
                  <c:v>0.46076697121208249</c:v>
                </c:pt>
                <c:pt idx="2">
                  <c:v>0.45462946482469224</c:v>
                </c:pt>
                <c:pt idx="3">
                  <c:v>0.466281380824624</c:v>
                </c:pt>
                <c:pt idx="4">
                  <c:v>0.49309914693425189</c:v>
                </c:pt>
                <c:pt idx="5">
                  <c:v>0.49786718531891977</c:v>
                </c:pt>
              </c:numCache>
            </c:numRef>
          </c:val>
          <c:extLst>
            <c:ext xmlns:c16="http://schemas.microsoft.com/office/drawing/2014/chart" uri="{C3380CC4-5D6E-409C-BE32-E72D297353CC}">
              <c16:uniqueId val="{00000003-8FFD-42BD-9981-B478E4E706B1}"/>
            </c:ext>
          </c:extLst>
        </c:ser>
        <c:dLbls>
          <c:showLegendKey val="0"/>
          <c:showVal val="0"/>
          <c:showCatName val="0"/>
          <c:showSerName val="0"/>
          <c:showPercent val="0"/>
          <c:showBubbleSize val="0"/>
        </c:dLbls>
        <c:gapWidth val="150"/>
        <c:overlap val="100"/>
        <c:axId val="869673423"/>
        <c:axId val="869674383"/>
      </c:barChart>
      <c:catAx>
        <c:axId val="869673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674383"/>
        <c:crosses val="autoZero"/>
        <c:auto val="1"/>
        <c:lblAlgn val="ctr"/>
        <c:lblOffset val="100"/>
        <c:noMultiLvlLbl val="0"/>
      </c:catAx>
      <c:valAx>
        <c:axId val="869674383"/>
        <c:scaling>
          <c:orientation val="minMax"/>
          <c:max val="1"/>
        </c:scaling>
        <c:delete val="0"/>
        <c:axPos val="l"/>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673423"/>
        <c:crosses val="autoZero"/>
        <c:crossBetween val="between"/>
        <c:majorUnit val="0.2"/>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76AA9-410F-4171-98AC-57459484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2115</Words>
  <Characters>12061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Ekaterine Sichinava</dc:creator>
  <cp:keywords/>
  <dc:description/>
  <cp:lastModifiedBy>Ekaterine Sichinava</cp:lastModifiedBy>
  <cp:revision>5</cp:revision>
  <cp:lastPrinted>2022-11-25T14:05:00Z</cp:lastPrinted>
  <dcterms:created xsi:type="dcterms:W3CDTF">2023-05-21T15:33:00Z</dcterms:created>
  <dcterms:modified xsi:type="dcterms:W3CDTF">2023-05-21T15:40:00Z</dcterms:modified>
</cp:coreProperties>
</file>