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F2A" w14:textId="5D86BFCA" w:rsidR="005F38B0" w:rsidRPr="008608FF" w:rsidRDefault="00FF6A58" w:rsidP="00FF6A58">
      <w:pPr>
        <w:spacing w:before="120" w:after="120" w:line="276" w:lineRule="auto"/>
        <w:jc w:val="right"/>
        <w:rPr>
          <w:rFonts w:ascii="Sylfaen" w:hAnsi="Sylfaen"/>
          <w:b/>
          <w:bCs/>
          <w:i/>
          <w:iCs/>
          <w:u w:val="single"/>
          <w:lang w:val="ka-GE"/>
        </w:rPr>
      </w:pPr>
      <w:r w:rsidRPr="008608FF">
        <w:rPr>
          <w:rFonts w:ascii="Sylfaen" w:hAnsi="Sylfaen"/>
          <w:b/>
          <w:bCs/>
          <w:i/>
          <w:iCs/>
          <w:u w:val="single"/>
          <w:lang w:val="ka-GE"/>
        </w:rPr>
        <w:t>პროექტი</w:t>
      </w:r>
    </w:p>
    <w:p w14:paraId="42AF0DCA" w14:textId="77777777" w:rsidR="005F38B0" w:rsidRPr="008608FF" w:rsidRDefault="005F38B0" w:rsidP="005C16A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8608FF">
        <w:rPr>
          <w:rFonts w:ascii="Sylfaen" w:hAnsi="Sylfaen"/>
          <w:b/>
          <w:lang w:val="ka-GE"/>
        </w:rPr>
        <w:t>განმარტებითი ბარათი</w:t>
      </w:r>
    </w:p>
    <w:p w14:paraId="50B0C736" w14:textId="77777777" w:rsidR="005F38B0" w:rsidRPr="008608FF" w:rsidRDefault="005F38B0" w:rsidP="005C16A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14:paraId="11226767" w14:textId="77413321" w:rsidR="004E1767" w:rsidRPr="008608FF" w:rsidRDefault="004E1767" w:rsidP="004E1767">
      <w:pPr>
        <w:spacing w:before="120" w:after="120" w:line="276" w:lineRule="auto"/>
        <w:jc w:val="center"/>
        <w:rPr>
          <w:rFonts w:ascii="Sylfaen" w:eastAsia="Times New Roman" w:hAnsi="Sylfaen"/>
          <w:b/>
          <w:bCs/>
          <w:lang w:val="ka-GE"/>
        </w:rPr>
      </w:pPr>
      <w:r w:rsidRPr="008608FF">
        <w:rPr>
          <w:rFonts w:ascii="Sylfaen" w:eastAsia="Times New Roman" w:hAnsi="Sylfaen"/>
          <w:b/>
          <w:bCs/>
          <w:lang w:val="ka-GE"/>
        </w:rPr>
        <w:t xml:space="preserve"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2003 წლის 27 ივნისის №1 დადგენილებაში ცვლილების შეტანის </w:t>
      </w:r>
      <w:r w:rsidR="00A27C6A" w:rsidRPr="008608FF">
        <w:rPr>
          <w:rFonts w:ascii="Sylfaen" w:eastAsia="Times New Roman" w:hAnsi="Sylfaen"/>
          <w:b/>
          <w:bCs/>
          <w:lang w:val="ka-GE"/>
        </w:rPr>
        <w:t>თაობაზე</w:t>
      </w:r>
    </w:p>
    <w:p w14:paraId="08DDDEB0" w14:textId="2F0B72F9" w:rsidR="005F38B0" w:rsidRPr="008608FF" w:rsidRDefault="005F38B0" w:rsidP="005C16A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8608FF">
        <w:rPr>
          <w:rFonts w:ascii="Sylfaen" w:hAnsi="Sylfaen"/>
          <w:b/>
          <w:lang w:val="ka-GE"/>
        </w:rPr>
        <w:t>საქართველოს კომუნიკაციების ეროვნული კომისიის დადგენილების პროექტზე</w:t>
      </w:r>
    </w:p>
    <w:p w14:paraId="65469711" w14:textId="77777777" w:rsidR="00143939" w:rsidRPr="008608FF" w:rsidRDefault="00143939" w:rsidP="005C16A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14:paraId="537A2420" w14:textId="44C23CD7" w:rsidR="00FF6A58" w:rsidRPr="008608FF" w:rsidRDefault="007C35ED" w:rsidP="00FF6A58">
      <w:pPr>
        <w:jc w:val="both"/>
        <w:rPr>
          <w:rFonts w:ascii="Sylfaen" w:hAnsi="Sylfaen" w:cs="Sylfaen"/>
          <w:bCs/>
          <w:lang w:val="ka-GE"/>
        </w:rPr>
      </w:pPr>
      <w:r w:rsidRPr="007C35ED">
        <w:rPr>
          <w:rFonts w:ascii="Sylfaen" w:hAnsi="Sylfaen" w:cs="Sylfaen"/>
          <w:bCs/>
          <w:lang w:val="ka-GE"/>
        </w:rPr>
        <w:t>საქართველოს კომუნიკაციების ეროვნული კომისია (შემდგომში „კომისია“) აღნიშნავს, რომ „მაუწყებლობის შესახებ" საქართველოს კანონის 36</w:t>
      </w:r>
      <w:r w:rsidRPr="007C35ED">
        <w:rPr>
          <w:rFonts w:ascii="Sylfaen" w:hAnsi="Sylfaen" w:cs="Sylfaen"/>
          <w:bCs/>
          <w:vertAlign w:val="superscript"/>
          <w:lang w:val="ka-GE"/>
        </w:rPr>
        <w:t>1</w:t>
      </w:r>
      <w:r w:rsidRPr="007C35ED">
        <w:rPr>
          <w:rFonts w:ascii="Sylfaen" w:hAnsi="Sylfaen" w:cs="Sylfaen"/>
          <w:bCs/>
          <w:lang w:val="ka-GE"/>
        </w:rPr>
        <w:t xml:space="preserve"> მუხლისა და „ელექტრონული კომუნიკაციების შესახებ" საქართველოს კანონის მე-11 მუხლის მე-3 პუნქტის „ბ“ ქვეპუნქტის შესაბამისად</w:t>
      </w:r>
      <w:r w:rsidR="00313E89">
        <w:rPr>
          <w:rFonts w:ascii="Sylfaen" w:hAnsi="Sylfaen" w:cs="Sylfaen"/>
          <w:bCs/>
          <w:lang w:val="ka-GE"/>
        </w:rPr>
        <w:t>,</w:t>
      </w:r>
      <w:r w:rsidRPr="007C35ED">
        <w:rPr>
          <w:rFonts w:ascii="Sylfaen" w:hAnsi="Sylfaen" w:cs="Sylfaen"/>
          <w:bCs/>
          <w:lang w:val="ka-GE"/>
        </w:rPr>
        <w:t xml:space="preserve"> კომისია გასცემს ელექტრონული კომუნიკაციებისა და მაუწყებლობის სფეროში ლიცენზიებს, ხოლო „ლიცენზიებისა და ნებართვების“ შესახებ საქართველოს კანონის მე-14 მუხლის თანახმად, სალიცენზიო მოწმობის ფორმა განისაზღვრება კანონით ან/და ლიცენზიის გამცემის ან ზემდგომი ადმინისტრაციული ორგანოს ნორმატიული აქტით. </w:t>
      </w:r>
      <w:r w:rsidRPr="00313E89">
        <w:rPr>
          <w:rFonts w:ascii="Sylfaen" w:hAnsi="Sylfaen" w:cs="Sylfaen"/>
          <w:bCs/>
          <w:lang w:val="ka-GE"/>
        </w:rPr>
        <w:t>საქართველოს კომუნიკაციების ეროვნული კომისიის</w:t>
      </w:r>
      <w:r w:rsidRPr="007C35ED">
        <w:rPr>
          <w:rFonts w:ascii="Sylfaen" w:hAnsi="Sylfaen" w:cs="Sylfaen"/>
          <w:bCs/>
          <w:lang w:val="ka-GE"/>
        </w:rPr>
        <w:t xml:space="preserve"> 2003 წლის 27 ივნისის N1 დადგენილების მე-2 მუხლის შესაბამისად კომისიის მიერ დამტკიცებულია სალიცენზიო მოწმობის ფორმა. ამავდროულად, საქართველოს ადმინისტრაციულ სამართალდარღვევათა კოდექსის შესაბამისად, ადმინისტრაციულ სამართალდარღვევათა ოქმის შედგენის უფლებამოსილება ცალკეულ ადმინისტრაციულ სამართალდარღვევაზე ასევე კომისიის კომპეტენციაა. თავის მხრივ, </w:t>
      </w:r>
      <w:r w:rsidRPr="00313E89">
        <w:rPr>
          <w:rFonts w:ascii="Sylfaen" w:hAnsi="Sylfaen" w:cs="Sylfaen"/>
          <w:bCs/>
          <w:lang w:val="ka-GE"/>
        </w:rPr>
        <w:t>საქართველოს კომუნიკაციების ეროვნული კომისიის</w:t>
      </w:r>
      <w:r w:rsidRPr="007C35ED">
        <w:rPr>
          <w:rFonts w:ascii="Sylfaen" w:hAnsi="Sylfaen" w:cs="Sylfaen"/>
          <w:bCs/>
          <w:lang w:val="ka-GE"/>
        </w:rPr>
        <w:t xml:space="preserve"> 2003 წლის 27 ივნისის N1 დადგენილებით დამტკიცებული „</w:t>
      </w:r>
      <w:r w:rsidRPr="00313E89">
        <w:rPr>
          <w:rFonts w:ascii="Sylfaen" w:hAnsi="Sylfaen" w:cs="Sylfaen"/>
          <w:bCs/>
          <w:lang w:val="ka-GE"/>
        </w:rPr>
        <w:t>საქართველოს კომუნიკაციების ეროვნული კომისიის საქმიანობის მარეგულირებელი წესები</w:t>
      </w:r>
      <w:r w:rsidRPr="007C35ED">
        <w:rPr>
          <w:rFonts w:ascii="Sylfaen" w:hAnsi="Sylfaen" w:cs="Sylfaen"/>
          <w:bCs/>
          <w:lang w:val="ka-GE"/>
        </w:rPr>
        <w:t>ს“ დანართი N3-ით დამტკიცებულია ადმინისტრაციული სამართალდარღვევის ოქმის ფორმა.</w:t>
      </w:r>
    </w:p>
    <w:p w14:paraId="4C46411F" w14:textId="222409D0" w:rsidR="00867B1F" w:rsidRPr="008608FF" w:rsidRDefault="00AE2B2C" w:rsidP="009B5A08">
      <w:pPr>
        <w:jc w:val="both"/>
        <w:rPr>
          <w:rFonts w:ascii="Sylfaen" w:hAnsi="Sylfaen" w:cs="Sylfaen"/>
          <w:bCs/>
          <w:lang w:val="ka-GE"/>
        </w:rPr>
      </w:pPr>
      <w:r w:rsidRPr="008608FF">
        <w:rPr>
          <w:rFonts w:ascii="Sylfaen" w:hAnsi="Sylfaen" w:cs="Sylfaen"/>
          <w:bCs/>
          <w:lang w:val="ka-GE"/>
        </w:rPr>
        <w:t>დღეისათვის მოქმედი სალიცენზიო მოწმობისა და ადმინისტრაციული სამართალდარღვევის ოქმის ფორმა არის მოძველებული (</w:t>
      </w:r>
      <w:r w:rsidR="00867B1F" w:rsidRPr="008608FF">
        <w:rPr>
          <w:rFonts w:ascii="Sylfaen" w:hAnsi="Sylfaen" w:cs="Sylfaen"/>
          <w:bCs/>
          <w:lang w:val="ka-GE"/>
        </w:rPr>
        <w:t xml:space="preserve">მაგ. </w:t>
      </w:r>
      <w:r w:rsidRPr="008608FF">
        <w:rPr>
          <w:rFonts w:ascii="Sylfaen" w:hAnsi="Sylfaen" w:cs="Sylfaen"/>
          <w:bCs/>
          <w:lang w:val="ka-GE"/>
        </w:rPr>
        <w:t>ლიცენზიის ფორმის შემთხვევაში მასში მითითებულია კომისიის იმ წევრების ვინაობა, რომლებიც აღარ არიან კომისიის წევრები. მით უფრო, რომ მიზანშეწონილი არ არის სალიცენზიო მოწმობის ტიპურ ფორმაში მითითებული იყოს კომისიის წევრები</w:t>
      </w:r>
      <w:r w:rsidR="00867B1F" w:rsidRPr="008608FF">
        <w:rPr>
          <w:rFonts w:ascii="Sylfaen" w:hAnsi="Sylfaen" w:cs="Sylfaen"/>
          <w:bCs/>
          <w:lang w:val="ka-GE"/>
        </w:rPr>
        <w:t>ს ვინაობა. ადმი</w:t>
      </w:r>
      <w:r w:rsidR="002E027A" w:rsidRPr="008608FF">
        <w:rPr>
          <w:rFonts w:ascii="Sylfaen" w:hAnsi="Sylfaen" w:cs="Sylfaen"/>
          <w:bCs/>
          <w:lang w:val="ka-GE"/>
        </w:rPr>
        <w:t>ნის</w:t>
      </w:r>
      <w:r w:rsidR="00867B1F" w:rsidRPr="008608FF">
        <w:rPr>
          <w:rFonts w:ascii="Sylfaen" w:hAnsi="Sylfaen" w:cs="Sylfaen"/>
          <w:bCs/>
          <w:lang w:val="ka-GE"/>
        </w:rPr>
        <w:t>ტრაციული სამართალდარღვევის ოქმის შემთხვევაში</w:t>
      </w:r>
      <w:r w:rsidR="002E027A" w:rsidRPr="008608FF">
        <w:rPr>
          <w:rFonts w:ascii="Sylfaen" w:hAnsi="Sylfaen" w:cs="Sylfaen"/>
          <w:bCs/>
          <w:lang w:val="ka-GE"/>
        </w:rPr>
        <w:t xml:space="preserve"> -</w:t>
      </w:r>
      <w:r w:rsidR="00867B1F" w:rsidRPr="008608FF">
        <w:rPr>
          <w:rFonts w:ascii="Sylfaen" w:hAnsi="Sylfaen" w:cs="Sylfaen"/>
          <w:bCs/>
          <w:lang w:val="ka-GE"/>
        </w:rPr>
        <w:t xml:space="preserve"> პირის საიდენტიფიკაციო მონაცემების ჩამონათვალში არ არის მითითებული პირადი ნომერი/საიდენტიფიკაციო კოდი, რომლის გარეშეც პირის იდენტიფიცირება პრაქტიკულად შეუძლებელია), ასევე როგორც </w:t>
      </w:r>
      <w:r w:rsidR="000D1684" w:rsidRPr="008608FF">
        <w:rPr>
          <w:rFonts w:ascii="Sylfaen" w:hAnsi="Sylfaen" w:cs="Sylfaen"/>
          <w:bCs/>
          <w:lang w:val="ka-GE"/>
        </w:rPr>
        <w:t>სალიცენზიო</w:t>
      </w:r>
      <w:r w:rsidR="00867B1F" w:rsidRPr="008608FF">
        <w:rPr>
          <w:rFonts w:ascii="Sylfaen" w:hAnsi="Sylfaen" w:cs="Sylfaen"/>
          <w:bCs/>
          <w:lang w:val="ka-GE"/>
        </w:rPr>
        <w:t xml:space="preserve"> მოწმობის, ისე ადმინისტრაციული სამართალდარღვევის ოქმის ფორმებზე</w:t>
      </w:r>
      <w:r w:rsidR="00D2789B">
        <w:rPr>
          <w:rFonts w:ascii="Sylfaen" w:hAnsi="Sylfaen" w:cs="Sylfaen"/>
          <w:bCs/>
          <w:lang w:val="ka-GE"/>
        </w:rPr>
        <w:t xml:space="preserve"> არ არის</w:t>
      </w:r>
      <w:r w:rsidR="00867B1F" w:rsidRPr="008608FF">
        <w:rPr>
          <w:rFonts w:ascii="Sylfaen" w:hAnsi="Sylfaen" w:cs="Sylfaen"/>
          <w:bCs/>
          <w:lang w:val="ka-GE"/>
        </w:rPr>
        <w:t xml:space="preserve"> დატანილი კომისიის ლოგო. </w:t>
      </w:r>
    </w:p>
    <w:p w14:paraId="7D7CB24C" w14:textId="02568858" w:rsidR="002E027A" w:rsidRPr="008608FF" w:rsidRDefault="00867B1F" w:rsidP="009B5A08">
      <w:pPr>
        <w:jc w:val="both"/>
        <w:rPr>
          <w:rFonts w:ascii="Sylfaen" w:hAnsi="Sylfaen" w:cs="Sylfaen"/>
          <w:bCs/>
          <w:lang w:val="ka-GE"/>
        </w:rPr>
      </w:pPr>
      <w:r w:rsidRPr="008608FF">
        <w:rPr>
          <w:rFonts w:ascii="Sylfaen" w:hAnsi="Sylfaen" w:cs="Sylfaen"/>
          <w:bCs/>
          <w:lang w:val="ka-GE"/>
        </w:rPr>
        <w:t>ყოველივე აღნიშნულიდან გამომდინარე,  საჭიროა</w:t>
      </w:r>
      <w:r w:rsidR="009B5A08" w:rsidRPr="008608FF">
        <w:rPr>
          <w:rFonts w:ascii="Sylfaen" w:hAnsi="Sylfaen" w:cs="Sylfaen"/>
          <w:bCs/>
          <w:lang w:val="ka-GE"/>
        </w:rPr>
        <w:t xml:space="preserve"> ლიცენზიის ფორმებში და ადმინისტრაციულ სამართალდარღვევათა ოქმის ფორმასა და შინაარსში გარკვეული რეკვიზიტების, ფორმის, სიმბოლოების და დამცავი ნიშნების ცვლილებ</w:t>
      </w:r>
      <w:r w:rsidRPr="008608FF">
        <w:rPr>
          <w:rFonts w:ascii="Sylfaen" w:hAnsi="Sylfaen" w:cs="Sylfaen"/>
          <w:bCs/>
          <w:lang w:val="ka-GE"/>
        </w:rPr>
        <w:t>ა</w:t>
      </w:r>
      <w:r w:rsidR="009B5A08" w:rsidRPr="008608FF">
        <w:rPr>
          <w:rFonts w:ascii="Sylfaen" w:hAnsi="Sylfaen" w:cs="Sylfaen"/>
          <w:bCs/>
          <w:lang w:val="ka-GE"/>
        </w:rPr>
        <w:t>.</w:t>
      </w:r>
    </w:p>
    <w:p w14:paraId="1EB06C41" w14:textId="37E05C07" w:rsidR="002E027A" w:rsidRPr="008608FF" w:rsidRDefault="00497A9D" w:rsidP="009B5A08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 xml:space="preserve">კერძოდ, </w:t>
      </w:r>
      <w:r w:rsidR="009B5A08" w:rsidRPr="008608FF">
        <w:rPr>
          <w:rFonts w:ascii="Sylfaen" w:hAnsi="Sylfaen" w:cs="Sylfaen"/>
          <w:bCs/>
          <w:lang w:val="ka-GE"/>
        </w:rPr>
        <w:t xml:space="preserve">უნდა შეიცვალოს </w:t>
      </w:r>
      <w:r w:rsidR="00867B1F" w:rsidRPr="008608FF">
        <w:rPr>
          <w:rFonts w:ascii="Sylfaen" w:hAnsi="Sylfaen" w:cs="Sylfaen"/>
          <w:bCs/>
          <w:lang w:val="ka-GE"/>
        </w:rPr>
        <w:t xml:space="preserve">სალიცენზიო მოწმობაში </w:t>
      </w:r>
      <w:r w:rsidR="009B5A08" w:rsidRPr="008608FF">
        <w:rPr>
          <w:rFonts w:ascii="Sylfaen" w:hAnsi="Sylfaen" w:cs="Sylfaen"/>
          <w:bCs/>
          <w:lang w:val="ka-GE"/>
        </w:rPr>
        <w:t xml:space="preserve"> მისათითებელი ინფორმაცია</w:t>
      </w:r>
      <w:r w:rsidR="00765A71" w:rsidRPr="008608FF">
        <w:rPr>
          <w:rFonts w:ascii="Sylfaen" w:hAnsi="Sylfaen" w:cs="Sylfaen"/>
          <w:bCs/>
          <w:lang w:val="ka-GE"/>
        </w:rPr>
        <w:t xml:space="preserve"> და</w:t>
      </w:r>
      <w:r w:rsidR="009B5A08" w:rsidRPr="008608FF">
        <w:rPr>
          <w:rFonts w:ascii="Sylfaen" w:hAnsi="Sylfaen" w:cs="Sylfaen"/>
          <w:bCs/>
          <w:lang w:val="ka-GE"/>
        </w:rPr>
        <w:t xml:space="preserve">  სავალდებულოდ უნდა ჩაიწეროს ლიცენზიის ნომერი, ლიცენზიის მფლობელი, ლიცენზიის მოქმედების ვადა, ლიცენზიის გაცემის საფუძველი/სალიცენზიო პირობები და სალიცენზიო მოწმობის გაცემის თარიღი. ლიცენზი</w:t>
      </w:r>
      <w:r w:rsidR="002E027A" w:rsidRPr="008608FF">
        <w:rPr>
          <w:rFonts w:ascii="Sylfaen" w:hAnsi="Sylfaen" w:cs="Sylfaen"/>
          <w:bCs/>
          <w:lang w:val="ka-GE"/>
        </w:rPr>
        <w:t>ის ხელმოწერის ადგილა</w:t>
      </w:r>
      <w:r w:rsidR="00F467AA">
        <w:rPr>
          <w:rFonts w:ascii="Sylfaen" w:hAnsi="Sylfaen" w:cs="Sylfaen"/>
          <w:bCs/>
          <w:lang w:val="ka-GE"/>
        </w:rPr>
        <w:t>ს</w:t>
      </w:r>
      <w:r w:rsidR="002E027A" w:rsidRPr="008608FF">
        <w:rPr>
          <w:rFonts w:ascii="Sylfaen" w:hAnsi="Sylfaen" w:cs="Sylfaen"/>
          <w:bCs/>
          <w:lang w:val="ka-GE"/>
        </w:rPr>
        <w:t xml:space="preserve"> კი უნდა განისაზღვროს მხოლოდ ხელმომწერი პირების თანამდებობები და არა კონკრეტული სახელები და გვარები, რომლ</w:t>
      </w:r>
      <w:r w:rsidR="007617B2">
        <w:rPr>
          <w:rFonts w:ascii="Sylfaen" w:hAnsi="Sylfaen" w:cs="Sylfaen"/>
          <w:bCs/>
          <w:lang w:val="ka-GE"/>
        </w:rPr>
        <w:t>ებ</w:t>
      </w:r>
      <w:r w:rsidR="002E027A" w:rsidRPr="008608FF">
        <w:rPr>
          <w:rFonts w:ascii="Sylfaen" w:hAnsi="Sylfaen" w:cs="Sylfaen"/>
          <w:bCs/>
          <w:lang w:val="ka-GE"/>
        </w:rPr>
        <w:t>იც მუდმივად ცვალებადია.</w:t>
      </w:r>
      <w:r w:rsidR="00F467AA">
        <w:rPr>
          <w:rFonts w:ascii="Sylfaen" w:hAnsi="Sylfaen" w:cs="Sylfaen"/>
          <w:bCs/>
          <w:lang w:val="ka-GE"/>
        </w:rPr>
        <w:t xml:space="preserve"> </w:t>
      </w:r>
      <w:r w:rsidR="002E027A" w:rsidRPr="008608FF">
        <w:rPr>
          <w:rFonts w:ascii="Sylfaen" w:hAnsi="Sylfaen" w:cs="Sylfaen"/>
          <w:bCs/>
          <w:lang w:val="ka-GE"/>
        </w:rPr>
        <w:t>ასევე, სალიცენზიო მოწმობებზე დატანილ უნდა იქნ</w:t>
      </w:r>
      <w:r w:rsidR="00F467AA">
        <w:rPr>
          <w:rFonts w:ascii="Sylfaen" w:hAnsi="Sylfaen" w:cs="Sylfaen"/>
          <w:bCs/>
          <w:lang w:val="ka-GE"/>
        </w:rPr>
        <w:t>ე</w:t>
      </w:r>
      <w:r w:rsidR="002E027A" w:rsidRPr="008608FF">
        <w:rPr>
          <w:rFonts w:ascii="Sylfaen" w:hAnsi="Sylfaen" w:cs="Sylfaen"/>
          <w:bCs/>
          <w:lang w:val="ka-GE"/>
        </w:rPr>
        <w:t>ს კომისიის ახალი, მოქმედი ლოგო.</w:t>
      </w:r>
    </w:p>
    <w:p w14:paraId="7009CDC9" w14:textId="5552F604" w:rsidR="000472F4" w:rsidRPr="008608FF" w:rsidRDefault="009B5A08" w:rsidP="009B5A08">
      <w:pPr>
        <w:jc w:val="both"/>
        <w:rPr>
          <w:rFonts w:ascii="Sylfaen" w:hAnsi="Sylfaen" w:cs="Sylfaen"/>
          <w:bCs/>
          <w:lang w:val="ka-GE"/>
        </w:rPr>
      </w:pPr>
      <w:r w:rsidRPr="008608FF">
        <w:rPr>
          <w:rFonts w:ascii="Sylfaen" w:hAnsi="Sylfaen" w:cs="Sylfaen"/>
          <w:bCs/>
          <w:lang w:val="ka-GE"/>
        </w:rPr>
        <w:t>ადმინისტრაციულ</w:t>
      </w:r>
      <w:r w:rsidR="00F467AA">
        <w:rPr>
          <w:rFonts w:ascii="Sylfaen" w:hAnsi="Sylfaen" w:cs="Sylfaen"/>
          <w:bCs/>
          <w:lang w:val="ka-GE"/>
        </w:rPr>
        <w:t>ი</w:t>
      </w:r>
      <w:r w:rsidRPr="008608FF">
        <w:rPr>
          <w:rFonts w:ascii="Sylfaen" w:hAnsi="Sylfaen" w:cs="Sylfaen"/>
          <w:bCs/>
          <w:lang w:val="ka-GE"/>
        </w:rPr>
        <w:t xml:space="preserve"> სამართალდარღვევის ოქმ</w:t>
      </w:r>
      <w:r w:rsidR="00F467AA">
        <w:rPr>
          <w:rFonts w:ascii="Sylfaen" w:hAnsi="Sylfaen" w:cs="Sylfaen"/>
          <w:bCs/>
          <w:lang w:val="ka-GE"/>
        </w:rPr>
        <w:t>ის ფორმაში</w:t>
      </w:r>
      <w:r w:rsidRPr="008608FF">
        <w:rPr>
          <w:rFonts w:ascii="Sylfaen" w:hAnsi="Sylfaen" w:cs="Sylfaen"/>
          <w:bCs/>
          <w:lang w:val="ka-GE"/>
        </w:rPr>
        <w:t xml:space="preserve"> გათვალისწინებულია </w:t>
      </w:r>
      <w:r w:rsidR="00F467AA">
        <w:rPr>
          <w:rFonts w:ascii="Sylfaen" w:hAnsi="Sylfaen" w:cs="Sylfaen"/>
          <w:bCs/>
          <w:lang w:val="ka-GE"/>
        </w:rPr>
        <w:t xml:space="preserve">საქართველოს </w:t>
      </w:r>
      <w:r w:rsidRPr="008608FF">
        <w:rPr>
          <w:rFonts w:ascii="Sylfaen" w:hAnsi="Sylfaen" w:cs="Sylfaen"/>
          <w:bCs/>
          <w:lang w:val="ka-GE"/>
        </w:rPr>
        <w:t>ადმინისტრაციულ სამართალდარღვევათა კოდექსის 240-ე მუხლით განსაზღვრული ოქმში აღსანიშნი ინფორმაცია. ასევე, კომისია მიზანშეწონილად მი</w:t>
      </w:r>
      <w:r w:rsidR="00A50480">
        <w:rPr>
          <w:rFonts w:ascii="Sylfaen" w:hAnsi="Sylfaen" w:cs="Sylfaen"/>
          <w:bCs/>
          <w:lang w:val="ka-GE"/>
        </w:rPr>
        <w:t>ი</w:t>
      </w:r>
      <w:r w:rsidRPr="008608FF">
        <w:rPr>
          <w:rFonts w:ascii="Sylfaen" w:hAnsi="Sylfaen" w:cs="Sylfaen"/>
          <w:bCs/>
          <w:lang w:val="ka-GE"/>
        </w:rPr>
        <w:t>ჩნევს, პირის იდენტიფიცირების მიზნით, ოქმში, მეტი სიცხადისთვის, დაემატოს სამართალდამრღვევის და მოწმეების პირადი ან/და საიდენტიფიკაციო მონაცემები</w:t>
      </w:r>
      <w:r w:rsidR="002E027A" w:rsidRPr="008608FF">
        <w:rPr>
          <w:rFonts w:ascii="Sylfaen" w:hAnsi="Sylfaen" w:cs="Sylfaen"/>
          <w:bCs/>
          <w:lang w:val="ka-GE"/>
        </w:rPr>
        <w:t xml:space="preserve">, რისთვისაც ცვლილება უნდა შევიდეს </w:t>
      </w:r>
      <w:r w:rsidR="00A80C08" w:rsidRPr="008608FF">
        <w:rPr>
          <w:rFonts w:ascii="Sylfaen" w:hAnsi="Sylfaen" w:cs="Sylfaen"/>
          <w:bCs/>
          <w:lang w:val="ka-GE"/>
        </w:rPr>
        <w:t>საქართველოს კომუნიკაციების ეროვნული კომისიის 2003 წლის 27 ივნისის №1 დადგენილებით დამტკიცებულ „საქართველოს კომუნიკაციების ეროვნული კომისიის საქმიანობის მარეგულირებელი წესების“   37-ე მუხლის პირველი პუნქტის</w:t>
      </w:r>
      <w:r w:rsidR="008C23E5" w:rsidRPr="008608FF">
        <w:rPr>
          <w:rFonts w:ascii="Sylfaen" w:hAnsi="Sylfaen" w:cs="Sylfaen"/>
          <w:bCs/>
          <w:lang w:val="ka-GE"/>
        </w:rPr>
        <w:t xml:space="preserve"> </w:t>
      </w:r>
      <w:r w:rsidR="00E57CE9" w:rsidRPr="008608FF">
        <w:rPr>
          <w:rFonts w:ascii="Sylfaen" w:hAnsi="Sylfaen" w:cs="Sylfaen"/>
          <w:bCs/>
          <w:lang w:val="ka-GE"/>
        </w:rPr>
        <w:t>„</w:t>
      </w:r>
      <w:r w:rsidR="00B467AC">
        <w:rPr>
          <w:rFonts w:ascii="Sylfaen" w:hAnsi="Sylfaen" w:cs="Sylfaen"/>
          <w:bCs/>
          <w:lang w:val="ka-GE"/>
        </w:rPr>
        <w:t>ე</w:t>
      </w:r>
      <w:r w:rsidR="00E57CE9" w:rsidRPr="008608FF">
        <w:rPr>
          <w:rFonts w:ascii="Sylfaen" w:hAnsi="Sylfaen" w:cs="Sylfaen"/>
          <w:bCs/>
          <w:lang w:val="ka-GE"/>
        </w:rPr>
        <w:t>“</w:t>
      </w:r>
      <w:r w:rsidR="008C23E5" w:rsidRPr="008608FF">
        <w:rPr>
          <w:rFonts w:ascii="Sylfaen" w:hAnsi="Sylfaen" w:cs="Sylfaen"/>
          <w:bCs/>
          <w:lang w:val="ka-GE"/>
        </w:rPr>
        <w:t xml:space="preserve"> ქვეპუნქტ</w:t>
      </w:r>
      <w:r w:rsidR="00E57CE9" w:rsidRPr="008608FF">
        <w:rPr>
          <w:rFonts w:ascii="Sylfaen" w:hAnsi="Sylfaen" w:cs="Sylfaen"/>
          <w:bCs/>
          <w:lang w:val="ka-GE"/>
        </w:rPr>
        <w:t xml:space="preserve">ში და სამართალდარღვევის ოქმის ფორმა დამტკიცდეს განახლებული სახით. </w:t>
      </w:r>
    </w:p>
    <w:p w14:paraId="72A25FA9" w14:textId="37B7EFC2" w:rsidR="00F03108" w:rsidRPr="008608FF" w:rsidRDefault="00F03108" w:rsidP="005C16A4">
      <w:pPr>
        <w:spacing w:before="120" w:after="120" w:line="276" w:lineRule="auto"/>
        <w:jc w:val="both"/>
        <w:rPr>
          <w:rFonts w:ascii="Sylfaen" w:eastAsia="Calibri" w:hAnsi="Sylfaen" w:cs="Times New Roman"/>
          <w:b/>
          <w:lang w:val="ka-GE"/>
        </w:rPr>
      </w:pPr>
      <w:r w:rsidRPr="008608FF">
        <w:rPr>
          <w:rFonts w:ascii="Sylfaen" w:eastAsia="Calibri" w:hAnsi="Sylfaen" w:cs="Times New Roman"/>
          <w:lang w:val="ka-GE"/>
        </w:rPr>
        <w:t xml:space="preserve">დადგენილების პროექტის მიღება გავლენას არ მოახდენს </w:t>
      </w:r>
      <w:r w:rsidR="0034205C" w:rsidRPr="008608FF">
        <w:rPr>
          <w:rFonts w:ascii="Sylfaen" w:eastAsia="Calibri" w:hAnsi="Sylfaen" w:cs="Times New Roman"/>
          <w:lang w:val="ka-GE"/>
        </w:rPr>
        <w:t xml:space="preserve">არც </w:t>
      </w:r>
      <w:r w:rsidRPr="008608FF">
        <w:rPr>
          <w:rFonts w:ascii="Sylfaen" w:eastAsia="Calibri" w:hAnsi="Sylfaen" w:cs="Times New Roman"/>
          <w:lang w:val="ka-GE"/>
        </w:rPr>
        <w:t>სახელმწიფო ბიუჯეტის საშემოსავლო და ხარჯვით ნაწილებზე</w:t>
      </w:r>
      <w:r w:rsidR="0034205C" w:rsidRPr="008608FF">
        <w:rPr>
          <w:rFonts w:ascii="Sylfaen" w:eastAsia="Calibri" w:hAnsi="Sylfaen" w:cs="Times New Roman"/>
          <w:lang w:val="ka-GE"/>
        </w:rPr>
        <w:t xml:space="preserve"> და არც იმ პირთა ფინანსურ მდგომარეობაზე, რომლებზეც გავრცელდება მისი მოქმედება</w:t>
      </w:r>
      <w:r w:rsidRPr="008608FF">
        <w:rPr>
          <w:rFonts w:ascii="Sylfaen" w:eastAsia="Calibri" w:hAnsi="Sylfaen" w:cs="Times New Roman"/>
          <w:lang w:val="ka-GE"/>
        </w:rPr>
        <w:t>.</w:t>
      </w:r>
    </w:p>
    <w:p w14:paraId="5A3CCDC1" w14:textId="77777777" w:rsidR="00F03108" w:rsidRPr="008608FF" w:rsidRDefault="00F03108" w:rsidP="005C16A4">
      <w:pPr>
        <w:spacing w:before="120" w:after="120" w:line="276" w:lineRule="auto"/>
        <w:jc w:val="both"/>
        <w:rPr>
          <w:rFonts w:ascii="Sylfaen" w:eastAsia="Calibri" w:hAnsi="Sylfaen" w:cs="Times New Roman"/>
          <w:lang w:val="ka-GE"/>
        </w:rPr>
      </w:pPr>
      <w:r w:rsidRPr="008608FF">
        <w:rPr>
          <w:rFonts w:ascii="Sylfaen" w:eastAsia="Calibri" w:hAnsi="Sylfaen" w:cs="Times New Roman"/>
          <w:lang w:val="ka-GE"/>
        </w:rPr>
        <w:t>დადგენილების პროექტის ავტორია საქართველოს კომუნიკაციების ეროვნული კომისია.</w:t>
      </w:r>
    </w:p>
    <w:p w14:paraId="69AE4C96" w14:textId="77777777" w:rsidR="00F03108" w:rsidRPr="008608FF" w:rsidRDefault="00F03108" w:rsidP="005C16A4">
      <w:pPr>
        <w:spacing w:before="120" w:after="120" w:line="276" w:lineRule="auto"/>
        <w:rPr>
          <w:rFonts w:ascii="Sylfaen" w:eastAsia="Calibri" w:hAnsi="Sylfaen" w:cs="Times New Roman"/>
          <w:lang w:val="ka-GE"/>
        </w:rPr>
      </w:pPr>
    </w:p>
    <w:p w14:paraId="5EBD10C6" w14:textId="77777777" w:rsidR="00F03108" w:rsidRPr="008608FF" w:rsidRDefault="00F03108" w:rsidP="005C16A4">
      <w:pPr>
        <w:spacing w:before="120" w:after="120" w:line="276" w:lineRule="auto"/>
        <w:rPr>
          <w:rFonts w:ascii="Sylfaen" w:eastAsia="Calibri" w:hAnsi="Sylfaen" w:cs="Times New Roman"/>
          <w:lang w:val="ka-GE"/>
        </w:rPr>
      </w:pPr>
    </w:p>
    <w:p w14:paraId="326B4508" w14:textId="77777777" w:rsidR="005F38B0" w:rsidRPr="008608FF" w:rsidRDefault="005F38B0" w:rsidP="005C16A4">
      <w:pPr>
        <w:spacing w:before="120" w:after="120" w:line="276" w:lineRule="auto"/>
        <w:jc w:val="both"/>
        <w:rPr>
          <w:rFonts w:ascii="Sylfaen" w:hAnsi="Sylfaen"/>
          <w:lang w:val="ka-GE"/>
        </w:rPr>
      </w:pPr>
    </w:p>
    <w:p w14:paraId="464D500B" w14:textId="77777777" w:rsidR="005F38B0" w:rsidRPr="008608FF" w:rsidRDefault="005F38B0" w:rsidP="005C16A4">
      <w:pPr>
        <w:spacing w:before="120" w:after="120" w:line="276" w:lineRule="auto"/>
        <w:jc w:val="both"/>
        <w:rPr>
          <w:rFonts w:ascii="Sylfaen" w:hAnsi="Sylfaen"/>
          <w:lang w:val="ka-GE"/>
        </w:rPr>
      </w:pPr>
    </w:p>
    <w:p w14:paraId="0E7EC5DD" w14:textId="77777777" w:rsidR="005F38B0" w:rsidRPr="008608FF" w:rsidRDefault="005F38B0" w:rsidP="005C16A4">
      <w:pPr>
        <w:spacing w:before="120" w:after="120" w:line="276" w:lineRule="auto"/>
        <w:jc w:val="both"/>
        <w:rPr>
          <w:rFonts w:ascii="Sylfaen" w:hAnsi="Sylfaen"/>
          <w:lang w:val="ka-GE"/>
        </w:rPr>
      </w:pPr>
    </w:p>
    <w:p w14:paraId="0EDA9942" w14:textId="77777777" w:rsidR="00AF71F6" w:rsidRPr="008608FF" w:rsidRDefault="00AF71F6" w:rsidP="005C16A4">
      <w:pPr>
        <w:spacing w:before="120" w:after="120" w:line="276" w:lineRule="auto"/>
        <w:jc w:val="both"/>
        <w:rPr>
          <w:rFonts w:ascii="Sylfaen" w:hAnsi="Sylfaen"/>
          <w:lang w:val="ka-GE"/>
        </w:rPr>
      </w:pPr>
    </w:p>
    <w:sectPr w:rsidR="00AF71F6" w:rsidRPr="0086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B24"/>
    <w:multiLevelType w:val="hybridMultilevel"/>
    <w:tmpl w:val="7836427E"/>
    <w:lvl w:ilvl="0" w:tplc="282EE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27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6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9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20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A2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E1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29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44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00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68"/>
    <w:rsid w:val="00043B5D"/>
    <w:rsid w:val="000472F4"/>
    <w:rsid w:val="000D1684"/>
    <w:rsid w:val="000F5204"/>
    <w:rsid w:val="00107D80"/>
    <w:rsid w:val="00123AF5"/>
    <w:rsid w:val="001338CE"/>
    <w:rsid w:val="00143939"/>
    <w:rsid w:val="00155C99"/>
    <w:rsid w:val="0017366C"/>
    <w:rsid w:val="00197890"/>
    <w:rsid w:val="001E14D3"/>
    <w:rsid w:val="00223936"/>
    <w:rsid w:val="00294981"/>
    <w:rsid w:val="002A1088"/>
    <w:rsid w:val="002A3D83"/>
    <w:rsid w:val="002E027A"/>
    <w:rsid w:val="002E7430"/>
    <w:rsid w:val="00313E89"/>
    <w:rsid w:val="0034205C"/>
    <w:rsid w:val="00350168"/>
    <w:rsid w:val="003540E2"/>
    <w:rsid w:val="003A3AA1"/>
    <w:rsid w:val="003F0A03"/>
    <w:rsid w:val="004217AC"/>
    <w:rsid w:val="00424611"/>
    <w:rsid w:val="00497A9D"/>
    <w:rsid w:val="004B5EF8"/>
    <w:rsid w:val="004D0272"/>
    <w:rsid w:val="004D7C23"/>
    <w:rsid w:val="004E1767"/>
    <w:rsid w:val="00515CDC"/>
    <w:rsid w:val="0051631F"/>
    <w:rsid w:val="00543A88"/>
    <w:rsid w:val="0054543D"/>
    <w:rsid w:val="00584183"/>
    <w:rsid w:val="005C16A4"/>
    <w:rsid w:val="005D29B6"/>
    <w:rsid w:val="005D7C1D"/>
    <w:rsid w:val="005F38B0"/>
    <w:rsid w:val="00656308"/>
    <w:rsid w:val="00665953"/>
    <w:rsid w:val="006D45DD"/>
    <w:rsid w:val="006E1F0A"/>
    <w:rsid w:val="00742550"/>
    <w:rsid w:val="00753A8D"/>
    <w:rsid w:val="007617B2"/>
    <w:rsid w:val="00765A71"/>
    <w:rsid w:val="0079107D"/>
    <w:rsid w:val="00791D1E"/>
    <w:rsid w:val="007B296B"/>
    <w:rsid w:val="007C35ED"/>
    <w:rsid w:val="008608FF"/>
    <w:rsid w:val="0086705B"/>
    <w:rsid w:val="00867B1F"/>
    <w:rsid w:val="008853E6"/>
    <w:rsid w:val="008C0C39"/>
    <w:rsid w:val="008C23E5"/>
    <w:rsid w:val="008E12BA"/>
    <w:rsid w:val="009076C2"/>
    <w:rsid w:val="009B5A08"/>
    <w:rsid w:val="009E7101"/>
    <w:rsid w:val="00A06605"/>
    <w:rsid w:val="00A26106"/>
    <w:rsid w:val="00A27C6A"/>
    <w:rsid w:val="00A41BCB"/>
    <w:rsid w:val="00A50480"/>
    <w:rsid w:val="00A80C08"/>
    <w:rsid w:val="00AD0B8A"/>
    <w:rsid w:val="00AD4368"/>
    <w:rsid w:val="00AE2B2C"/>
    <w:rsid w:val="00AF71F6"/>
    <w:rsid w:val="00B467AC"/>
    <w:rsid w:val="00B7267C"/>
    <w:rsid w:val="00C16A70"/>
    <w:rsid w:val="00C26072"/>
    <w:rsid w:val="00C45C44"/>
    <w:rsid w:val="00C47EA4"/>
    <w:rsid w:val="00C54938"/>
    <w:rsid w:val="00C9631E"/>
    <w:rsid w:val="00D2789B"/>
    <w:rsid w:val="00D65755"/>
    <w:rsid w:val="00D84CF2"/>
    <w:rsid w:val="00DB3E3C"/>
    <w:rsid w:val="00E57CE9"/>
    <w:rsid w:val="00ED2002"/>
    <w:rsid w:val="00EF7883"/>
    <w:rsid w:val="00F00037"/>
    <w:rsid w:val="00F03108"/>
    <w:rsid w:val="00F467AA"/>
    <w:rsid w:val="00FC39C4"/>
    <w:rsid w:val="00FE0D5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0FB"/>
  <w15:chartTrackingRefBased/>
  <w15:docId w15:val="{95FF2FB8-60AC-4E0A-8035-012603E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1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E2B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2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B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3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Khukhunaishvili</dc:creator>
  <cp:keywords/>
  <dc:description/>
  <cp:lastModifiedBy>Tamar Goshua</cp:lastModifiedBy>
  <cp:revision>3</cp:revision>
  <dcterms:created xsi:type="dcterms:W3CDTF">2023-02-13T11:47:00Z</dcterms:created>
  <dcterms:modified xsi:type="dcterms:W3CDTF">2023-02-15T07:00:00Z</dcterms:modified>
</cp:coreProperties>
</file>