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8F2A" w14:textId="03E2DD5A" w:rsidR="005F38B0" w:rsidRPr="003A3AA1" w:rsidRDefault="005F38B0" w:rsidP="005C16A4">
      <w:pPr>
        <w:spacing w:before="120" w:after="120" w:line="276" w:lineRule="auto"/>
        <w:jc w:val="both"/>
        <w:rPr>
          <w:rFonts w:ascii="Sylfaen" w:hAnsi="Sylfaen"/>
          <w:lang w:val="ka-GE"/>
        </w:rPr>
      </w:pPr>
    </w:p>
    <w:p w14:paraId="42AF0DCA" w14:textId="77777777" w:rsidR="005F38B0" w:rsidRPr="00515CDC" w:rsidRDefault="005F38B0" w:rsidP="005C16A4">
      <w:pPr>
        <w:spacing w:before="120" w:after="120" w:line="276" w:lineRule="auto"/>
        <w:jc w:val="center"/>
        <w:rPr>
          <w:rFonts w:ascii="Sylfaen" w:hAnsi="Sylfaen"/>
          <w:b/>
          <w:lang w:val="ka-GE"/>
        </w:rPr>
      </w:pPr>
      <w:r w:rsidRPr="00515CDC">
        <w:rPr>
          <w:rFonts w:ascii="Sylfaen" w:hAnsi="Sylfaen"/>
          <w:b/>
          <w:lang w:val="ka-GE"/>
        </w:rPr>
        <w:t>განმარტებითი ბარათი</w:t>
      </w:r>
    </w:p>
    <w:p w14:paraId="50B0C736" w14:textId="77777777" w:rsidR="005F38B0" w:rsidRPr="00515CDC" w:rsidRDefault="005F38B0" w:rsidP="005C16A4">
      <w:pPr>
        <w:spacing w:before="120" w:after="120" w:line="276" w:lineRule="auto"/>
        <w:jc w:val="center"/>
        <w:rPr>
          <w:rFonts w:ascii="Sylfaen" w:hAnsi="Sylfaen"/>
          <w:b/>
          <w:lang w:val="ka-GE"/>
        </w:rPr>
      </w:pPr>
    </w:p>
    <w:p w14:paraId="67678172" w14:textId="1808C5C2" w:rsidR="005F38B0" w:rsidRPr="00515CDC" w:rsidRDefault="00784AA4" w:rsidP="005C16A4">
      <w:pPr>
        <w:spacing w:before="120" w:after="120" w:line="276" w:lineRule="auto"/>
        <w:jc w:val="center"/>
        <w:rPr>
          <w:rFonts w:ascii="Sylfaen" w:hAnsi="Sylfaen"/>
          <w:b/>
          <w:bCs/>
        </w:rPr>
      </w:pPr>
      <w:bookmarkStart w:id="0" w:name="_Hlk120200589"/>
      <w:r w:rsidRPr="00784AA4">
        <w:rPr>
          <w:rFonts w:ascii="Sylfaen" w:hAnsi="Sylfaen"/>
          <w:b/>
          <w:bCs/>
          <w:lang w:val="ka-GE"/>
        </w:rPr>
        <w:t>„ნუმერაციის რესურსის გაცემის, გამოყენების და ანგარიშსწორების წესების შესახებ“ კომისიის 2012 წლის 17 თებერვლის N2 დადგენილებაში</w:t>
      </w:r>
      <w:bookmarkEnd w:id="0"/>
      <w:r w:rsidR="00FC39C4" w:rsidRPr="00784AA4">
        <w:rPr>
          <w:rFonts w:ascii="Sylfaen" w:hAnsi="Sylfaen"/>
          <w:b/>
          <w:bCs/>
        </w:rPr>
        <w:t>    </w:t>
      </w:r>
      <w:r w:rsidR="00FC39C4" w:rsidRPr="005F38B0">
        <w:rPr>
          <w:rFonts w:ascii="Sylfaen" w:hAnsi="Sylfaen"/>
          <w:b/>
          <w:bCs/>
        </w:rPr>
        <w:t>ცვლილების    შეტანის    თაობაზე</w:t>
      </w:r>
    </w:p>
    <w:p w14:paraId="498A35FC" w14:textId="77777777" w:rsidR="00FC39C4" w:rsidRPr="00515CDC" w:rsidRDefault="00FC39C4" w:rsidP="005C16A4">
      <w:pPr>
        <w:spacing w:before="120" w:after="120" w:line="276" w:lineRule="auto"/>
        <w:jc w:val="center"/>
        <w:rPr>
          <w:rFonts w:ascii="Sylfaen" w:hAnsi="Sylfaen"/>
          <w:b/>
          <w:lang w:val="ka-GE"/>
        </w:rPr>
      </w:pPr>
    </w:p>
    <w:p w14:paraId="08DDDEB0" w14:textId="3FDE2DA7" w:rsidR="005F38B0" w:rsidRPr="00515CDC" w:rsidRDefault="005F38B0" w:rsidP="005C16A4">
      <w:pPr>
        <w:spacing w:before="120" w:after="120" w:line="276" w:lineRule="auto"/>
        <w:jc w:val="center"/>
        <w:rPr>
          <w:rFonts w:ascii="Sylfaen" w:hAnsi="Sylfaen"/>
          <w:b/>
          <w:lang w:val="ka-GE"/>
        </w:rPr>
      </w:pPr>
      <w:r w:rsidRPr="00515CDC">
        <w:rPr>
          <w:rFonts w:ascii="Sylfaen" w:hAnsi="Sylfaen"/>
          <w:b/>
          <w:lang w:val="ka-GE"/>
        </w:rPr>
        <w:t>საქართველოს კომუნიკაციების ეროვნული კომისიის დადგენილების პროექტზე</w:t>
      </w:r>
    </w:p>
    <w:p w14:paraId="31527068" w14:textId="77777777" w:rsidR="005F38B0" w:rsidRPr="00515CDC" w:rsidRDefault="005F38B0" w:rsidP="005C16A4">
      <w:pPr>
        <w:spacing w:before="120" w:after="120" w:line="276" w:lineRule="auto"/>
        <w:jc w:val="both"/>
        <w:rPr>
          <w:rFonts w:ascii="Sylfaen" w:hAnsi="Sylfaen"/>
          <w:lang w:val="ka-GE"/>
        </w:rPr>
      </w:pPr>
    </w:p>
    <w:p w14:paraId="122B6E0C" w14:textId="1EFEC55C" w:rsidR="005A2107" w:rsidRPr="00517377" w:rsidRDefault="005A2107" w:rsidP="005A210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17377">
        <w:rPr>
          <w:rFonts w:ascii="Sylfaen" w:hAnsi="Sylfaen" w:cs="Arial"/>
          <w:sz w:val="22"/>
          <w:szCs w:val="22"/>
        </w:rPr>
        <w:t>„</w:t>
      </w:r>
      <w:r w:rsidRPr="00517377">
        <w:rPr>
          <w:rFonts w:ascii="Sylfaen" w:hAnsi="Sylfaen" w:cs="Sylfaen"/>
          <w:sz w:val="22"/>
          <w:szCs w:val="22"/>
        </w:rPr>
        <w:t>ელექტრონული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კომუნიკაციების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შესახებ</w:t>
      </w:r>
      <w:r w:rsidRPr="00517377">
        <w:rPr>
          <w:rFonts w:ascii="Sylfaen" w:hAnsi="Sylfaen" w:cs="Arial"/>
          <w:sz w:val="22"/>
          <w:szCs w:val="22"/>
        </w:rPr>
        <w:t>“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საქართველოს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კანონის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მე</w:t>
      </w:r>
      <w:r w:rsidRPr="00517377">
        <w:rPr>
          <w:rFonts w:ascii="Sylfaen" w:hAnsi="Sylfaen"/>
          <w:sz w:val="22"/>
          <w:szCs w:val="22"/>
        </w:rPr>
        <w:t xml:space="preserve">-11 </w:t>
      </w:r>
      <w:r w:rsidRPr="00517377">
        <w:rPr>
          <w:rFonts w:ascii="Sylfaen" w:hAnsi="Sylfaen" w:cs="Sylfaen"/>
          <w:sz w:val="22"/>
          <w:szCs w:val="22"/>
        </w:rPr>
        <w:t>მუხლის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  <w:lang w:val="ka-GE"/>
        </w:rPr>
        <w:t>პირველი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პუნქტის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თანახმად</w:t>
      </w:r>
      <w:r w:rsidRPr="00517377">
        <w:rPr>
          <w:rFonts w:ascii="Sylfaen" w:hAnsi="Sylfaen"/>
          <w:sz w:val="22"/>
          <w:szCs w:val="22"/>
        </w:rPr>
        <w:t xml:space="preserve">, </w:t>
      </w:r>
      <w:r w:rsidRPr="00517377">
        <w:rPr>
          <w:rFonts w:ascii="Sylfaen" w:hAnsi="Sylfaen" w:cs="Sylfaen"/>
          <w:sz w:val="22"/>
          <w:szCs w:val="22"/>
        </w:rPr>
        <w:t xml:space="preserve">ელექტრონული კომუნიკაციების სფეროში </w:t>
      </w:r>
      <w:r w:rsidR="00A1070A">
        <w:rPr>
          <w:rFonts w:ascii="Sylfaen" w:hAnsi="Sylfaen" w:cs="Sylfaen"/>
          <w:sz w:val="22"/>
          <w:szCs w:val="22"/>
          <w:lang w:val="ka-GE"/>
        </w:rPr>
        <w:t xml:space="preserve">საქართველოს კომუნიკაციების ეროვნული </w:t>
      </w:r>
      <w:r w:rsidRPr="00517377">
        <w:rPr>
          <w:rFonts w:ascii="Sylfaen" w:hAnsi="Sylfaen" w:cs="Sylfaen"/>
          <w:sz w:val="22"/>
          <w:szCs w:val="22"/>
        </w:rPr>
        <w:t xml:space="preserve">კომისია </w:t>
      </w:r>
      <w:r w:rsidR="00A1070A">
        <w:rPr>
          <w:rFonts w:ascii="Sylfaen" w:hAnsi="Sylfaen" w:cs="Sylfaen"/>
          <w:sz w:val="22"/>
          <w:szCs w:val="22"/>
          <w:lang w:val="ka-GE"/>
        </w:rPr>
        <w:t xml:space="preserve">(შემდგომში „კომისია“) </w:t>
      </w:r>
      <w:r w:rsidRPr="00517377">
        <w:rPr>
          <w:rFonts w:ascii="Sylfaen" w:hAnsi="Sylfaen" w:cs="Sylfaen"/>
          <w:sz w:val="22"/>
          <w:szCs w:val="22"/>
        </w:rPr>
        <w:t>დამოუკიდებლად ახორციელებს ავტორიზებული პირების საქმიანობის ან/და რადიოსიხშირული სპექტრით ან/და ნუმერაციის რესურსით სარგებლობის რეგულირებას, მათ შორის, ნორმატიული და ინდივიდუალური სამართლებრივი აქტების მიღებას</w:t>
      </w:r>
      <w:r w:rsidRPr="00517377">
        <w:rPr>
          <w:rFonts w:ascii="Sylfaen" w:hAnsi="Sylfaen" w:cs="Sylfaen"/>
          <w:sz w:val="22"/>
          <w:szCs w:val="22"/>
          <w:lang w:val="ka-GE"/>
        </w:rPr>
        <w:t>.</w:t>
      </w:r>
    </w:p>
    <w:p w14:paraId="27297C81" w14:textId="77777777" w:rsidR="005A2107" w:rsidRPr="00517377" w:rsidRDefault="005A2107" w:rsidP="005A2107">
      <w:pPr>
        <w:spacing w:before="120" w:after="120" w:line="276" w:lineRule="auto"/>
        <w:jc w:val="both"/>
        <w:rPr>
          <w:rFonts w:ascii="Sylfaen" w:eastAsia="Times New Roman" w:hAnsi="Sylfaen" w:cs="Times New Roman"/>
          <w:lang w:val="ka-GE"/>
        </w:rPr>
      </w:pPr>
      <w:r w:rsidRPr="009E5675">
        <w:rPr>
          <w:rFonts w:ascii="Sylfaen" w:eastAsia="Times New Roman" w:hAnsi="Sylfaen" w:cs="Times New Roman"/>
          <w:lang w:val="ka-GE"/>
        </w:rPr>
        <w:t>კომისი</w:t>
      </w:r>
      <w:r w:rsidRPr="00517377">
        <w:rPr>
          <w:rFonts w:ascii="Sylfaen" w:eastAsia="Times New Roman" w:hAnsi="Sylfaen" w:cs="Times New Roman"/>
          <w:lang w:val="ka-GE"/>
        </w:rPr>
        <w:t>ის</w:t>
      </w:r>
      <w:r w:rsidRPr="009E5675">
        <w:rPr>
          <w:rFonts w:ascii="Sylfaen" w:eastAsia="Times New Roman" w:hAnsi="Sylfaen" w:cs="Times New Roman"/>
          <w:lang w:val="ka-GE"/>
        </w:rPr>
        <w:t xml:space="preserve">  2022 წლის 2</w:t>
      </w:r>
      <w:r w:rsidRPr="009E5675">
        <w:rPr>
          <w:rFonts w:ascii="Sylfaen" w:eastAsia="Times New Roman" w:hAnsi="Sylfaen" w:cs="Times New Roman"/>
        </w:rPr>
        <w:t>3</w:t>
      </w:r>
      <w:r w:rsidRPr="009E5675">
        <w:rPr>
          <w:rFonts w:ascii="Sylfaen" w:eastAsia="Times New Roman" w:hAnsi="Sylfaen" w:cs="Times New Roman"/>
          <w:lang w:val="ka-GE"/>
        </w:rPr>
        <w:t xml:space="preserve"> ივნისის </w:t>
      </w:r>
      <w:r w:rsidRPr="009E5675">
        <w:rPr>
          <w:rFonts w:ascii="Sylfaen" w:eastAsia="Times New Roman" w:hAnsi="Sylfaen" w:cs="Times New Roman"/>
        </w:rPr>
        <w:t xml:space="preserve">N4 </w:t>
      </w:r>
      <w:r w:rsidRPr="009E5675">
        <w:rPr>
          <w:rFonts w:ascii="Sylfaen" w:eastAsia="Times New Roman" w:hAnsi="Sylfaen" w:cs="Times New Roman"/>
          <w:lang w:val="ka-GE"/>
        </w:rPr>
        <w:t xml:space="preserve">დადგენილებით </w:t>
      </w:r>
      <w:r w:rsidRPr="00517377">
        <w:rPr>
          <w:rFonts w:ascii="Sylfaen" w:eastAsia="Times New Roman" w:hAnsi="Sylfaen" w:cs="Times New Roman"/>
          <w:lang w:val="ka-GE"/>
        </w:rPr>
        <w:t xml:space="preserve">განხორციელებული ცვლილების </w:t>
      </w:r>
      <w:bookmarkStart w:id="1" w:name="_Hlk119946342"/>
      <w:r w:rsidRPr="00517377">
        <w:rPr>
          <w:rFonts w:ascii="Sylfaen" w:eastAsia="Times New Roman" w:hAnsi="Sylfaen" w:cs="Times New Roman"/>
          <w:lang w:val="ka-GE"/>
        </w:rPr>
        <w:t xml:space="preserve">საფუძველზე </w:t>
      </w:r>
      <w:r w:rsidRPr="009E5675">
        <w:rPr>
          <w:rFonts w:ascii="Sylfaen" w:eastAsia="Times New Roman" w:hAnsi="Sylfaen" w:cs="Times New Roman"/>
          <w:lang w:val="ka-GE"/>
        </w:rPr>
        <w:t xml:space="preserve">  „სააბონენტო ნომრების პორტაბელურობის დებულების დამტკიცების შესახებ“ კომისიის 2010 წლის 6 ივლისის N3 დადგენილებ</w:t>
      </w:r>
      <w:r w:rsidRPr="00517377">
        <w:rPr>
          <w:rFonts w:ascii="Sylfaen" w:eastAsia="Times New Roman" w:hAnsi="Sylfaen" w:cs="Times New Roman"/>
          <w:lang w:val="ka-GE"/>
        </w:rPr>
        <w:t>ის</w:t>
      </w:r>
      <w:bookmarkEnd w:id="1"/>
      <w:r w:rsidRPr="00517377">
        <w:rPr>
          <w:rFonts w:ascii="Sylfaen" w:eastAsia="Times New Roman" w:hAnsi="Sylfaen" w:cs="Times New Roman"/>
          <w:lang w:val="ka-GE"/>
        </w:rPr>
        <w:t xml:space="preserve"> პირველი მუხლის მე-4 პუნქტს დაემატა „ვ“ ქვეპუნქტი, რომლის თანახმად, კომისია ნუმერაციის რესურსის გაცემის, გამოყენებისა და ანგარიშსწორების წესების შესაბამისად, გამოყოფს ნუმერაციის თავისუფალ რესურსს (მოკლე ტექსტური შეტყობინების ნომრებიდან 999</w:t>
      </w:r>
      <w:r w:rsidRPr="00517377">
        <w:rPr>
          <w:rFonts w:ascii="Sylfaen" w:eastAsia="Times New Roman" w:hAnsi="Sylfaen" w:cs="Times New Roman"/>
        </w:rPr>
        <w:t>XX</w:t>
      </w:r>
      <w:r w:rsidRPr="00517377">
        <w:rPr>
          <w:rFonts w:ascii="Sylfaen" w:eastAsia="Times New Roman" w:hAnsi="Sylfaen" w:cs="Times New Roman"/>
          <w:lang w:val="ka-GE"/>
        </w:rPr>
        <w:t xml:space="preserve">) და ანიჭებს მობილური საკომუნიკაციო ქსელებითა და საშუალებებით უზრუნველყოფაზე ან/და მომსახურების მიწოდებაზე ავტორიზებულ პირს მომხმარებლის მიერ პორტირების მოთხოვნის დასაფიქსირებლად. აღნიშნული ცვლილება ძალაში შედის 2023 წლის პირველი იანვრიდან. </w:t>
      </w:r>
    </w:p>
    <w:p w14:paraId="7D9A38E7" w14:textId="77777777" w:rsidR="005A2107" w:rsidRPr="00517377" w:rsidRDefault="005A2107" w:rsidP="005A210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Sylfaen" w:hAnsi="Sylfaen"/>
          <w:sz w:val="22"/>
          <w:szCs w:val="22"/>
        </w:rPr>
      </w:pPr>
      <w:r w:rsidRPr="009E5675">
        <w:rPr>
          <w:rFonts w:ascii="Sylfaen" w:hAnsi="Sylfaen"/>
          <w:sz w:val="22"/>
          <w:szCs w:val="22"/>
          <w:lang w:val="ka-GE"/>
        </w:rPr>
        <w:t xml:space="preserve"> „სააბონენტო ნომრების პორტაბელურობის დებულების დამტკიცების შესახებ“ კომისიის 2010 წლის 6 ივლისის N3 დადგენილებ</w:t>
      </w:r>
      <w:r w:rsidRPr="00517377">
        <w:rPr>
          <w:rFonts w:ascii="Sylfaen" w:hAnsi="Sylfaen"/>
          <w:sz w:val="22"/>
          <w:szCs w:val="22"/>
          <w:lang w:val="ka-GE"/>
        </w:rPr>
        <w:t xml:space="preserve">ასთან შესაბამისობაში მოყვანის მიზნით, კომისიას მიზანშეწონილად მიაჩნია </w:t>
      </w:r>
      <w:r w:rsidRPr="009E5675">
        <w:rPr>
          <w:rFonts w:ascii="Sylfaen" w:hAnsi="Sylfaen"/>
          <w:sz w:val="22"/>
          <w:szCs w:val="22"/>
          <w:lang w:val="ka-GE"/>
        </w:rPr>
        <w:t xml:space="preserve">„ნუმერაციის რესურსის გაცემის, გამოყენების და ანგარიშსწორების წესების შესახებ“ კომისიის 2012 წლის 17 თებერვლის N2 დადგენილებაში ცვლილების </w:t>
      </w:r>
      <w:r w:rsidRPr="00517377">
        <w:rPr>
          <w:rFonts w:ascii="Sylfaen" w:hAnsi="Sylfaen"/>
          <w:sz w:val="22"/>
          <w:szCs w:val="22"/>
          <w:lang w:val="ka-GE"/>
        </w:rPr>
        <w:t xml:space="preserve">განხორციელება, რომლის საფუძველზე, </w:t>
      </w:r>
      <w:r w:rsidRPr="00517377">
        <w:rPr>
          <w:rFonts w:ascii="Sylfaen" w:hAnsi="Sylfaen" w:cs="Sylfaen"/>
          <w:sz w:val="22"/>
          <w:szCs w:val="22"/>
        </w:rPr>
        <w:t>მობილური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ელექტრონული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საკომუნიკაციო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ქსელებითა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და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საშუალებებით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უზრუნველყოფაზე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ან</w:t>
      </w:r>
      <w:r w:rsidRPr="00517377">
        <w:rPr>
          <w:rFonts w:ascii="Sylfaen" w:hAnsi="Sylfaen"/>
          <w:sz w:val="22"/>
          <w:szCs w:val="22"/>
        </w:rPr>
        <w:t>/</w:t>
      </w:r>
      <w:r w:rsidRPr="00517377">
        <w:rPr>
          <w:rFonts w:ascii="Sylfaen" w:hAnsi="Sylfaen" w:cs="Sylfaen"/>
          <w:sz w:val="22"/>
          <w:szCs w:val="22"/>
        </w:rPr>
        <w:t>და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მომსახურების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მიწოდებაზე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ავტორიზებულ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პირებს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მიენიჭ</w:t>
      </w:r>
      <w:r w:rsidRPr="00517377">
        <w:rPr>
          <w:rFonts w:ascii="Sylfaen" w:hAnsi="Sylfaen" w:cs="Sylfaen"/>
          <w:sz w:val="22"/>
          <w:szCs w:val="22"/>
          <w:lang w:val="ka-GE"/>
        </w:rPr>
        <w:t>ებათ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ტექსტური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შეტყობინების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ერთიანი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ნომრით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სარგებლობის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უფლება</w:t>
      </w:r>
      <w:r w:rsidRPr="00517377">
        <w:rPr>
          <w:rFonts w:ascii="Sylfaen" w:hAnsi="Sylfaen"/>
          <w:sz w:val="22"/>
          <w:szCs w:val="22"/>
        </w:rPr>
        <w:t>.</w:t>
      </w:r>
    </w:p>
    <w:p w14:paraId="2085E02B" w14:textId="77777777" w:rsidR="005A2107" w:rsidRPr="00517377" w:rsidRDefault="005A2107" w:rsidP="005A2107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Sylfaen" w:hAnsi="Sylfaen"/>
          <w:sz w:val="22"/>
          <w:szCs w:val="22"/>
          <w:lang w:val="ka-GE"/>
        </w:rPr>
      </w:pPr>
      <w:bookmarkStart w:id="2" w:name="_Hlk120200457"/>
      <w:r w:rsidRPr="00517377">
        <w:rPr>
          <w:rFonts w:ascii="Sylfaen" w:hAnsi="Sylfaen" w:cs="Arial"/>
          <w:sz w:val="22"/>
          <w:szCs w:val="22"/>
        </w:rPr>
        <w:t>„</w:t>
      </w:r>
      <w:r w:rsidRPr="00517377">
        <w:rPr>
          <w:rFonts w:ascii="Sylfaen" w:hAnsi="Sylfaen" w:cs="Sylfaen"/>
          <w:sz w:val="22"/>
          <w:szCs w:val="22"/>
        </w:rPr>
        <w:t>საქართველოს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ელექტრონული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საკომუნიკაციო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ქსელების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ნუმერაციის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ეროვნული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სისტემის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დებულების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დამტკიცების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შესახებ</w:t>
      </w:r>
      <w:r w:rsidRPr="00517377">
        <w:rPr>
          <w:rFonts w:ascii="Sylfaen" w:hAnsi="Sylfaen" w:cs="Arial"/>
          <w:sz w:val="22"/>
          <w:szCs w:val="22"/>
        </w:rPr>
        <w:t>“</w:t>
      </w:r>
      <w:r w:rsidRPr="00517377">
        <w:rPr>
          <w:rFonts w:ascii="Sylfaen" w:hAnsi="Sylfaen"/>
          <w:sz w:val="22"/>
          <w:szCs w:val="22"/>
        </w:rPr>
        <w:t xml:space="preserve"> საქართველოს მთავრობის 2010 წლის 18 ნოემბრის N355 დადგენილების </w:t>
      </w:r>
      <w:bookmarkEnd w:id="2"/>
      <w:r w:rsidRPr="00517377">
        <w:rPr>
          <w:rFonts w:ascii="Sylfaen" w:hAnsi="Sylfaen" w:cs="Sylfaen"/>
          <w:sz w:val="22"/>
          <w:szCs w:val="22"/>
        </w:rPr>
        <w:t>თანახმად</w:t>
      </w:r>
      <w:r w:rsidRPr="00517377">
        <w:rPr>
          <w:rFonts w:ascii="Sylfaen" w:hAnsi="Sylfaen"/>
          <w:sz w:val="22"/>
          <w:szCs w:val="22"/>
        </w:rPr>
        <w:t>,</w:t>
      </w:r>
      <w:r w:rsidRPr="00517377">
        <w:rPr>
          <w:rFonts w:ascii="Sylfaen" w:hAnsi="Sylfaen" w:cs="Arial"/>
          <w:sz w:val="22"/>
          <w:szCs w:val="22"/>
        </w:rPr>
        <w:t> 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Arial"/>
          <w:sz w:val="22"/>
          <w:szCs w:val="22"/>
        </w:rPr>
        <w:t> </w:t>
      </w:r>
      <w:r w:rsidRPr="00517377">
        <w:rPr>
          <w:rFonts w:ascii="Sylfaen" w:hAnsi="Sylfaen"/>
          <w:sz w:val="22"/>
          <w:szCs w:val="22"/>
        </w:rPr>
        <w:t xml:space="preserve">9XXXX </w:t>
      </w:r>
      <w:r w:rsidRPr="00517377">
        <w:rPr>
          <w:rFonts w:ascii="Sylfaen" w:hAnsi="Sylfaen" w:cs="Sylfaen"/>
          <w:sz w:val="22"/>
          <w:szCs w:val="22"/>
        </w:rPr>
        <w:t>ფორმატის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ნომრები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განკუთვნილია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მოკლე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ტექსტური</w:t>
      </w:r>
      <w:r w:rsidRPr="00517377">
        <w:rPr>
          <w:rFonts w:ascii="Sylfaen" w:hAnsi="Sylfaen"/>
          <w:sz w:val="22"/>
          <w:szCs w:val="22"/>
        </w:rPr>
        <w:t>/</w:t>
      </w:r>
      <w:r w:rsidRPr="00517377">
        <w:rPr>
          <w:rFonts w:ascii="Sylfaen" w:hAnsi="Sylfaen" w:cs="Sylfaen"/>
          <w:sz w:val="22"/>
          <w:szCs w:val="22"/>
        </w:rPr>
        <w:t>მულტიმედიური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შეტყობინებების</w:t>
      </w:r>
      <w:r w:rsidRPr="00517377">
        <w:rPr>
          <w:rFonts w:ascii="Sylfaen" w:hAnsi="Sylfaen"/>
          <w:sz w:val="22"/>
          <w:szCs w:val="22"/>
        </w:rPr>
        <w:t xml:space="preserve"> </w:t>
      </w:r>
      <w:r w:rsidRPr="00517377">
        <w:rPr>
          <w:rFonts w:ascii="Sylfaen" w:hAnsi="Sylfaen" w:cs="Sylfaen"/>
          <w:sz w:val="22"/>
          <w:szCs w:val="22"/>
        </w:rPr>
        <w:t>გასაგზავნად</w:t>
      </w:r>
      <w:r w:rsidRPr="00517377">
        <w:rPr>
          <w:rFonts w:ascii="Sylfaen" w:hAnsi="Sylfaen"/>
          <w:sz w:val="22"/>
          <w:szCs w:val="22"/>
        </w:rPr>
        <w:t xml:space="preserve">. </w:t>
      </w:r>
    </w:p>
    <w:p w14:paraId="4AB85929" w14:textId="77777777" w:rsidR="005A2107" w:rsidRDefault="005A2107" w:rsidP="005A2107">
      <w:pPr>
        <w:spacing w:before="120" w:after="120" w:line="276" w:lineRule="auto"/>
        <w:jc w:val="both"/>
        <w:rPr>
          <w:rFonts w:ascii="Sylfaen" w:eastAsia="Calibri" w:hAnsi="Sylfaen"/>
          <w:lang w:val="ka-GE"/>
        </w:rPr>
      </w:pPr>
      <w:r w:rsidRPr="00517377">
        <w:rPr>
          <w:rFonts w:ascii="Sylfaen" w:hAnsi="Sylfaen"/>
          <w:lang w:val="ka-GE"/>
        </w:rPr>
        <w:lastRenderedPageBreak/>
        <w:t xml:space="preserve">განსახორციელებელი ცვლილების შედეგად, შესაძლებელი გახდება, </w:t>
      </w:r>
      <w:r w:rsidRPr="00DB7967">
        <w:rPr>
          <w:rFonts w:ascii="Sylfaen" w:eastAsia="Calibri" w:hAnsi="Sylfaen"/>
          <w:lang w:val="ka-GE"/>
        </w:rPr>
        <w:t>მობილური ელექტრონული საკომუნიკაციო ქსელებითა და საშუალებებით უზრუნველყოფაზე ან/და მომსახურების მიწოდებაზე ავტორიზებულ პირებს</w:t>
      </w:r>
      <w:r w:rsidRPr="00517377">
        <w:rPr>
          <w:rFonts w:ascii="Sylfaen" w:eastAsia="Calibri" w:hAnsi="Sylfaen"/>
          <w:lang w:val="ka-GE"/>
        </w:rPr>
        <w:t>,</w:t>
      </w:r>
      <w:r w:rsidRPr="00DB7967">
        <w:rPr>
          <w:rFonts w:ascii="Sylfaen" w:eastAsia="Calibri" w:hAnsi="Sylfaen"/>
          <w:lang w:val="ka-GE"/>
        </w:rPr>
        <w:t xml:space="preserve"> მომხმარებლის მიერ პორტირების  მოთხოვნის დ</w:t>
      </w:r>
      <w:r w:rsidRPr="00517377">
        <w:rPr>
          <w:rFonts w:ascii="Sylfaen" w:eastAsia="Calibri" w:hAnsi="Sylfaen"/>
          <w:lang w:val="ka-GE"/>
        </w:rPr>
        <w:t xml:space="preserve">ასაფიქსირებლად, უფასოდ მიენიჭოთ </w:t>
      </w:r>
      <w:r w:rsidRPr="00DB7967">
        <w:rPr>
          <w:rFonts w:ascii="Sylfaen" w:eastAsia="Calibri" w:hAnsi="Sylfaen"/>
          <w:lang w:val="ka-GE"/>
        </w:rPr>
        <w:t>ტექსტური შეტყობინების  ერთი ნომრით (რომლის ფორმატი 5-ციფრიანია (999XX)</w:t>
      </w:r>
      <w:r w:rsidRPr="00517377">
        <w:rPr>
          <w:rFonts w:ascii="Sylfaen" w:eastAsia="Calibri" w:hAnsi="Sylfaen"/>
          <w:lang w:val="ka-GE"/>
        </w:rPr>
        <w:t xml:space="preserve">) </w:t>
      </w:r>
      <w:r w:rsidRPr="00DB7967">
        <w:rPr>
          <w:rFonts w:ascii="Sylfaen" w:eastAsia="Calibri" w:hAnsi="Sylfaen"/>
          <w:lang w:val="ka-GE"/>
        </w:rPr>
        <w:t>სარგებლობის უფლება</w:t>
      </w:r>
      <w:r w:rsidRPr="00517377">
        <w:rPr>
          <w:rFonts w:ascii="Sylfaen" w:eastAsia="Calibri" w:hAnsi="Sylfaen"/>
          <w:lang w:val="ka-GE"/>
        </w:rPr>
        <w:t>,</w:t>
      </w:r>
      <w:r w:rsidRPr="00DB7967">
        <w:rPr>
          <w:rFonts w:ascii="Sylfaen" w:eastAsia="Calibri" w:hAnsi="Sylfaen"/>
          <w:lang w:val="ka-GE"/>
        </w:rPr>
        <w:t xml:space="preserve"> პორტაბელურობის ვალდებულების გაუქმებამდე</w:t>
      </w:r>
      <w:r w:rsidRPr="00517377">
        <w:rPr>
          <w:rFonts w:ascii="Sylfaen" w:eastAsia="Calibri" w:hAnsi="Sylfaen"/>
          <w:lang w:val="ka-GE"/>
        </w:rPr>
        <w:t>.</w:t>
      </w:r>
    </w:p>
    <w:p w14:paraId="72A25FA9" w14:textId="43AFCF81" w:rsidR="00F03108" w:rsidRPr="00F03108" w:rsidRDefault="00F03108" w:rsidP="005A2107">
      <w:pPr>
        <w:spacing w:before="120" w:after="120" w:line="276" w:lineRule="auto"/>
        <w:jc w:val="both"/>
        <w:rPr>
          <w:rFonts w:ascii="Sylfaen" w:eastAsia="Calibri" w:hAnsi="Sylfaen" w:cs="Times New Roman"/>
          <w:b/>
          <w:lang w:val="ka-GE"/>
        </w:rPr>
      </w:pPr>
      <w:r w:rsidRPr="00F03108">
        <w:rPr>
          <w:rFonts w:ascii="Sylfaen" w:eastAsia="Calibri" w:hAnsi="Sylfaen" w:cs="Times New Roman"/>
          <w:lang w:val="ka-GE"/>
        </w:rPr>
        <w:t>დადგენილების პროექტის მიღება გავლენას არ მოახდენს სახელმწიფო ბიუჯეტის საშემოსავლო და ხარჯვით ნაწილებზე.</w:t>
      </w:r>
    </w:p>
    <w:p w14:paraId="5A3CCDC1" w14:textId="77777777" w:rsidR="00F03108" w:rsidRPr="00F03108" w:rsidRDefault="00F03108" w:rsidP="005C16A4">
      <w:pPr>
        <w:spacing w:before="120" w:after="120" w:line="276" w:lineRule="auto"/>
        <w:jc w:val="both"/>
        <w:rPr>
          <w:rFonts w:ascii="Sylfaen" w:eastAsia="Calibri" w:hAnsi="Sylfaen" w:cs="Times New Roman"/>
          <w:lang w:val="ka-GE"/>
        </w:rPr>
      </w:pPr>
      <w:r w:rsidRPr="00F03108">
        <w:rPr>
          <w:rFonts w:ascii="Sylfaen" w:eastAsia="Calibri" w:hAnsi="Sylfaen" w:cs="Times New Roman"/>
          <w:lang w:val="ka-GE"/>
        </w:rPr>
        <w:t>დადგენილების პროექტის ავტორია საქართველოს კომუნიკაციების ეროვნული კომისია.</w:t>
      </w:r>
    </w:p>
    <w:p w14:paraId="69AE4C96" w14:textId="77777777" w:rsidR="00F03108" w:rsidRPr="00F03108" w:rsidRDefault="00F03108" w:rsidP="005C16A4">
      <w:pPr>
        <w:spacing w:before="120" w:after="120" w:line="276" w:lineRule="auto"/>
        <w:rPr>
          <w:rFonts w:ascii="Sylfaen" w:eastAsia="Calibri" w:hAnsi="Sylfaen" w:cs="Times New Roman"/>
        </w:rPr>
      </w:pPr>
    </w:p>
    <w:p w14:paraId="5EBD10C6" w14:textId="77777777" w:rsidR="00F03108" w:rsidRPr="00F03108" w:rsidRDefault="00F03108" w:rsidP="005C16A4">
      <w:pPr>
        <w:spacing w:before="120" w:after="120" w:line="276" w:lineRule="auto"/>
        <w:rPr>
          <w:rFonts w:ascii="Sylfaen" w:eastAsia="Calibri" w:hAnsi="Sylfaen" w:cs="Times New Roman"/>
        </w:rPr>
      </w:pPr>
    </w:p>
    <w:p w14:paraId="326B4508" w14:textId="77777777" w:rsidR="005F38B0" w:rsidRPr="00515CDC" w:rsidRDefault="005F38B0" w:rsidP="005C16A4">
      <w:pPr>
        <w:spacing w:before="120" w:after="120" w:line="276" w:lineRule="auto"/>
        <w:jc w:val="both"/>
        <w:rPr>
          <w:rFonts w:ascii="Sylfaen" w:hAnsi="Sylfaen"/>
        </w:rPr>
      </w:pPr>
    </w:p>
    <w:p w14:paraId="464D500B" w14:textId="77777777" w:rsidR="005F38B0" w:rsidRPr="00515CDC" w:rsidRDefault="005F38B0" w:rsidP="005C16A4">
      <w:pPr>
        <w:spacing w:before="120" w:after="120" w:line="276" w:lineRule="auto"/>
        <w:jc w:val="both"/>
        <w:rPr>
          <w:rFonts w:ascii="Sylfaen" w:hAnsi="Sylfaen"/>
        </w:rPr>
      </w:pPr>
    </w:p>
    <w:p w14:paraId="0E7EC5DD" w14:textId="77777777" w:rsidR="005F38B0" w:rsidRPr="00515CDC" w:rsidRDefault="005F38B0" w:rsidP="005C16A4">
      <w:pPr>
        <w:spacing w:before="120" w:after="120" w:line="276" w:lineRule="auto"/>
        <w:jc w:val="both"/>
        <w:rPr>
          <w:rFonts w:ascii="Sylfaen" w:hAnsi="Sylfaen"/>
        </w:rPr>
      </w:pPr>
    </w:p>
    <w:p w14:paraId="0EDA9942" w14:textId="77777777" w:rsidR="00AF71F6" w:rsidRPr="00515CDC" w:rsidRDefault="00AF71F6" w:rsidP="005C16A4">
      <w:pPr>
        <w:spacing w:before="120" w:after="120" w:line="276" w:lineRule="auto"/>
        <w:jc w:val="both"/>
        <w:rPr>
          <w:rFonts w:ascii="Sylfaen" w:hAnsi="Sylfaen"/>
        </w:rPr>
      </w:pPr>
    </w:p>
    <w:sectPr w:rsidR="00AF71F6" w:rsidRPr="0051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B24"/>
    <w:multiLevelType w:val="hybridMultilevel"/>
    <w:tmpl w:val="7836427E"/>
    <w:lvl w:ilvl="0" w:tplc="282E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2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1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29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2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A2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E1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29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44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00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68"/>
    <w:rsid w:val="00035DA5"/>
    <w:rsid w:val="00223936"/>
    <w:rsid w:val="002E7430"/>
    <w:rsid w:val="00350168"/>
    <w:rsid w:val="003A3AA1"/>
    <w:rsid w:val="003F0A03"/>
    <w:rsid w:val="004217AC"/>
    <w:rsid w:val="00424611"/>
    <w:rsid w:val="00515CDC"/>
    <w:rsid w:val="00584183"/>
    <w:rsid w:val="005A2107"/>
    <w:rsid w:val="005C16A4"/>
    <w:rsid w:val="005D29B6"/>
    <w:rsid w:val="005F38B0"/>
    <w:rsid w:val="006E1F0A"/>
    <w:rsid w:val="00784AA4"/>
    <w:rsid w:val="008853E6"/>
    <w:rsid w:val="009E7101"/>
    <w:rsid w:val="00A1070A"/>
    <w:rsid w:val="00A41BCB"/>
    <w:rsid w:val="00AF71F6"/>
    <w:rsid w:val="00C16A70"/>
    <w:rsid w:val="00C26072"/>
    <w:rsid w:val="00E94744"/>
    <w:rsid w:val="00ED2002"/>
    <w:rsid w:val="00F00037"/>
    <w:rsid w:val="00F03108"/>
    <w:rsid w:val="00FC39C4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A0FB"/>
  <w15:chartTrackingRefBased/>
  <w15:docId w15:val="{95FF2FB8-60AC-4E0A-8035-012603E2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1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Khukhunaishvili</dc:creator>
  <cp:keywords/>
  <dc:description/>
  <cp:lastModifiedBy>Tamar Khukhunaishvili</cp:lastModifiedBy>
  <cp:revision>4</cp:revision>
  <dcterms:created xsi:type="dcterms:W3CDTF">2022-11-24T13:02:00Z</dcterms:created>
  <dcterms:modified xsi:type="dcterms:W3CDTF">2022-11-24T13:16:00Z</dcterms:modified>
</cp:coreProperties>
</file>